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4"/>
          <w:szCs w:val="24"/>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226695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Washington, D.C. 20549</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Form 10-K</w:t>
      </w:r>
    </w:p>
    <w:p>
      <w:pPr>
        <w:spacing w:after="0" w:line="19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4" w:lineRule="exact"/>
        <w:rPr>
          <w:sz w:val="24"/>
          <w:szCs w:val="24"/>
          <w:color w:val="auto"/>
        </w:rPr>
      </w:pPr>
    </w:p>
    <w:p>
      <w:pPr>
        <w:ind w:left="4300" w:right="4040" w:hanging="4295"/>
        <w:spacing w:after="0" w:line="306" w:lineRule="auto"/>
        <w:tabs>
          <w:tab w:leader="none" w:pos="2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62" w:lineRule="exact"/>
        <w:rPr>
          <w:sz w:val="24"/>
          <w:szCs w:val="24"/>
          <w:color w:val="auto"/>
        </w:rPr>
      </w:pPr>
    </w:p>
    <w:p>
      <w:pPr>
        <w:ind w:left="280" w:hanging="275"/>
        <w:spacing w:after="0"/>
        <w:tabs>
          <w:tab w:leader="none" w:pos="2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Commission file number 1-14569</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PLAINS ALL AMERICAN PIPELINE, L.P.</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1"/>
          <w:szCs w:val="11"/>
          <w:color w:val="auto"/>
        </w:rPr>
        <w:t>(Exact name of registrant as specified in its charter)</w:t>
      </w:r>
    </w:p>
    <w:p>
      <w:pPr>
        <w:spacing w:after="0" w:line="21" w:lineRule="exact"/>
        <w:rPr>
          <w:sz w:val="24"/>
          <w:szCs w:val="24"/>
          <w:color w:val="auto"/>
        </w:rPr>
      </w:pPr>
    </w:p>
    <w:tbl>
      <w:tblPr>
        <w:tblLayout w:type="fixed"/>
        <w:tblInd w:w="880" w:type="dxa"/>
        <w:tblCellMar>
          <w:top w:w="0" w:type="dxa"/>
          <w:left w:w="0" w:type="dxa"/>
          <w:bottom w:w="0" w:type="dxa"/>
          <w:right w:w="0" w:type="dxa"/>
        </w:tblCellMar>
      </w:tblPr>
      <w:tr>
        <w:trPr>
          <w:trHeight w:val="147"/>
        </w:trPr>
        <w:tc>
          <w:tcPr>
            <w:tcW w:w="3200" w:type="dxa"/>
            <w:vAlign w:val="bottom"/>
            <w:gridSpan w:val="2"/>
          </w:tcPr>
          <w:p>
            <w:pPr>
              <w:jc w:val="center"/>
              <w:ind w:left="725"/>
              <w:spacing w:after="0"/>
              <w:rPr>
                <w:sz w:val="20"/>
                <w:szCs w:val="20"/>
                <w:color w:val="auto"/>
              </w:rPr>
            </w:pPr>
            <w:r>
              <w:rPr>
                <w:rFonts w:ascii="Arial" w:cs="Arial" w:eastAsia="Arial" w:hAnsi="Arial"/>
                <w:sz w:val="11"/>
                <w:szCs w:val="11"/>
                <w:b w:val="1"/>
                <w:bCs w:val="1"/>
                <w:color w:val="auto"/>
                <w:w w:val="95"/>
              </w:rPr>
              <w:t>Delaware</w:t>
            </w: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jc w:val="right"/>
              <w:ind w:right="1685"/>
              <w:spacing w:after="0"/>
              <w:rPr>
                <w:sz w:val="20"/>
                <w:szCs w:val="20"/>
                <w:color w:val="auto"/>
              </w:rPr>
            </w:pPr>
            <w:r>
              <w:rPr>
                <w:rFonts w:ascii="Arial" w:cs="Arial" w:eastAsia="Arial" w:hAnsi="Arial"/>
                <w:sz w:val="11"/>
                <w:szCs w:val="11"/>
                <w:b w:val="1"/>
                <w:bCs w:val="1"/>
                <w:color w:val="auto"/>
              </w:rPr>
              <w:t>76-0582150</w:t>
            </w:r>
          </w:p>
        </w:tc>
      </w:tr>
      <w:tr>
        <w:trPr>
          <w:trHeight w:val="149"/>
        </w:trPr>
        <w:tc>
          <w:tcPr>
            <w:tcW w:w="6420" w:type="dxa"/>
            <w:vAlign w:val="bottom"/>
            <w:gridSpan w:val="4"/>
          </w:tcPr>
          <w:p>
            <w:pPr>
              <w:jc w:val="center"/>
              <w:ind w:right="2440"/>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3120" w:type="dxa"/>
            <w:vAlign w:val="bottom"/>
          </w:tcPr>
          <w:p>
            <w:pPr>
              <w:jc w:val="center"/>
              <w:ind w:right="865"/>
              <w:spacing w:after="0"/>
              <w:rPr>
                <w:sz w:val="20"/>
                <w:szCs w:val="20"/>
                <w:color w:val="auto"/>
              </w:rPr>
            </w:pPr>
            <w:r>
              <w:rPr>
                <w:rFonts w:ascii="Arial" w:cs="Arial" w:eastAsia="Arial" w:hAnsi="Arial"/>
                <w:sz w:val="11"/>
                <w:szCs w:val="11"/>
                <w:color w:val="auto"/>
                <w:w w:val="96"/>
              </w:rPr>
              <w:t>(I.R.S. Employer Identification No.)</w:t>
            </w:r>
          </w:p>
        </w:tc>
      </w:tr>
      <w:tr>
        <w:trPr>
          <w:trHeight w:val="223"/>
        </w:trPr>
        <w:tc>
          <w:tcPr>
            <w:tcW w:w="3200" w:type="dxa"/>
            <w:vAlign w:val="bottom"/>
            <w:gridSpan w:val="2"/>
          </w:tcPr>
          <w:p>
            <w:pPr>
              <w:jc w:val="center"/>
              <w:ind w:left="725"/>
              <w:spacing w:after="0"/>
              <w:rPr>
                <w:sz w:val="20"/>
                <w:szCs w:val="20"/>
                <w:color w:val="auto"/>
              </w:rPr>
            </w:pPr>
            <w:r>
              <w:rPr>
                <w:rFonts w:ascii="Arial" w:cs="Arial" w:eastAsia="Arial" w:hAnsi="Arial"/>
                <w:sz w:val="11"/>
                <w:szCs w:val="11"/>
                <w:b w:val="1"/>
                <w:bCs w:val="1"/>
                <w:color w:val="auto"/>
                <w:w w:val="92"/>
              </w:rPr>
              <w:t>333 Clay Street, Suite 1600, Houston, Texas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jc w:val="right"/>
              <w:ind w:right="1825"/>
              <w:spacing w:after="0"/>
              <w:rPr>
                <w:sz w:val="20"/>
                <w:szCs w:val="20"/>
                <w:color w:val="auto"/>
              </w:rPr>
            </w:pPr>
            <w:r>
              <w:rPr>
                <w:rFonts w:ascii="Arial" w:cs="Arial" w:eastAsia="Arial" w:hAnsi="Arial"/>
                <w:sz w:val="11"/>
                <w:szCs w:val="11"/>
                <w:b w:val="1"/>
                <w:bCs w:val="1"/>
                <w:color w:val="auto"/>
              </w:rPr>
              <w:t>77002</w:t>
            </w:r>
          </w:p>
        </w:tc>
      </w:tr>
      <w:tr>
        <w:trPr>
          <w:trHeight w:val="149"/>
        </w:trPr>
        <w:tc>
          <w:tcPr>
            <w:tcW w:w="3200" w:type="dxa"/>
            <w:vAlign w:val="bottom"/>
            <w:gridSpan w:val="2"/>
          </w:tcPr>
          <w:p>
            <w:pPr>
              <w:jc w:val="center"/>
              <w:ind w:left="725"/>
              <w:spacing w:after="0"/>
              <w:rPr>
                <w:sz w:val="20"/>
                <w:szCs w:val="20"/>
                <w:color w:val="auto"/>
              </w:rPr>
            </w:pPr>
            <w:r>
              <w:rPr>
                <w:rFonts w:ascii="Arial" w:cs="Arial" w:eastAsia="Arial" w:hAnsi="Arial"/>
                <w:sz w:val="11"/>
                <w:szCs w:val="11"/>
                <w:color w:val="auto"/>
                <w:w w:val="94"/>
              </w:rPr>
              <w:t>(Address of principal executive offices)</w:t>
            </w: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jc w:val="center"/>
              <w:ind w:right="845"/>
              <w:spacing w:after="0"/>
              <w:rPr>
                <w:sz w:val="20"/>
                <w:szCs w:val="20"/>
                <w:color w:val="auto"/>
              </w:rPr>
            </w:pPr>
            <w:r>
              <w:rPr>
                <w:rFonts w:ascii="Arial" w:cs="Arial" w:eastAsia="Arial" w:hAnsi="Arial"/>
                <w:sz w:val="11"/>
                <w:szCs w:val="11"/>
                <w:color w:val="auto"/>
                <w:w w:val="96"/>
              </w:rPr>
              <w:t>(Zip Code)</w:t>
            </w:r>
          </w:p>
        </w:tc>
      </w:tr>
      <w:tr>
        <w:trPr>
          <w:trHeight w:val="403"/>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1"/>
                <w:szCs w:val="11"/>
                <w:color w:val="auto"/>
                <w:w w:val="92"/>
              </w:rPr>
              <w:t xml:space="preserve">Registrant’s telephone number, including area code: </w:t>
            </w:r>
            <w:r>
              <w:rPr>
                <w:rFonts w:ascii="Arial" w:cs="Arial" w:eastAsia="Arial" w:hAnsi="Arial"/>
                <w:sz w:val="11"/>
                <w:szCs w:val="11"/>
                <w:b w:val="1"/>
                <w:bCs w:val="1"/>
                <w:color w:val="auto"/>
                <w:w w:val="92"/>
              </w:rPr>
              <w:t>(713) 646-4100</w:t>
            </w:r>
          </w:p>
        </w:tc>
        <w:tc>
          <w:tcPr>
            <w:tcW w:w="3120" w:type="dxa"/>
            <w:vAlign w:val="bottom"/>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Securities registered pursuant to Section 12(b) of the Act:</w:t>
            </w:r>
          </w:p>
        </w:tc>
        <w:tc>
          <w:tcPr>
            <w:tcW w:w="3120" w:type="dxa"/>
            <w:vAlign w:val="bottom"/>
          </w:tcPr>
          <w:p>
            <w:pPr>
              <w:spacing w:after="0"/>
              <w:rPr>
                <w:sz w:val="16"/>
                <w:szCs w:val="16"/>
                <w:color w:val="auto"/>
              </w:rPr>
            </w:pPr>
          </w:p>
        </w:tc>
      </w:tr>
      <w:tr>
        <w:trPr>
          <w:trHeight w:val="224"/>
        </w:trPr>
        <w:tc>
          <w:tcPr>
            <w:tcW w:w="3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Title of Each Class</w:t>
            </w:r>
          </w:p>
        </w:tc>
        <w:tc>
          <w:tcPr>
            <w:tcW w:w="32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Trading Symbol(s)</w:t>
            </w:r>
          </w:p>
        </w:tc>
        <w:tc>
          <w:tcPr>
            <w:tcW w:w="3120" w:type="dxa"/>
            <w:vAlign w:val="bottom"/>
          </w:tcPr>
          <w:p>
            <w:pPr>
              <w:jc w:val="center"/>
              <w:spacing w:after="0"/>
              <w:rPr>
                <w:sz w:val="20"/>
                <w:szCs w:val="20"/>
                <w:color w:val="auto"/>
              </w:rPr>
            </w:pPr>
            <w:r>
              <w:rPr>
                <w:rFonts w:ascii="Arial" w:cs="Arial" w:eastAsia="Arial" w:hAnsi="Arial"/>
                <w:sz w:val="10"/>
                <w:szCs w:val="10"/>
                <w:b w:val="1"/>
                <w:bCs w:val="1"/>
                <w:color w:val="auto"/>
                <w:w w:val="88"/>
              </w:rPr>
              <w:t>Name of Each Exchange on Which Registered</w:t>
            </w:r>
          </w:p>
        </w:tc>
      </w:tr>
      <w:tr>
        <w:trPr>
          <w:trHeight w:val="143"/>
        </w:trPr>
        <w:tc>
          <w:tcPr>
            <w:tcW w:w="310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6"/>
              </w:rPr>
              <w:t>Common Units</w:t>
            </w:r>
          </w:p>
        </w:tc>
        <w:tc>
          <w:tcPr>
            <w:tcW w:w="100" w:type="dxa"/>
            <w:vAlign w:val="bottom"/>
          </w:tcPr>
          <w:p>
            <w:pPr>
              <w:spacing w:after="0"/>
              <w:rPr>
                <w:sz w:val="12"/>
                <w:szCs w:val="12"/>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9"/>
              </w:rPr>
              <w:t>PAA</w:t>
            </w:r>
          </w:p>
        </w:tc>
        <w:tc>
          <w:tcPr>
            <w:tcW w:w="100" w:type="dxa"/>
            <w:vAlign w:val="bottom"/>
          </w:tcPr>
          <w:p>
            <w:pPr>
              <w:spacing w:after="0"/>
              <w:rPr>
                <w:sz w:val="12"/>
                <w:szCs w:val="12"/>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89"/>
              </w:rPr>
              <w:t>Nasdaq</w:t>
            </w:r>
          </w:p>
        </w:tc>
      </w:tr>
    </w:tbl>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184" w:lineRule="exact"/>
        <w:rPr>
          <w:sz w:val="24"/>
          <w:szCs w:val="24"/>
          <w:color w:val="auto"/>
        </w:rPr>
      </w:pPr>
    </w:p>
    <w:p>
      <w:pPr>
        <w:ind w:left="260" w:right="4780"/>
        <w:spacing w:after="0" w:line="179" w:lineRule="exact"/>
        <w:rPr>
          <w:sz w:val="20"/>
          <w:szCs w:val="20"/>
          <w:color w:val="auto"/>
        </w:rPr>
      </w:pPr>
      <w:r>
        <w:rPr>
          <w:rFonts w:ascii="Arial" w:cs="Arial" w:eastAsia="Arial" w:hAnsi="Arial"/>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r>
        <w:rPr>
          <w:rFonts w:ascii="Arial" w:cs="Arial" w:eastAsia="Arial" w:hAnsi="Arial"/>
          <w:sz w:val="9"/>
          <w:szCs w:val="9"/>
          <w:color w:val="auto"/>
        </w:rPr>
        <w:t xml:space="preserve"> Indicate by check mark if the registrant is not required to file reports pursuant to Section 13 or Section 15(d) of the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1" w:lineRule="exact"/>
        <w:rPr>
          <w:sz w:val="24"/>
          <w:szCs w:val="24"/>
          <w:color w:val="auto"/>
        </w:rPr>
      </w:pPr>
    </w:p>
    <w:p>
      <w:pPr>
        <w:ind w:right="160" w:firstLine="255"/>
        <w:spacing w:after="0" w:line="14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2"/>
          <w:szCs w:val="12"/>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ind w:right="140" w:firstLine="255"/>
        <w:spacing w:after="0" w:line="149"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2"/>
          <w:szCs w:val="12"/>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ind w:right="500" w:firstLine="255"/>
        <w:spacing w:after="0" w:line="25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120" w:type="dxa"/>
        <w:tblCellMar>
          <w:top w:w="0" w:type="dxa"/>
          <w:left w:w="0" w:type="dxa"/>
          <w:bottom w:w="0" w:type="dxa"/>
          <w:right w:w="0" w:type="dxa"/>
        </w:tblCellMar>
      </w:tblPr>
      <w:tr>
        <w:trPr>
          <w:trHeight w:val="177"/>
        </w:trPr>
        <w:tc>
          <w:tcPr>
            <w:tcW w:w="3280" w:type="dxa"/>
            <w:vAlign w:val="bottom"/>
            <w:vMerge w:val="restart"/>
          </w:tcPr>
          <w:p>
            <w:pPr>
              <w:jc w:val="center"/>
              <w:ind w:right="2083"/>
              <w:spacing w:after="0" w:line="127" w:lineRule="exact"/>
              <w:rPr>
                <w:sz w:val="20"/>
                <w:szCs w:val="20"/>
                <w:color w:val="auto"/>
              </w:rPr>
            </w:pPr>
            <w:r>
              <w:rPr>
                <w:rFonts w:ascii="Arial" w:cs="Arial" w:eastAsia="Arial" w:hAnsi="Arial"/>
                <w:sz w:val="11"/>
                <w:szCs w:val="11"/>
                <w:color w:val="auto"/>
                <w:w w:val="92"/>
              </w:rPr>
              <w:t xml:space="preserve">Large accelerated filer </w:t>
            </w:r>
            <w:r>
              <w:rPr>
                <w:rFonts w:ascii="MS PGothic" w:cs="MS PGothic" w:eastAsia="MS PGothic" w:hAnsi="MS PGothic"/>
                <w:sz w:val="11"/>
                <w:szCs w:val="11"/>
                <w:color w:val="auto"/>
                <w:w w:val="92"/>
              </w:rPr>
              <w:t>☑</w:t>
            </w:r>
          </w:p>
        </w:tc>
        <w:tc>
          <w:tcPr>
            <w:tcW w:w="3520" w:type="dxa"/>
            <w:vAlign w:val="bottom"/>
          </w:tcPr>
          <w:p>
            <w:pPr>
              <w:jc w:val="center"/>
              <w:ind w:left="2063"/>
              <w:spacing w:after="0" w:line="127" w:lineRule="exact"/>
              <w:rPr>
                <w:sz w:val="20"/>
                <w:szCs w:val="20"/>
                <w:color w:val="auto"/>
              </w:rPr>
            </w:pPr>
            <w:r>
              <w:rPr>
                <w:rFonts w:ascii="Arial" w:cs="Arial" w:eastAsia="Arial" w:hAnsi="Arial"/>
                <w:sz w:val="11"/>
                <w:szCs w:val="11"/>
                <w:color w:val="auto"/>
                <w:w w:val="94"/>
              </w:rPr>
              <w:t xml:space="preserve">Accelerated filer </w:t>
            </w:r>
            <w:r>
              <w:rPr>
                <w:rFonts w:ascii="MS PGothic" w:cs="MS PGothic" w:eastAsia="MS PGothic" w:hAnsi="MS PGothic"/>
                <w:sz w:val="11"/>
                <w:szCs w:val="11"/>
                <w:color w:val="auto"/>
                <w:w w:val="94"/>
              </w:rPr>
              <w:t>☐</w:t>
            </w:r>
          </w:p>
        </w:tc>
        <w:tc>
          <w:tcPr>
            <w:tcW w:w="0" w:type="dxa"/>
            <w:vAlign w:val="bottom"/>
          </w:tcPr>
          <w:p>
            <w:pPr>
              <w:spacing w:after="0"/>
              <w:rPr>
                <w:sz w:val="1"/>
                <w:szCs w:val="1"/>
                <w:color w:val="auto"/>
              </w:rPr>
            </w:pPr>
          </w:p>
        </w:tc>
      </w:tr>
      <w:tr>
        <w:trPr>
          <w:trHeight w:val="53"/>
        </w:trPr>
        <w:tc>
          <w:tcPr>
            <w:tcW w:w="3280" w:type="dxa"/>
            <w:vAlign w:val="bottom"/>
            <w:vMerge w:val="continue"/>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280" w:type="dxa"/>
            <w:vAlign w:val="bottom"/>
          </w:tcPr>
          <w:p>
            <w:pPr>
              <w:jc w:val="center"/>
              <w:ind w:right="2083"/>
              <w:spacing w:after="0" w:line="127" w:lineRule="exact"/>
              <w:rPr>
                <w:sz w:val="20"/>
                <w:szCs w:val="20"/>
                <w:color w:val="auto"/>
              </w:rPr>
            </w:pPr>
            <w:r>
              <w:rPr>
                <w:rFonts w:ascii="Arial" w:cs="Arial" w:eastAsia="Arial" w:hAnsi="Arial"/>
                <w:sz w:val="11"/>
                <w:szCs w:val="11"/>
                <w:color w:val="auto"/>
                <w:w w:val="95"/>
              </w:rPr>
              <w:t xml:space="preserve">Non-accelerated filer </w:t>
            </w:r>
            <w:r>
              <w:rPr>
                <w:rFonts w:ascii="MS PGothic" w:cs="MS PGothic" w:eastAsia="MS PGothic" w:hAnsi="MS PGothic"/>
                <w:sz w:val="11"/>
                <w:szCs w:val="11"/>
                <w:color w:val="auto"/>
                <w:w w:val="95"/>
              </w:rPr>
              <w:t>☐</w:t>
            </w:r>
          </w:p>
        </w:tc>
        <w:tc>
          <w:tcPr>
            <w:tcW w:w="3520" w:type="dxa"/>
            <w:vAlign w:val="bottom"/>
          </w:tcPr>
          <w:p>
            <w:pPr>
              <w:jc w:val="center"/>
              <w:ind w:left="2063"/>
              <w:spacing w:after="0" w:line="127" w:lineRule="exact"/>
              <w:rPr>
                <w:sz w:val="20"/>
                <w:szCs w:val="20"/>
                <w:color w:val="auto"/>
              </w:rPr>
            </w:pPr>
            <w:r>
              <w:rPr>
                <w:rFonts w:ascii="Arial" w:cs="Arial" w:eastAsia="Arial" w:hAnsi="Arial"/>
                <w:sz w:val="11"/>
                <w:szCs w:val="11"/>
                <w:color w:val="auto"/>
                <w:w w:val="96"/>
              </w:rPr>
              <w:t xml:space="preserve">Smaller reporting company </w:t>
            </w:r>
            <w:r>
              <w:rPr>
                <w:rFonts w:ascii="MS PGothic" w:cs="MS PGothic" w:eastAsia="MS PGothic" w:hAnsi="MS PGothic"/>
                <w:sz w:val="11"/>
                <w:szCs w:val="11"/>
                <w:color w:val="auto"/>
                <w:w w:val="96"/>
              </w:rPr>
              <w:t>☐</w:t>
            </w: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2"/>
                <w:szCs w:val="22"/>
                <w:color w:val="auto"/>
              </w:rPr>
            </w:pPr>
          </w:p>
        </w:tc>
        <w:tc>
          <w:tcPr>
            <w:tcW w:w="3520" w:type="dxa"/>
            <w:vAlign w:val="bottom"/>
          </w:tcPr>
          <w:p>
            <w:pPr>
              <w:jc w:val="center"/>
              <w:ind w:left="2063"/>
              <w:spacing w:after="0" w:line="127" w:lineRule="exact"/>
              <w:rPr>
                <w:sz w:val="20"/>
                <w:szCs w:val="20"/>
                <w:color w:val="auto"/>
              </w:rPr>
            </w:pPr>
            <w:r>
              <w:rPr>
                <w:rFonts w:ascii="Arial" w:cs="Arial" w:eastAsia="Arial" w:hAnsi="Arial"/>
                <w:sz w:val="11"/>
                <w:szCs w:val="11"/>
                <w:color w:val="auto"/>
                <w:w w:val="96"/>
              </w:rPr>
              <w:t xml:space="preserve">Emerging growth company </w:t>
            </w:r>
            <w:r>
              <w:rPr>
                <w:rFonts w:ascii="MS PGothic" w:cs="MS PGothic" w:eastAsia="MS PGothic" w:hAnsi="MS PGothic"/>
                <w:sz w:val="11"/>
                <w:szCs w:val="11"/>
                <w:color w:val="auto"/>
                <w:w w:val="96"/>
              </w:rPr>
              <w:t>☐</w:t>
            </w:r>
          </w:p>
        </w:tc>
        <w:tc>
          <w:tcPr>
            <w:tcW w:w="0" w:type="dxa"/>
            <w:vAlign w:val="bottom"/>
          </w:tcPr>
          <w:p>
            <w:pPr>
              <w:spacing w:after="0"/>
              <w:rPr>
                <w:sz w:val="1"/>
                <w:szCs w:val="1"/>
                <w:color w:val="auto"/>
              </w:rPr>
            </w:pPr>
          </w:p>
        </w:tc>
      </w:tr>
    </w:tbl>
    <w:p>
      <w:pPr>
        <w:spacing w:after="0" w:line="159" w:lineRule="exact"/>
        <w:rPr>
          <w:sz w:val="24"/>
          <w:szCs w:val="24"/>
          <w:color w:val="auto"/>
        </w:rPr>
      </w:pPr>
    </w:p>
    <w:p>
      <w:pPr>
        <w:ind w:firstLine="255"/>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2" w:lineRule="exact"/>
        <w:rPr>
          <w:sz w:val="24"/>
          <w:szCs w:val="24"/>
          <w:color w:val="auto"/>
        </w:rPr>
      </w:pPr>
    </w:p>
    <w:p>
      <w:pPr>
        <w:ind w:right="200" w:firstLine="255"/>
        <w:spacing w:after="0" w:line="154"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4" w:lineRule="exact"/>
        <w:rPr>
          <w:sz w:val="24"/>
          <w:szCs w:val="24"/>
          <w:color w:val="auto"/>
        </w:rPr>
      </w:pPr>
    </w:p>
    <w:p>
      <w:pPr>
        <w:ind w:left="26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2"/>
          <w:szCs w:val="12"/>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jc w:val="both"/>
        <w:ind w:right="340" w:firstLine="255"/>
        <w:spacing w:after="0" w:line="355" w:lineRule="auto"/>
        <w:rPr>
          <w:sz w:val="20"/>
          <w:szCs w:val="20"/>
          <w:color w:val="auto"/>
        </w:rPr>
      </w:pPr>
      <w:r>
        <w:rPr>
          <w:rFonts w:ascii="Arial" w:cs="Arial" w:eastAsia="Arial" w:hAnsi="Arial"/>
          <w:sz w:val="10"/>
          <w:szCs w:val="10"/>
          <w:color w:val="auto"/>
        </w:rPr>
        <w:t>The aggregate market value of the approximately 467.6 million Common Units held by non-affiliates of the registrant (treating all executive officers and directors of the registrant and holders of 10% or more of the Common Units outstanding, for this purpose, as if they are affiliates of the registrant) on June 30, 2021 was approximately $5.3 billion, based on a closing price of $11.36 per Common Unit as reported on the Nasdaq Global Select Market on such date.</w:t>
      </w:r>
    </w:p>
    <w:p>
      <w:pPr>
        <w:spacing w:after="0" w:line="21" w:lineRule="exact"/>
        <w:rPr>
          <w:sz w:val="24"/>
          <w:szCs w:val="24"/>
          <w:color w:val="auto"/>
        </w:rPr>
      </w:pPr>
    </w:p>
    <w:p>
      <w:pPr>
        <w:ind w:left="260"/>
        <w:spacing w:after="0"/>
        <w:rPr>
          <w:sz w:val="20"/>
          <w:szCs w:val="20"/>
          <w:color w:val="auto"/>
        </w:rPr>
      </w:pPr>
      <w:r>
        <w:rPr>
          <w:rFonts w:ascii="Arial" w:cs="Arial" w:eastAsia="Arial" w:hAnsi="Arial"/>
          <w:sz w:val="12"/>
          <w:szCs w:val="12"/>
          <w:color w:val="auto"/>
        </w:rPr>
        <w:t>As of February 22, 2022, there were 705,043,477 Common Units outstanding</w:t>
      </w:r>
      <w:r>
        <w:rPr>
          <w:rFonts w:ascii="Arial" w:cs="Arial" w:eastAsia="Arial" w:hAnsi="Arial"/>
          <w:sz w:val="11"/>
          <w:szCs w:val="11"/>
          <w:color w:val="auto"/>
        </w:rPr>
        <w:t>.</w:t>
      </w:r>
    </w:p>
    <w:p>
      <w:pPr>
        <w:spacing w:after="0" w:line="8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jc w:val="center"/>
        <w:ind w:left="340" w:right="140"/>
        <w:spacing w:after="0" w:line="278" w:lineRule="auto"/>
        <w:rPr>
          <w:sz w:val="20"/>
          <w:szCs w:val="20"/>
          <w:color w:val="auto"/>
        </w:rPr>
      </w:pPr>
      <w:r>
        <w:rPr>
          <w:rFonts w:ascii="Arial" w:cs="Arial" w:eastAsia="Arial" w:hAnsi="Arial"/>
          <w:sz w:val="11"/>
          <w:szCs w:val="11"/>
          <w:color w:val="auto"/>
        </w:rPr>
        <w:t>Portions of the registrant’s definitive Proxy Statement to be filed pursuant to Regulation 14A pertaining to the 2022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640715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218" w:right="359" w:bottom="1440" w:gutter="0" w:footer="0" w:header="0"/>
        </w:sectPr>
      </w:pPr>
    </w:p>
    <w:bookmarkStart w:id="1" w:name="page2"/>
    <w:bookmarkEnd w:id="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10-K—2021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Page</w:t>
            </w:r>
          </w:p>
        </w:tc>
      </w:tr>
      <w:tr>
        <w:trPr>
          <w:trHeight w:val="13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0" w:type="dxa"/>
            <w:vAlign w:val="bottom"/>
            <w:gridSpan w:val="11"/>
          </w:tcPr>
          <w:p>
            <w:pPr>
              <w:jc w:val="center"/>
              <w:ind w:right="3960"/>
              <w:spacing w:after="0" w:line="117" w:lineRule="exact"/>
              <w:rPr>
                <w:rFonts w:ascii="Arial" w:cs="Arial" w:eastAsia="Arial" w:hAnsi="Arial"/>
                <w:sz w:val="13"/>
                <w:szCs w:val="13"/>
                <w:b w:val="1"/>
                <w:bCs w:val="1"/>
                <w:color w:val="0000FF"/>
              </w:rPr>
            </w:pPr>
            <w:hyperlink w:anchor="page4">
              <w:r>
                <w:rPr>
                  <w:rFonts w:ascii="Arial" w:cs="Arial" w:eastAsia="Arial" w:hAnsi="Arial"/>
                  <w:sz w:val="13"/>
                  <w:szCs w:val="13"/>
                  <w:b w:val="1"/>
                  <w:bCs w:val="1"/>
                  <w:color w:val="0000FF"/>
                </w:rPr>
                <w:t>PART I</w:t>
              </w:r>
            </w:hyperlink>
          </w:p>
        </w:tc>
        <w:tc>
          <w:tcPr>
            <w:tcW w:w="1520" w:type="dxa"/>
            <w:vAlign w:val="bottom"/>
          </w:tcPr>
          <w:p>
            <w:pPr>
              <w:jc w:val="right"/>
              <w:spacing w:after="0" w:line="118" w:lineRule="exact"/>
              <w:rPr>
                <w:rFonts w:ascii="Arial" w:cs="Arial" w:eastAsia="Arial" w:hAnsi="Arial"/>
                <w:sz w:val="13"/>
                <w:szCs w:val="13"/>
                <w:color w:val="auto"/>
              </w:rPr>
            </w:pPr>
            <w:hyperlink w:anchor="page4">
              <w:r>
                <w:rPr>
                  <w:rFonts w:ascii="Arial" w:cs="Arial" w:eastAsia="Arial" w:hAnsi="Arial"/>
                  <w:sz w:val="13"/>
                  <w:szCs w:val="13"/>
                  <w:color w:val="auto"/>
                </w:rPr>
                <w:t>5</w:t>
              </w:r>
            </w:hyperlink>
          </w:p>
        </w:tc>
      </w:tr>
      <w:tr>
        <w:trPr>
          <w:trHeight w:val="383"/>
        </w:trPr>
        <w:tc>
          <w:tcPr>
            <w:tcW w:w="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4"/>
                <w:szCs w:val="14"/>
                <w:color w:val="0000FF"/>
                <w:w w:val="90"/>
              </w:rPr>
            </w:pPr>
            <w:hyperlink w:anchor="page5">
              <w:r>
                <w:rPr>
                  <w:rFonts w:ascii="Arial" w:cs="Arial" w:eastAsia="Arial" w:hAnsi="Arial"/>
                  <w:sz w:val="14"/>
                  <w:szCs w:val="14"/>
                  <w:color w:val="0000FF"/>
                  <w:w w:val="90"/>
                </w:rPr>
                <w:t>Items 1 and 2.</w:t>
              </w:r>
            </w:hyperlink>
          </w:p>
        </w:tc>
        <w:tc>
          <w:tcPr>
            <w:tcW w:w="280" w:type="dxa"/>
            <w:vAlign w:val="bottom"/>
          </w:tcPr>
          <w:p>
            <w:pPr>
              <w:spacing w:after="0"/>
              <w:rPr>
                <w:sz w:val="24"/>
                <w:szCs w:val="24"/>
                <w:color w:val="auto"/>
              </w:rPr>
            </w:pPr>
          </w:p>
        </w:tc>
        <w:tc>
          <w:tcPr>
            <w:tcW w:w="4240" w:type="dxa"/>
            <w:vAlign w:val="bottom"/>
            <w:gridSpan w:val="16"/>
          </w:tcPr>
          <w:p>
            <w:pPr>
              <w:ind w:left="300"/>
              <w:spacing w:after="0"/>
              <w:rPr>
                <w:rFonts w:ascii="Arial" w:cs="Arial" w:eastAsia="Arial" w:hAnsi="Arial"/>
                <w:sz w:val="14"/>
                <w:szCs w:val="14"/>
                <w:color w:val="0000FF"/>
              </w:rPr>
            </w:pPr>
            <w:hyperlink w:anchor="page5">
              <w:r>
                <w:rPr>
                  <w:rFonts w:ascii="Arial" w:cs="Arial" w:eastAsia="Arial" w:hAnsi="Arial"/>
                  <w:sz w:val="14"/>
                  <w:szCs w:val="14"/>
                  <w:color w:val="0000FF"/>
                </w:rPr>
                <w:t>Business and Properties</w:t>
              </w:r>
            </w:hyperlink>
          </w:p>
        </w:tc>
        <w:tc>
          <w:tcPr>
            <w:tcW w:w="440" w:type="dxa"/>
            <w:vAlign w:val="bottom"/>
            <w:tcBorders>
              <w:top w:val="single" w:sz="8" w:color="0000FF"/>
            </w:tcBorders>
            <w:gridSpan w:val="2"/>
          </w:tcPr>
          <w:p>
            <w:pPr>
              <w:spacing w:after="0"/>
              <w:rPr>
                <w:sz w:val="24"/>
                <w:szCs w:val="24"/>
                <w:color w:val="auto"/>
              </w:rPr>
            </w:pPr>
          </w:p>
        </w:tc>
        <w:tc>
          <w:tcPr>
            <w:tcW w:w="3960" w:type="dxa"/>
            <w:vAlign w:val="bottom"/>
            <w:gridSpan w:val="9"/>
          </w:tcPr>
          <w:p>
            <w:pPr>
              <w:spacing w:after="0"/>
              <w:rPr>
                <w:sz w:val="24"/>
                <w:szCs w:val="24"/>
                <w:color w:val="auto"/>
              </w:rPr>
            </w:pPr>
          </w:p>
        </w:tc>
        <w:tc>
          <w:tcPr>
            <w:tcW w:w="152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42">
              <w:r>
                <w:rPr>
                  <w:rFonts w:ascii="Arial" w:cs="Arial" w:eastAsia="Arial" w:hAnsi="Arial"/>
                  <w:sz w:val="14"/>
                  <w:szCs w:val="14"/>
                  <w:color w:val="0000FF"/>
                  <w:w w:val="84"/>
                </w:rPr>
                <w:t>Item 1A.</w:t>
              </w:r>
            </w:hyperlink>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42">
              <w:r>
                <w:rPr>
                  <w:rFonts w:ascii="Arial" w:cs="Arial" w:eastAsia="Arial" w:hAnsi="Arial"/>
                  <w:sz w:val="14"/>
                  <w:szCs w:val="14"/>
                  <w:color w:val="0000FF"/>
                </w:rPr>
                <w:t>Risk Factors</w:t>
              </w:r>
            </w:hyperlink>
          </w:p>
        </w:tc>
        <w:tc>
          <w:tcPr>
            <w:tcW w:w="152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42</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69">
              <w:r>
                <w:rPr>
                  <w:rFonts w:ascii="Arial" w:cs="Arial" w:eastAsia="Arial" w:hAnsi="Arial"/>
                  <w:sz w:val="14"/>
                  <w:szCs w:val="14"/>
                  <w:color w:val="0000FF"/>
                  <w:w w:val="84"/>
                </w:rPr>
                <w:t>Item 1B.</w:t>
              </w:r>
            </w:hyperlink>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69">
              <w:r>
                <w:rPr>
                  <w:rFonts w:ascii="Arial" w:cs="Arial" w:eastAsia="Arial" w:hAnsi="Arial"/>
                  <w:sz w:val="14"/>
                  <w:szCs w:val="14"/>
                  <w:color w:val="0000FF"/>
                </w:rPr>
                <w:t>Unresolved Staff Comments</w:t>
              </w:r>
            </w:hyperlink>
          </w:p>
        </w:tc>
        <w:tc>
          <w:tcPr>
            <w:tcW w:w="152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rFonts w:ascii="Arial" w:cs="Arial" w:eastAsia="Arial" w:hAnsi="Arial"/>
                <w:sz w:val="14"/>
                <w:szCs w:val="14"/>
                <w:color w:val="0000FF"/>
                <w:w w:val="93"/>
              </w:rPr>
            </w:pPr>
            <w:hyperlink w:anchor="page69">
              <w:r>
                <w:rPr>
                  <w:rFonts w:ascii="Arial" w:cs="Arial" w:eastAsia="Arial" w:hAnsi="Arial"/>
                  <w:sz w:val="14"/>
                  <w:szCs w:val="14"/>
                  <w:color w:val="0000FF"/>
                  <w:w w:val="93"/>
                </w:rPr>
                <w:t>Item 3.</w:t>
              </w:r>
            </w:hyperlink>
          </w:p>
        </w:tc>
        <w:tc>
          <w:tcPr>
            <w:tcW w:w="6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69">
              <w:r>
                <w:rPr>
                  <w:rFonts w:ascii="Arial" w:cs="Arial" w:eastAsia="Arial" w:hAnsi="Arial"/>
                  <w:sz w:val="14"/>
                  <w:szCs w:val="14"/>
                  <w:color w:val="0000FF"/>
                </w:rPr>
                <w:t>Legal Proceedings</w:t>
              </w:r>
            </w:hyperlink>
          </w:p>
        </w:tc>
        <w:tc>
          <w:tcPr>
            <w:tcW w:w="152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rFonts w:ascii="Arial" w:cs="Arial" w:eastAsia="Arial" w:hAnsi="Arial"/>
                <w:sz w:val="14"/>
                <w:szCs w:val="14"/>
                <w:color w:val="0000FF"/>
                <w:w w:val="93"/>
              </w:rPr>
            </w:pPr>
            <w:hyperlink w:anchor="page69">
              <w:r>
                <w:rPr>
                  <w:rFonts w:ascii="Arial" w:cs="Arial" w:eastAsia="Arial" w:hAnsi="Arial"/>
                  <w:sz w:val="14"/>
                  <w:szCs w:val="14"/>
                  <w:color w:val="0000FF"/>
                  <w:w w:val="93"/>
                </w:rPr>
                <w:t>Item 4.</w:t>
              </w:r>
            </w:hyperlink>
          </w:p>
        </w:tc>
        <w:tc>
          <w:tcPr>
            <w:tcW w:w="680" w:type="dxa"/>
            <w:vAlign w:val="bottom"/>
            <w:gridSpan w:val="3"/>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69">
              <w:r>
                <w:rPr>
                  <w:rFonts w:ascii="Arial" w:cs="Arial" w:eastAsia="Arial" w:hAnsi="Arial"/>
                  <w:sz w:val="14"/>
                  <w:szCs w:val="14"/>
                  <w:color w:val="0000FF"/>
                </w:rPr>
                <w:t>Mine Safety Disclosures</w:t>
              </w:r>
            </w:hyperlink>
          </w:p>
        </w:tc>
        <w:tc>
          <w:tcPr>
            <w:tcW w:w="152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373"/>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FF"/>
            </w:tcBorders>
            <w:gridSpan w:val="4"/>
          </w:tcPr>
          <w:p>
            <w:pPr>
              <w:jc w:val="center"/>
              <w:spacing w:after="0"/>
              <w:rPr>
                <w:rFonts w:ascii="Arial" w:cs="Arial" w:eastAsia="Arial" w:hAnsi="Arial"/>
                <w:sz w:val="14"/>
                <w:szCs w:val="14"/>
                <w:b w:val="1"/>
                <w:bCs w:val="1"/>
                <w:color w:val="0000FF"/>
              </w:rPr>
            </w:pPr>
            <w:hyperlink w:anchor="page69">
              <w:r>
                <w:rPr>
                  <w:rFonts w:ascii="Arial" w:cs="Arial" w:eastAsia="Arial" w:hAnsi="Arial"/>
                  <w:sz w:val="14"/>
                  <w:szCs w:val="14"/>
                  <w:b w:val="1"/>
                  <w:bCs w:val="1"/>
                  <w:color w:val="0000FF"/>
                </w:rPr>
                <w:t>PART II</w:t>
              </w:r>
            </w:hyperlink>
          </w:p>
        </w:tc>
        <w:tc>
          <w:tcPr>
            <w:tcW w:w="3920" w:type="dxa"/>
            <w:vAlign w:val="bottom"/>
            <w:gridSpan w:val="8"/>
          </w:tcPr>
          <w:p>
            <w:pPr>
              <w:spacing w:after="0"/>
              <w:rPr>
                <w:sz w:val="24"/>
                <w:szCs w:val="24"/>
                <w:color w:val="auto"/>
              </w:rPr>
            </w:pPr>
          </w:p>
        </w:tc>
        <w:tc>
          <w:tcPr>
            <w:tcW w:w="152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70</w:t>
              </w:r>
            </w:hyperlink>
          </w:p>
        </w:tc>
      </w:tr>
      <w:tr>
        <w:trPr>
          <w:trHeight w:val="373"/>
        </w:trPr>
        <w:tc>
          <w:tcPr>
            <w:tcW w:w="2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FF"/>
                <w:w w:val="93"/>
              </w:rPr>
            </w:pPr>
            <w:hyperlink w:anchor="page70">
              <w:r>
                <w:rPr>
                  <w:rFonts w:ascii="Arial" w:cs="Arial" w:eastAsia="Arial" w:hAnsi="Arial"/>
                  <w:sz w:val="14"/>
                  <w:szCs w:val="14"/>
                  <w:color w:val="0000FF"/>
                  <w:w w:val="93"/>
                </w:rPr>
                <w:t>Item 5.</w:t>
              </w:r>
            </w:hyperlink>
          </w:p>
        </w:tc>
        <w:tc>
          <w:tcPr>
            <w:tcW w:w="680" w:type="dxa"/>
            <w:vAlign w:val="bottom"/>
            <w:gridSpan w:val="3"/>
          </w:tcPr>
          <w:p>
            <w:pPr>
              <w:spacing w:after="0"/>
              <w:rPr>
                <w:sz w:val="24"/>
                <w:szCs w:val="24"/>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70">
              <w:r>
                <w:rPr>
                  <w:rFonts w:ascii="Arial" w:cs="Arial" w:eastAsia="Arial" w:hAnsi="Arial"/>
                  <w:sz w:val="14"/>
                  <w:szCs w:val="14"/>
                  <w:color w:val="0000FF"/>
                </w:rPr>
                <w:t>Market for Registrant’s Common Units, Related Unitholder Matters and Issuer Purchases of Equity Securities</w:t>
              </w:r>
            </w:hyperlink>
          </w:p>
        </w:tc>
        <w:tc>
          <w:tcPr>
            <w:tcW w:w="152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70</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rFonts w:ascii="Arial" w:cs="Arial" w:eastAsia="Arial" w:hAnsi="Arial"/>
                <w:sz w:val="14"/>
                <w:szCs w:val="14"/>
                <w:color w:val="0000FF"/>
                <w:w w:val="93"/>
              </w:rPr>
            </w:pPr>
            <w:hyperlink w:anchor="page72">
              <w:r>
                <w:rPr>
                  <w:rFonts w:ascii="Arial" w:cs="Arial" w:eastAsia="Arial" w:hAnsi="Arial"/>
                  <w:sz w:val="14"/>
                  <w:szCs w:val="14"/>
                  <w:color w:val="0000FF"/>
                  <w:w w:val="93"/>
                </w:rPr>
                <w:t>Item 6.</w:t>
              </w:r>
            </w:hyperlink>
          </w:p>
        </w:tc>
        <w:tc>
          <w:tcPr>
            <w:tcW w:w="680" w:type="dxa"/>
            <w:vAlign w:val="bottom"/>
            <w:gridSpan w:val="3"/>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72">
              <w:r>
                <w:rPr>
                  <w:rFonts w:ascii="Arial" w:cs="Arial" w:eastAsia="Arial" w:hAnsi="Arial"/>
                  <w:sz w:val="14"/>
                  <w:szCs w:val="14"/>
                  <w:color w:val="0000FF"/>
                </w:rPr>
                <w:t>Reserved</w:t>
              </w:r>
            </w:hyperlink>
          </w:p>
        </w:tc>
        <w:tc>
          <w:tcPr>
            <w:tcW w:w="1520" w:type="dxa"/>
            <w:vAlign w:val="bottom"/>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72</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rFonts w:ascii="Arial" w:cs="Arial" w:eastAsia="Arial" w:hAnsi="Arial"/>
                <w:sz w:val="14"/>
                <w:szCs w:val="14"/>
                <w:color w:val="0000FF"/>
                <w:w w:val="93"/>
              </w:rPr>
            </w:pPr>
            <w:hyperlink w:anchor="page72">
              <w:r>
                <w:rPr>
                  <w:rFonts w:ascii="Arial" w:cs="Arial" w:eastAsia="Arial" w:hAnsi="Arial"/>
                  <w:sz w:val="14"/>
                  <w:szCs w:val="14"/>
                  <w:color w:val="0000FF"/>
                  <w:w w:val="93"/>
                </w:rPr>
                <w:t>Item 7.</w:t>
              </w:r>
            </w:hyperlink>
          </w:p>
        </w:tc>
        <w:tc>
          <w:tcPr>
            <w:tcW w:w="680" w:type="dxa"/>
            <w:vAlign w:val="bottom"/>
            <w:gridSpan w:val="3"/>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72">
              <w:r>
                <w:rPr>
                  <w:rFonts w:ascii="Arial" w:cs="Arial" w:eastAsia="Arial" w:hAnsi="Arial"/>
                  <w:sz w:val="14"/>
                  <w:szCs w:val="14"/>
                  <w:color w:val="0000FF"/>
                </w:rPr>
                <w:t>Management’s Discussion and Analysis of Financial Condition and Results of Operations</w:t>
              </w:r>
            </w:hyperlink>
          </w:p>
        </w:tc>
        <w:tc>
          <w:tcPr>
            <w:tcW w:w="1520" w:type="dxa"/>
            <w:vAlign w:val="bottom"/>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72</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99">
              <w:r>
                <w:rPr>
                  <w:rFonts w:ascii="Arial" w:cs="Arial" w:eastAsia="Arial" w:hAnsi="Arial"/>
                  <w:sz w:val="14"/>
                  <w:szCs w:val="14"/>
                  <w:color w:val="0000FF"/>
                  <w:w w:val="84"/>
                </w:rPr>
                <w:t>Item 7A.</w:t>
              </w:r>
            </w:hyperlink>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99">
              <w:r>
                <w:rPr>
                  <w:rFonts w:ascii="Arial" w:cs="Arial" w:eastAsia="Arial" w:hAnsi="Arial"/>
                  <w:sz w:val="14"/>
                  <w:szCs w:val="14"/>
                  <w:color w:val="0000FF"/>
                </w:rPr>
                <w:t>Quantitative and Qualitative Disclosures About Market Risk</w:t>
              </w:r>
            </w:hyperlink>
          </w:p>
        </w:tc>
        <w:tc>
          <w:tcPr>
            <w:tcW w:w="1520" w:type="dxa"/>
            <w:vAlign w:val="bottom"/>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100</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rFonts w:ascii="Arial" w:cs="Arial" w:eastAsia="Arial" w:hAnsi="Arial"/>
                <w:sz w:val="14"/>
                <w:szCs w:val="14"/>
                <w:color w:val="0000FF"/>
                <w:w w:val="93"/>
              </w:rPr>
            </w:pPr>
            <w:hyperlink w:anchor="page101">
              <w:r>
                <w:rPr>
                  <w:rFonts w:ascii="Arial" w:cs="Arial" w:eastAsia="Arial" w:hAnsi="Arial"/>
                  <w:sz w:val="14"/>
                  <w:szCs w:val="14"/>
                  <w:color w:val="0000FF"/>
                  <w:w w:val="93"/>
                </w:rPr>
                <w:t>Item 8.</w:t>
              </w:r>
            </w:hyperlink>
          </w:p>
        </w:tc>
        <w:tc>
          <w:tcPr>
            <w:tcW w:w="6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101">
              <w:r>
                <w:rPr>
                  <w:rFonts w:ascii="Arial" w:cs="Arial" w:eastAsia="Arial" w:hAnsi="Arial"/>
                  <w:sz w:val="14"/>
                  <w:szCs w:val="14"/>
                  <w:color w:val="0000FF"/>
                </w:rPr>
                <w:t>Financial Statements and Supplementary Data</w:t>
              </w:r>
            </w:hyperlink>
          </w:p>
        </w:tc>
        <w:tc>
          <w:tcPr>
            <w:tcW w:w="1520" w:type="dxa"/>
            <w:vAlign w:val="bottom"/>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rFonts w:ascii="Arial" w:cs="Arial" w:eastAsia="Arial" w:hAnsi="Arial"/>
                <w:sz w:val="14"/>
                <w:szCs w:val="14"/>
                <w:color w:val="0000FF"/>
                <w:w w:val="93"/>
              </w:rPr>
            </w:pPr>
            <w:hyperlink w:anchor="page101">
              <w:r>
                <w:rPr>
                  <w:rFonts w:ascii="Arial" w:cs="Arial" w:eastAsia="Arial" w:hAnsi="Arial"/>
                  <w:sz w:val="14"/>
                  <w:szCs w:val="14"/>
                  <w:color w:val="0000FF"/>
                  <w:w w:val="93"/>
                </w:rPr>
                <w:t>Item 9.</w:t>
              </w:r>
            </w:hyperlink>
          </w:p>
        </w:tc>
        <w:tc>
          <w:tcPr>
            <w:tcW w:w="680" w:type="dxa"/>
            <w:vAlign w:val="bottom"/>
            <w:gridSpan w:val="3"/>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101">
              <w:r>
                <w:rPr>
                  <w:rFonts w:ascii="Arial" w:cs="Arial" w:eastAsia="Arial" w:hAnsi="Arial"/>
                  <w:sz w:val="14"/>
                  <w:szCs w:val="14"/>
                  <w:color w:val="0000FF"/>
                </w:rPr>
                <w:t>Changes in and Disagreements With Accountants on Accounting and Financial Disclosure</w:t>
              </w:r>
            </w:hyperlink>
          </w:p>
        </w:tc>
        <w:tc>
          <w:tcPr>
            <w:tcW w:w="1520" w:type="dxa"/>
            <w:vAlign w:val="bottom"/>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101">
              <w:r>
                <w:rPr>
                  <w:rFonts w:ascii="Arial" w:cs="Arial" w:eastAsia="Arial" w:hAnsi="Arial"/>
                  <w:sz w:val="14"/>
                  <w:szCs w:val="14"/>
                  <w:color w:val="0000FF"/>
                  <w:w w:val="84"/>
                </w:rPr>
                <w:t>Item 9A.</w:t>
              </w:r>
            </w:hyperlink>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101">
              <w:r>
                <w:rPr>
                  <w:rFonts w:ascii="Arial" w:cs="Arial" w:eastAsia="Arial" w:hAnsi="Arial"/>
                  <w:sz w:val="14"/>
                  <w:szCs w:val="14"/>
                  <w:color w:val="0000FF"/>
                </w:rPr>
                <w:t>Controls and Procedures</w:t>
              </w:r>
            </w:hyperlink>
          </w:p>
        </w:tc>
        <w:tc>
          <w:tcPr>
            <w:tcW w:w="1520" w:type="dxa"/>
            <w:vAlign w:val="bottom"/>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102">
              <w:r>
                <w:rPr>
                  <w:rFonts w:ascii="Arial" w:cs="Arial" w:eastAsia="Arial" w:hAnsi="Arial"/>
                  <w:sz w:val="14"/>
                  <w:szCs w:val="14"/>
                  <w:color w:val="0000FF"/>
                  <w:w w:val="84"/>
                </w:rPr>
                <w:t>Item 9B.</w:t>
              </w:r>
            </w:hyperlink>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102">
              <w:r>
                <w:rPr>
                  <w:rFonts w:ascii="Arial" w:cs="Arial" w:eastAsia="Arial" w:hAnsi="Arial"/>
                  <w:sz w:val="14"/>
                  <w:szCs w:val="14"/>
                  <w:color w:val="0000FF"/>
                </w:rPr>
                <w:t>Other Information</w:t>
              </w:r>
            </w:hyperlink>
          </w:p>
        </w:tc>
        <w:tc>
          <w:tcPr>
            <w:tcW w:w="1520" w:type="dxa"/>
            <w:vAlign w:val="bottom"/>
          </w:tcPr>
          <w:p>
            <w:pPr>
              <w:jc w:val="right"/>
              <w:spacing w:after="0"/>
              <w:rPr>
                <w:rFonts w:ascii="Arial" w:cs="Arial" w:eastAsia="Arial" w:hAnsi="Arial"/>
                <w:sz w:val="14"/>
                <w:szCs w:val="14"/>
                <w:color w:val="auto"/>
              </w:rPr>
            </w:pPr>
            <w:hyperlink w:anchor="page102">
              <w:r>
                <w:rPr>
                  <w:rFonts w:ascii="Arial" w:cs="Arial" w:eastAsia="Arial" w:hAnsi="Arial"/>
                  <w:sz w:val="14"/>
                  <w:szCs w:val="14"/>
                  <w:color w:val="auto"/>
                </w:rPr>
                <w:t>102</w:t>
              </w:r>
            </w:hyperlink>
          </w:p>
        </w:tc>
      </w:tr>
      <w:tr>
        <w:trPr>
          <w:trHeight w:val="373"/>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0000FF"/>
            </w:tcBorders>
            <w:gridSpan w:val="7"/>
          </w:tcPr>
          <w:p>
            <w:pPr>
              <w:jc w:val="center"/>
              <w:ind w:right="20"/>
              <w:spacing w:after="0"/>
              <w:rPr>
                <w:rFonts w:ascii="Arial" w:cs="Arial" w:eastAsia="Arial" w:hAnsi="Arial"/>
                <w:sz w:val="14"/>
                <w:szCs w:val="14"/>
                <w:b w:val="1"/>
                <w:bCs w:val="1"/>
                <w:color w:val="0000FF"/>
              </w:rPr>
            </w:pPr>
            <w:hyperlink w:anchor="page102">
              <w:r>
                <w:rPr>
                  <w:rFonts w:ascii="Arial" w:cs="Arial" w:eastAsia="Arial" w:hAnsi="Arial"/>
                  <w:sz w:val="14"/>
                  <w:szCs w:val="14"/>
                  <w:b w:val="1"/>
                  <w:bCs w:val="1"/>
                  <w:color w:val="0000FF"/>
                </w:rPr>
                <w:t>PART III</w:t>
              </w:r>
            </w:hyperlink>
          </w:p>
        </w:tc>
        <w:tc>
          <w:tcPr>
            <w:tcW w:w="3880" w:type="dxa"/>
            <w:vAlign w:val="bottom"/>
            <w:gridSpan w:val="6"/>
          </w:tcPr>
          <w:p>
            <w:pPr>
              <w:spacing w:after="0"/>
              <w:rPr>
                <w:sz w:val="24"/>
                <w:szCs w:val="24"/>
                <w:color w:val="auto"/>
              </w:rPr>
            </w:pPr>
          </w:p>
        </w:tc>
        <w:tc>
          <w:tcPr>
            <w:tcW w:w="1520" w:type="dxa"/>
            <w:vAlign w:val="bottom"/>
          </w:tcPr>
          <w:p>
            <w:pPr>
              <w:jc w:val="right"/>
              <w:spacing w:after="0"/>
              <w:rPr>
                <w:rFonts w:ascii="Arial" w:cs="Arial" w:eastAsia="Arial" w:hAnsi="Arial"/>
                <w:sz w:val="14"/>
                <w:szCs w:val="14"/>
                <w:color w:val="auto"/>
              </w:rPr>
            </w:pPr>
            <w:hyperlink w:anchor="page102">
              <w:r>
                <w:rPr>
                  <w:rFonts w:ascii="Arial" w:cs="Arial" w:eastAsia="Arial" w:hAnsi="Arial"/>
                  <w:sz w:val="14"/>
                  <w:szCs w:val="14"/>
                  <w:color w:val="auto"/>
                </w:rPr>
                <w:t>103</w:t>
              </w:r>
            </w:hyperlink>
          </w:p>
        </w:tc>
      </w:tr>
      <w:tr>
        <w:trPr>
          <w:trHeight w:val="373"/>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Item 10.</w:t>
              </w:r>
            </w:hyperlink>
          </w:p>
        </w:tc>
        <w:tc>
          <w:tcPr>
            <w:tcW w:w="8640" w:type="dxa"/>
            <w:vAlign w:val="bottom"/>
            <w:gridSpan w:val="27"/>
          </w:tcPr>
          <w:p>
            <w:pPr>
              <w:ind w:left="300"/>
              <w:spacing w:after="0"/>
              <w:rPr>
                <w:rFonts w:ascii="Arial" w:cs="Arial" w:eastAsia="Arial" w:hAnsi="Arial"/>
                <w:sz w:val="14"/>
                <w:szCs w:val="14"/>
                <w:color w:val="0000FF"/>
              </w:rPr>
            </w:pPr>
            <w:hyperlink w:anchor="page103">
              <w:r>
                <w:rPr>
                  <w:rFonts w:ascii="Arial" w:cs="Arial" w:eastAsia="Arial" w:hAnsi="Arial"/>
                  <w:sz w:val="14"/>
                  <w:szCs w:val="14"/>
                  <w:color w:val="0000FF"/>
                </w:rPr>
                <w:t>Directors and Executive Officers of Our General Partner and Corporate Governance</w:t>
              </w:r>
            </w:hyperlink>
          </w:p>
        </w:tc>
        <w:tc>
          <w:tcPr>
            <w:tcW w:w="15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6"/>
              </w:rPr>
            </w:pPr>
            <w:hyperlink w:anchor="page103">
              <w:r>
                <w:rPr>
                  <w:rFonts w:ascii="Arial" w:cs="Arial" w:eastAsia="Arial" w:hAnsi="Arial"/>
                  <w:sz w:val="14"/>
                  <w:szCs w:val="14"/>
                  <w:color w:val="0000FF"/>
                  <w:w w:val="86"/>
                </w:rPr>
                <w:t>Item 11.</w:t>
              </w:r>
            </w:hyperlink>
          </w:p>
        </w:tc>
        <w:tc>
          <w:tcPr>
            <w:tcW w:w="620" w:type="dxa"/>
            <w:vAlign w:val="bottom"/>
            <w:gridSpan w:val="2"/>
          </w:tcPr>
          <w:p>
            <w:pPr>
              <w:spacing w:after="0"/>
              <w:rPr>
                <w:sz w:val="13"/>
                <w:szCs w:val="13"/>
                <w:color w:val="auto"/>
              </w:rPr>
            </w:pPr>
          </w:p>
        </w:tc>
        <w:tc>
          <w:tcPr>
            <w:tcW w:w="8640" w:type="dxa"/>
            <w:vAlign w:val="bottom"/>
            <w:gridSpan w:val="27"/>
          </w:tcPr>
          <w:p>
            <w:pPr>
              <w:ind w:left="300"/>
              <w:spacing w:after="0"/>
              <w:rPr>
                <w:rFonts w:ascii="Arial" w:cs="Arial" w:eastAsia="Arial" w:hAnsi="Arial"/>
                <w:sz w:val="14"/>
                <w:szCs w:val="14"/>
                <w:color w:val="0000FF"/>
              </w:rPr>
            </w:pPr>
            <w:hyperlink w:anchor="page103">
              <w:r>
                <w:rPr>
                  <w:rFonts w:ascii="Arial" w:cs="Arial" w:eastAsia="Arial" w:hAnsi="Arial"/>
                  <w:sz w:val="14"/>
                  <w:szCs w:val="14"/>
                  <w:color w:val="0000FF"/>
                </w:rPr>
                <w:t>Executive Compensation</w:t>
              </w:r>
            </w:hyperlink>
          </w:p>
        </w:tc>
        <w:tc>
          <w:tcPr>
            <w:tcW w:w="15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4"/>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Item 12.</w:t>
              </w:r>
            </w:hyperlink>
          </w:p>
        </w:tc>
        <w:tc>
          <w:tcPr>
            <w:tcW w:w="8640" w:type="dxa"/>
            <w:vAlign w:val="bottom"/>
            <w:gridSpan w:val="27"/>
          </w:tcPr>
          <w:p>
            <w:pPr>
              <w:ind w:left="300"/>
              <w:spacing w:after="0"/>
              <w:rPr>
                <w:rFonts w:ascii="Arial" w:cs="Arial" w:eastAsia="Arial" w:hAnsi="Arial"/>
                <w:sz w:val="14"/>
                <w:szCs w:val="14"/>
                <w:color w:val="0000FF"/>
              </w:rPr>
            </w:pPr>
            <w:hyperlink w:anchor="page103">
              <w:r>
                <w:rPr>
                  <w:rFonts w:ascii="Arial" w:cs="Arial" w:eastAsia="Arial" w:hAnsi="Arial"/>
                  <w:sz w:val="14"/>
                  <w:szCs w:val="14"/>
                  <w:color w:val="0000FF"/>
                </w:rPr>
                <w:t>Security Ownership of Certain Beneficial Owners and Management and Related Unitholder Matters</w:t>
              </w:r>
            </w:hyperlink>
          </w:p>
        </w:tc>
        <w:tc>
          <w:tcPr>
            <w:tcW w:w="15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4"/>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Item 13.</w:t>
              </w:r>
            </w:hyperlink>
          </w:p>
        </w:tc>
        <w:tc>
          <w:tcPr>
            <w:tcW w:w="8640" w:type="dxa"/>
            <w:vAlign w:val="bottom"/>
            <w:gridSpan w:val="27"/>
          </w:tcPr>
          <w:p>
            <w:pPr>
              <w:ind w:left="300"/>
              <w:spacing w:after="0"/>
              <w:rPr>
                <w:rFonts w:ascii="Arial" w:cs="Arial" w:eastAsia="Arial" w:hAnsi="Arial"/>
                <w:sz w:val="14"/>
                <w:szCs w:val="14"/>
                <w:color w:val="0000FF"/>
              </w:rPr>
            </w:pPr>
            <w:hyperlink w:anchor="page103">
              <w:r>
                <w:rPr>
                  <w:rFonts w:ascii="Arial" w:cs="Arial" w:eastAsia="Arial" w:hAnsi="Arial"/>
                  <w:sz w:val="14"/>
                  <w:szCs w:val="14"/>
                  <w:color w:val="0000FF"/>
                </w:rPr>
                <w:t>Certain Relationships and Related Transactions, and Director Independence</w:t>
              </w:r>
            </w:hyperlink>
          </w:p>
        </w:tc>
        <w:tc>
          <w:tcPr>
            <w:tcW w:w="15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104</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4"/>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Item 14.</w:t>
              </w:r>
            </w:hyperlink>
          </w:p>
        </w:tc>
        <w:tc>
          <w:tcPr>
            <w:tcW w:w="8640" w:type="dxa"/>
            <w:vAlign w:val="bottom"/>
            <w:gridSpan w:val="27"/>
          </w:tcPr>
          <w:p>
            <w:pPr>
              <w:ind w:left="300"/>
              <w:spacing w:after="0"/>
              <w:rPr>
                <w:rFonts w:ascii="Arial" w:cs="Arial" w:eastAsia="Arial" w:hAnsi="Arial"/>
                <w:sz w:val="14"/>
                <w:szCs w:val="14"/>
                <w:color w:val="0000FF"/>
              </w:rPr>
            </w:pPr>
            <w:hyperlink w:anchor="page104">
              <w:r>
                <w:rPr>
                  <w:rFonts w:ascii="Arial" w:cs="Arial" w:eastAsia="Arial" w:hAnsi="Arial"/>
                  <w:sz w:val="14"/>
                  <w:szCs w:val="14"/>
                  <w:color w:val="0000FF"/>
                </w:rPr>
                <w:t>Principal Accountant Fees and Services</w:t>
              </w:r>
            </w:hyperlink>
          </w:p>
        </w:tc>
        <w:tc>
          <w:tcPr>
            <w:tcW w:w="1520" w:type="dxa"/>
            <w:vAlign w:val="bottom"/>
          </w:tcPr>
          <w:p>
            <w:pPr>
              <w:jc w:val="right"/>
              <w:spacing w:after="0"/>
              <w:rPr>
                <w:rFonts w:ascii="Arial" w:cs="Arial" w:eastAsia="Arial" w:hAnsi="Arial"/>
                <w:sz w:val="14"/>
                <w:szCs w:val="14"/>
                <w:color w:val="auto"/>
              </w:rPr>
            </w:pPr>
            <w:hyperlink w:anchor="page104">
              <w:r>
                <w:rPr>
                  <w:rFonts w:ascii="Arial" w:cs="Arial" w:eastAsia="Arial" w:hAnsi="Arial"/>
                  <w:sz w:val="14"/>
                  <w:szCs w:val="14"/>
                  <w:color w:val="auto"/>
                </w:rPr>
                <w:t>104</w:t>
              </w:r>
            </w:hyperlink>
          </w:p>
        </w:tc>
      </w:tr>
      <w:tr>
        <w:trPr>
          <w:trHeight w:val="373"/>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gridSpan w:val="13"/>
          </w:tcPr>
          <w:p>
            <w:pPr>
              <w:jc w:val="center"/>
              <w:ind w:right="3900"/>
              <w:spacing w:after="0"/>
              <w:rPr>
                <w:rFonts w:ascii="Arial" w:cs="Arial" w:eastAsia="Arial" w:hAnsi="Arial"/>
                <w:sz w:val="14"/>
                <w:szCs w:val="14"/>
                <w:b w:val="1"/>
                <w:bCs w:val="1"/>
                <w:color w:val="0000FF"/>
              </w:rPr>
            </w:pPr>
            <w:hyperlink w:anchor="page104">
              <w:r>
                <w:rPr>
                  <w:rFonts w:ascii="Arial" w:cs="Arial" w:eastAsia="Arial" w:hAnsi="Arial"/>
                  <w:sz w:val="14"/>
                  <w:szCs w:val="14"/>
                  <w:b w:val="1"/>
                  <w:bCs w:val="1"/>
                  <w:color w:val="0000FF"/>
                </w:rPr>
                <w:t>PART IV</w:t>
              </w:r>
            </w:hyperlink>
          </w:p>
        </w:tc>
        <w:tc>
          <w:tcPr>
            <w:tcW w:w="1520" w:type="dxa"/>
            <w:vAlign w:val="bottom"/>
          </w:tcPr>
          <w:p>
            <w:pPr>
              <w:jc w:val="right"/>
              <w:spacing w:after="0"/>
              <w:rPr>
                <w:rFonts w:ascii="Arial" w:cs="Arial" w:eastAsia="Arial" w:hAnsi="Arial"/>
                <w:sz w:val="14"/>
                <w:szCs w:val="14"/>
                <w:color w:val="auto"/>
              </w:rPr>
            </w:pPr>
            <w:hyperlink w:anchor="page104">
              <w:r>
                <w:rPr>
                  <w:rFonts w:ascii="Arial" w:cs="Arial" w:eastAsia="Arial" w:hAnsi="Arial"/>
                  <w:sz w:val="14"/>
                  <w:szCs w:val="14"/>
                  <w:color w:val="auto"/>
                </w:rPr>
                <w:t>105</w:t>
              </w:r>
            </w:hyperlink>
          </w:p>
        </w:tc>
      </w:tr>
      <w:tr>
        <w:trPr>
          <w:trHeight w:val="373"/>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Item 15.</w:t>
              </w:r>
            </w:hyperlink>
          </w:p>
        </w:tc>
        <w:tc>
          <w:tcPr>
            <w:tcW w:w="4200" w:type="dxa"/>
            <w:vAlign w:val="bottom"/>
            <w:gridSpan w:val="15"/>
          </w:tcPr>
          <w:p>
            <w:pPr>
              <w:ind w:left="300"/>
              <w:spacing w:after="0"/>
              <w:rPr>
                <w:rFonts w:ascii="Arial" w:cs="Arial" w:eastAsia="Arial" w:hAnsi="Arial"/>
                <w:sz w:val="14"/>
                <w:szCs w:val="14"/>
                <w:color w:val="0000FF"/>
              </w:rPr>
            </w:pPr>
            <w:hyperlink w:anchor="page105">
              <w:r>
                <w:rPr>
                  <w:rFonts w:ascii="Arial" w:cs="Arial" w:eastAsia="Arial" w:hAnsi="Arial"/>
                  <w:sz w:val="14"/>
                  <w:szCs w:val="14"/>
                  <w:color w:val="0000FF"/>
                </w:rPr>
                <w:t>Exhibits and Financial Statement Schedules</w:t>
              </w:r>
            </w:hyperlink>
          </w:p>
        </w:tc>
        <w:tc>
          <w:tcPr>
            <w:tcW w:w="540" w:type="dxa"/>
            <w:vAlign w:val="bottom"/>
            <w:tcBorders>
              <w:top w:val="single" w:sz="8" w:color="0000FF"/>
            </w:tcBorders>
            <w:gridSpan w:val="5"/>
          </w:tcPr>
          <w:p>
            <w:pPr>
              <w:spacing w:after="0"/>
              <w:rPr>
                <w:sz w:val="24"/>
                <w:szCs w:val="24"/>
                <w:color w:val="auto"/>
              </w:rPr>
            </w:pPr>
          </w:p>
        </w:tc>
        <w:tc>
          <w:tcPr>
            <w:tcW w:w="3900" w:type="dxa"/>
            <w:vAlign w:val="bottom"/>
            <w:gridSpan w:val="7"/>
          </w:tcPr>
          <w:p>
            <w:pPr>
              <w:spacing w:after="0"/>
              <w:rPr>
                <w:sz w:val="24"/>
                <w:szCs w:val="24"/>
                <w:color w:val="auto"/>
              </w:rPr>
            </w:pPr>
          </w:p>
        </w:tc>
        <w:tc>
          <w:tcPr>
            <w:tcW w:w="1520" w:type="dxa"/>
            <w:vAlign w:val="bottom"/>
          </w:tcPr>
          <w:p>
            <w:pPr>
              <w:jc w:val="right"/>
              <w:spacing w:after="0"/>
              <w:rPr>
                <w:rFonts w:ascii="Arial" w:cs="Arial" w:eastAsia="Arial" w:hAnsi="Arial"/>
                <w:sz w:val="14"/>
                <w:szCs w:val="14"/>
                <w:color w:val="auto"/>
              </w:rPr>
            </w:pPr>
            <w:hyperlink w:anchor="page105">
              <w:r>
                <w:rPr>
                  <w:rFonts w:ascii="Arial" w:cs="Arial" w:eastAsia="Arial" w:hAnsi="Arial"/>
                  <w:sz w:val="14"/>
                  <w:szCs w:val="14"/>
                  <w:color w:val="auto"/>
                </w:rPr>
                <w:t>105</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4"/>
          </w:tcPr>
          <w:p>
            <w:pPr>
              <w:spacing w:after="0"/>
              <w:rPr>
                <w:rFonts w:ascii="Arial" w:cs="Arial" w:eastAsia="Arial" w:hAnsi="Arial"/>
                <w:sz w:val="14"/>
                <w:szCs w:val="14"/>
                <w:color w:val="0000FF"/>
              </w:rPr>
            </w:pPr>
            <w:hyperlink w:anchor="page110">
              <w:r>
                <w:rPr>
                  <w:rFonts w:ascii="Arial" w:cs="Arial" w:eastAsia="Arial" w:hAnsi="Arial"/>
                  <w:sz w:val="14"/>
                  <w:szCs w:val="14"/>
                  <w:color w:val="0000FF"/>
                </w:rPr>
                <w:t>Item 16.</w:t>
              </w:r>
            </w:hyperlink>
          </w:p>
        </w:tc>
        <w:tc>
          <w:tcPr>
            <w:tcW w:w="8640" w:type="dxa"/>
            <w:vAlign w:val="bottom"/>
            <w:gridSpan w:val="27"/>
          </w:tcPr>
          <w:p>
            <w:pPr>
              <w:ind w:left="300"/>
              <w:spacing w:after="0"/>
              <w:rPr>
                <w:rFonts w:ascii="Arial" w:cs="Arial" w:eastAsia="Arial" w:hAnsi="Arial"/>
                <w:sz w:val="14"/>
                <w:szCs w:val="14"/>
                <w:color w:val="0000FF"/>
              </w:rPr>
            </w:pPr>
            <w:hyperlink w:anchor="page110">
              <w:r>
                <w:rPr>
                  <w:rFonts w:ascii="Arial" w:cs="Arial" w:eastAsia="Arial" w:hAnsi="Arial"/>
                  <w:sz w:val="14"/>
                  <w:szCs w:val="14"/>
                  <w:color w:val="0000FF"/>
                </w:rPr>
                <w:t>Form 10-K Summary</w:t>
              </w:r>
            </w:hyperlink>
          </w:p>
        </w:tc>
        <w:tc>
          <w:tcPr>
            <w:tcW w:w="1520" w:type="dxa"/>
            <w:vAlign w:val="bottom"/>
          </w:tcPr>
          <w:p>
            <w:pPr>
              <w:jc w:val="right"/>
              <w:spacing w:after="0"/>
              <w:rPr>
                <w:rFonts w:ascii="Arial" w:cs="Arial" w:eastAsia="Arial" w:hAnsi="Arial"/>
                <w:sz w:val="14"/>
                <w:szCs w:val="14"/>
                <w:color w:val="auto"/>
              </w:rPr>
            </w:pPr>
            <w:hyperlink w:anchor="page110">
              <w:r>
                <w:rPr>
                  <w:rFonts w:ascii="Arial" w:cs="Arial" w:eastAsia="Arial" w:hAnsi="Arial"/>
                  <w:sz w:val="14"/>
                  <w:szCs w:val="14"/>
                  <w:color w:val="auto"/>
                </w:rPr>
                <w:t>110</w:t>
              </w:r>
            </w:hyperlink>
          </w:p>
        </w:tc>
      </w:tr>
      <w:tr>
        <w:trPr>
          <w:trHeight w:val="881"/>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Borders>
              <w:top w:val="single" w:sz="8" w:color="0000FF"/>
            </w:tcBorders>
            <w:gridSpan w:val="4"/>
          </w:tcPr>
          <w:p>
            <w:pPr>
              <w:spacing w:after="0"/>
              <w:rPr>
                <w:sz w:val="24"/>
                <w:szCs w:val="24"/>
                <w:color w:val="auto"/>
              </w:rPr>
            </w:pPr>
          </w:p>
        </w:tc>
        <w:tc>
          <w:tcPr>
            <w:tcW w:w="3060" w:type="dxa"/>
            <w:vAlign w:val="bottom"/>
            <w:gridSpan w:val="1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 w:name="page3"/>
    <w:bookmarkEnd w:id="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289"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04" w:lineRule="exact"/>
        <w:rPr>
          <w:sz w:val="20"/>
          <w:szCs w:val="20"/>
          <w:color w:val="auto"/>
        </w:rPr>
      </w:pPr>
    </w:p>
    <w:p>
      <w:pPr>
        <w:ind w:left="760" w:hanging="246"/>
        <w:spacing w:after="0" w:line="26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1"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47"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unanticipated changes in crude oil and NGL market structure, grade differentials and volatility (or lack thereof);</w:t>
      </w:r>
    </w:p>
    <w:p>
      <w:pPr>
        <w:spacing w:after="0" w:line="93" w:lineRule="exact"/>
        <w:rPr>
          <w:rFonts w:ascii="Arial" w:cs="Arial" w:eastAsia="Arial" w:hAnsi="Arial"/>
          <w:sz w:val="14"/>
          <w:szCs w:val="14"/>
          <w:color w:val="auto"/>
        </w:rPr>
      </w:pPr>
    </w:p>
    <w:p>
      <w:pPr>
        <w:ind w:left="760" w:right="80" w:hanging="246"/>
        <w:spacing w:after="0" w:line="331" w:lineRule="auto"/>
        <w:tabs>
          <w:tab w:leader="none" w:pos="756" w:val="left"/>
        </w:tabs>
        <w:numPr>
          <w:ilvl w:val="0"/>
          <w:numId w:val="3"/>
        </w:numPr>
        <w:rPr>
          <w:rFonts w:ascii="Arial" w:cs="Arial" w:eastAsia="Arial" w:hAnsi="Arial"/>
          <w:sz w:val="12"/>
          <w:szCs w:val="12"/>
          <w:color w:val="auto"/>
        </w:rPr>
      </w:pPr>
      <w:r>
        <w:rPr>
          <w:rFonts w:ascii="Arial" w:cs="Arial" w:eastAsia="Arial" w:hAnsi="Arial"/>
          <w:sz w:val="12"/>
          <w:szCs w:val="12"/>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23" w:lineRule="exact"/>
        <w:rPr>
          <w:rFonts w:ascii="Arial" w:cs="Arial" w:eastAsia="Arial" w:hAnsi="Arial"/>
          <w:sz w:val="12"/>
          <w:szCs w:val="12"/>
          <w:color w:val="auto"/>
        </w:rPr>
      </w:pPr>
    </w:p>
    <w:p>
      <w:pPr>
        <w:ind w:left="760" w:right="40" w:hanging="246"/>
        <w:spacing w:after="0" w:line="267"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56"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environmental liabilities, litigation or other events that are not covered by an indemnity, insurance or existing reserves;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loss of key personnel and inability to attract and retain new talent;</w:t>
      </w:r>
    </w:p>
    <w:p>
      <w:pPr>
        <w:spacing w:after="0" w:line="93" w:lineRule="exact"/>
        <w:rPr>
          <w:rFonts w:ascii="Arial" w:cs="Arial" w:eastAsia="Arial" w:hAnsi="Arial"/>
          <w:sz w:val="14"/>
          <w:szCs w:val="14"/>
          <w:color w:val="auto"/>
        </w:rPr>
      </w:pPr>
    </w:p>
    <w:p>
      <w:pPr>
        <w:ind w:left="760" w:right="56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of, and our ability to consummate, divestitures, joint ventures, acquisitions or other strategic opportunities;</w:t>
      </w:r>
    </w:p>
    <w:p>
      <w:pPr>
        <w:spacing w:after="0" w:line="93" w:lineRule="exact"/>
        <w:rPr>
          <w:rFonts w:ascii="Arial" w:cs="Arial" w:eastAsia="Arial" w:hAnsi="Arial"/>
          <w:sz w:val="14"/>
          <w:szCs w:val="14"/>
          <w:color w:val="auto"/>
        </w:rPr>
      </w:pPr>
    </w:p>
    <w:p>
      <w:pPr>
        <w:ind w:left="760" w:right="58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maintenance of our credit rating and ability to receive open credit from our suppliers and trade counterparties;</w:t>
      </w:r>
    </w:p>
    <w:p>
      <w:pPr>
        <w:spacing w:after="0" w:line="93"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weather interference with business operations or project construction, including the impact of extreme weather events or conditions;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 w:name="page4"/>
    <w:bookmarkEnd w:id="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significant under-utilization of our assets and facilities;</w:t>
      </w:r>
    </w:p>
    <w:p>
      <w:pPr>
        <w:spacing w:after="0" w:line="93" w:lineRule="exact"/>
        <w:rPr>
          <w:rFonts w:ascii="Arial" w:cs="Arial" w:eastAsia="Arial" w:hAnsi="Arial"/>
          <w:sz w:val="14"/>
          <w:szCs w:val="14"/>
          <w:color w:val="auto"/>
        </w:rPr>
      </w:pPr>
    </w:p>
    <w:p>
      <w:pPr>
        <w:ind w:left="760" w:hanging="246"/>
        <w:spacing w:after="0" w:line="262"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0"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incurrence of costs and expenses related to unexpected or unplanned capital expenditures, third-party claims or other factors;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disruptions to futures markets for crude oil, NGL and other petroleum products, which may impair our ability to execute our commercial or hedging strategies;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implement or capitalize, or delays in implementing or capitalizing, on investment capital projects, whether due to permitting delays, permitting withdrawals or other factors;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shortages or cost increases of supplies, materials or labor;</w:t>
      </w:r>
    </w:p>
    <w:p>
      <w:pPr>
        <w:spacing w:after="0" w:line="9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amplification of other risks caused by volatile financial markets, capital constraints, liquidity concerns and inflation;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use or availability of third-party assets upon which our operations depend and over which we have little or no control;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currency exchange rate of the Canadian dollar to the United States dollar;</w:t>
      </w:r>
    </w:p>
    <w:p>
      <w:pPr>
        <w:spacing w:after="0" w:line="93" w:lineRule="exact"/>
        <w:rPr>
          <w:rFonts w:ascii="Arial" w:cs="Arial" w:eastAsia="Arial" w:hAnsi="Arial"/>
          <w:sz w:val="14"/>
          <w:szCs w:val="14"/>
          <w:color w:val="auto"/>
        </w:rPr>
      </w:pPr>
    </w:p>
    <w:p>
      <w:pPr>
        <w:ind w:left="760" w:right="20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inability to recognize current revenue attributable to deficiency payments received from customers who fail to ship or move more than minimum contracted volumes until the related credits expire or are used;</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costs, or lack of availability, of insurance;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activities;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debt and equity markets, including the price of our units at the time of vesting under our long-term incentive plans;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the development and operation of our assets; and</w:t>
      </w:r>
    </w:p>
    <w:p>
      <w:pPr>
        <w:spacing w:after="0" w:line="93" w:lineRule="exact"/>
        <w:rPr>
          <w:rFonts w:ascii="Arial" w:cs="Arial" w:eastAsia="Arial" w:hAnsi="Arial"/>
          <w:sz w:val="14"/>
          <w:szCs w:val="14"/>
          <w:color w:val="auto"/>
        </w:rPr>
      </w:pPr>
    </w:p>
    <w:p>
      <w:pPr>
        <w:ind w:left="760" w:right="32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47"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4" w:name="page5"/>
    <w:bookmarkEnd w:id="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Items 1 and 2. </w:t>
      </w:r>
      <w:r>
        <w:rPr>
          <w:rFonts w:ascii="Arial" w:cs="Arial" w:eastAsia="Arial" w:hAnsi="Arial"/>
          <w:sz w:val="14"/>
          <w:szCs w:val="14"/>
          <w:b w:val="1"/>
          <w:bCs w:val="1"/>
          <w:i w:val="1"/>
          <w:iCs w:val="1"/>
          <w:color w:val="auto"/>
        </w:rPr>
        <w:t>Business and Properties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and NGL.</w:t>
      </w:r>
    </w:p>
    <w:p>
      <w:pPr>
        <w:spacing w:after="0" w:line="168" w:lineRule="exact"/>
        <w:rPr>
          <w:sz w:val="20"/>
          <w:szCs w:val="20"/>
          <w:color w:val="auto"/>
        </w:rPr>
      </w:pPr>
    </w:p>
    <w:p>
      <w:pPr>
        <w:ind w:right="140" w:firstLine="509"/>
        <w:spacing w:after="0" w:line="284" w:lineRule="auto"/>
        <w:rPr>
          <w:sz w:val="20"/>
          <w:szCs w:val="20"/>
          <w:color w:val="auto"/>
        </w:rPr>
      </w:pPr>
      <w:r>
        <w:rPr>
          <w:rFonts w:ascii="Arial" w:cs="Arial" w:eastAsia="Arial" w:hAnsi="Arial"/>
          <w:sz w:val="13"/>
          <w:szCs w:val="13"/>
          <w:color w:val="auto"/>
        </w:rPr>
        <w:t>Our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critical and valuable.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operations are conducted directly and indirectly through our primary operating subsidiaries, which comprise 100% of the assets and operations affiliated with Plains and its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Form 10-K and unless the context indicates otherwise, the terms “Partnership,” “Plains,” “PAA,” “we,” “us,” “our,” “ours” and similar terms refer to Plains All American Pipeline, L.P.</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Organizational Structure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diagram below shows our organizational structure as of December 31, 2021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147955</wp:posOffset>
            </wp:positionV>
            <wp:extent cx="4608195" cy="5672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08195"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3" w:right="1440" w:bottom="1440" w:gutter="0" w:footer="0" w:header="0"/>
        </w:sectPr>
      </w:pPr>
    </w:p>
    <w:bookmarkStart w:id="6" w:name="page7"/>
    <w:bookmarkEnd w:id="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22974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20" w:hanging="515"/>
        <w:spacing w:after="0" w:line="262" w:lineRule="auto"/>
        <w:tabs>
          <w:tab w:leader="none" w:pos="51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Each Class C share represents a non-economic limited partner interest in PAGP.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60" w:lineRule="exact"/>
        <w:rPr>
          <w:rFonts w:ascii="Arial" w:cs="Arial" w:eastAsia="Arial" w:hAnsi="Arial"/>
          <w:sz w:val="17"/>
          <w:szCs w:val="17"/>
          <w:color w:val="auto"/>
          <w:vertAlign w:val="superscript"/>
        </w:rPr>
      </w:pPr>
    </w:p>
    <w:p>
      <w:pPr>
        <w:ind w:left="520" w:right="360" w:hanging="515"/>
        <w:spacing w:after="0" w:line="262" w:lineRule="auto"/>
        <w:tabs>
          <w:tab w:leader="none" w:pos="51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The Partnership holds (i) direct and indirect ownership interests in consolidated operating subsidiaries including, but not limited to, Plains Marketing, L.P., Plains Pipeline, L.P., Plains Midstream Canada ULC (“PMCULC”), Plains Oryx Permian Basin LLC (the “Permian JV”) and Red River Pipeline Company LLC (“Red River”) and (ii) indirect equity interests in unconsolidated entities including, but not limited to, BridgeTex Pipeline Company, LLC, Cactus II Pipeline LLC, Capline Pipeline Company LLC, Diamond Pipeline LLC, Eagle Ford Pipeline LLC, Eagle Ford Terminals Corpus Christi LLC, Saddlehorn Pipeline Company, LLC, White Cliffs Pipeline, L.L.C. and Wink to Webster Pipeline LLC.</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Strategy</w:t>
      </w:r>
    </w:p>
    <w:p>
      <w:pPr>
        <w:spacing w:after="0" w:line="2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spacing w:after="0" w:line="78" w:lineRule="exact"/>
        <w:rPr>
          <w:sz w:val="20"/>
          <w:szCs w:val="20"/>
          <w:color w:val="auto"/>
        </w:rPr>
      </w:pPr>
    </w:p>
    <w:p>
      <w:pPr>
        <w:ind w:left="820" w:hanging="30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Focusing on operational excellence, continuous improvement and running a safe, reliable, environmentally and socially responsible operation;</w:t>
      </w:r>
    </w:p>
    <w:p>
      <w:pPr>
        <w:spacing w:after="0" w:line="93" w:lineRule="exact"/>
        <w:rPr>
          <w:rFonts w:ascii="Arial" w:cs="Arial" w:eastAsia="Arial" w:hAnsi="Arial"/>
          <w:sz w:val="14"/>
          <w:szCs w:val="14"/>
          <w:color w:val="auto"/>
        </w:rPr>
      </w:pPr>
    </w:p>
    <w:p>
      <w:pPr>
        <w:ind w:left="840" w:right="20" w:hanging="326"/>
        <w:spacing w:after="0" w:line="281" w:lineRule="auto"/>
        <w:tabs>
          <w:tab w:leader="none" w:pos="836" w:val="left"/>
        </w:tabs>
        <w:numPr>
          <w:ilvl w:val="0"/>
          <w:numId w:val="6"/>
        </w:numPr>
        <w:rPr>
          <w:rFonts w:ascii="Arial" w:cs="Arial" w:eastAsia="Arial" w:hAnsi="Arial"/>
          <w:sz w:val="14"/>
          <w:szCs w:val="14"/>
          <w:color w:val="auto"/>
        </w:rPr>
      </w:pPr>
      <w:r>
        <w:rPr>
          <w:rFonts w:ascii="Arial" w:cs="Arial" w:eastAsia="Arial" w:hAnsi="Arial"/>
          <w:sz w:val="14"/>
          <w:szCs w:val="14"/>
          <w:color w:val="auto"/>
        </w:rPr>
        <w:t>Using our well positioned network of midstream infrastructure in conjunction with our commercial capabilities to provide our customers with market access, flexibility and value chain solutions, capture market opportunities, address physical market imbalances, mitigate risks and generate sustainable cash flow and margin;</w:t>
      </w:r>
    </w:p>
    <w:p>
      <w:pPr>
        <w:spacing w:after="0" w:line="47" w:lineRule="exact"/>
        <w:rPr>
          <w:rFonts w:ascii="Arial" w:cs="Arial" w:eastAsia="Arial" w:hAnsi="Arial"/>
          <w:sz w:val="14"/>
          <w:szCs w:val="14"/>
          <w:color w:val="auto"/>
        </w:rPr>
      </w:pPr>
    </w:p>
    <w:p>
      <w:pPr>
        <w:ind w:left="820" w:hanging="306"/>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Optimizing our asset portfolio and operations (including for emerging energy opportunities) to maximize returns on invested capital; and</w:t>
      </w:r>
    </w:p>
    <w:p>
      <w:pPr>
        <w:spacing w:after="0" w:line="93" w:lineRule="exact"/>
        <w:rPr>
          <w:rFonts w:ascii="Arial" w:cs="Arial" w:eastAsia="Arial" w:hAnsi="Arial"/>
          <w:sz w:val="14"/>
          <w:szCs w:val="14"/>
          <w:color w:val="auto"/>
        </w:rPr>
      </w:pPr>
    </w:p>
    <w:p>
      <w:pPr>
        <w:ind w:left="840" w:right="260" w:hanging="326"/>
        <w:spacing w:after="0" w:line="281" w:lineRule="auto"/>
        <w:tabs>
          <w:tab w:leader="none" w:pos="836"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Pursuing a balanced, long-term financial strategy that is focused on maintaining an investment grade credit profile and enhancing financial flexibility by making disciplined capital allocation decisions.</w:t>
      </w:r>
    </w:p>
    <w:p>
      <w:pPr>
        <w:spacing w:after="0" w:line="153"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We believe successful execution of this strategy will enable us to generate sustainable earnings and cash flow, and will position us to reduce leverage and maintain an investment grade credit profile while increasing returns to equity holders over time.</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7" w:name="page8"/>
    <w:bookmarkEnd w:id="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Strengths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that the following competitive strengths position us to successfully execute our principal business strategy:</w:t>
      </w:r>
    </w:p>
    <w:p>
      <w:pPr>
        <w:spacing w:after="0" w:line="125" w:lineRule="exact"/>
        <w:rPr>
          <w:sz w:val="20"/>
          <w:szCs w:val="20"/>
          <w:color w:val="auto"/>
        </w:rPr>
      </w:pPr>
    </w:p>
    <w:p>
      <w:pPr>
        <w:ind w:left="760" w:right="20" w:hanging="246"/>
        <w:spacing w:after="0" w:line="258" w:lineRule="auto"/>
        <w:tabs>
          <w:tab w:leader="none" w:pos="75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We own a strategically located, geographically diverse and interconnected large-scale asset base that provides operational flexibility and commercial optionality. </w:t>
      </w:r>
      <w:r>
        <w:rPr>
          <w:rFonts w:ascii="Arial" w:cs="Arial" w:eastAsia="Arial" w:hAnsi="Arial"/>
          <w:sz w:val="14"/>
          <w:szCs w:val="14"/>
          <w:color w:val="auto"/>
        </w:rPr>
        <w:t>The majority of our</w:t>
      </w:r>
      <w:r>
        <w:rPr>
          <w:rFonts w:ascii="Arial" w:cs="Arial" w:eastAsia="Arial" w:hAnsi="Arial"/>
          <w:sz w:val="14"/>
          <w:szCs w:val="14"/>
          <w:i w:val="1"/>
          <w:iCs w:val="1"/>
          <w:color w:val="auto"/>
        </w:rPr>
        <w:t xml:space="preserve"> </w:t>
      </w:r>
      <w:r>
        <w:rPr>
          <w:rFonts w:ascii="Arial" w:cs="Arial" w:eastAsia="Arial" w:hAnsi="Arial"/>
          <w:sz w:val="14"/>
          <w:szCs w:val="14"/>
          <w:color w:val="auto"/>
        </w:rPr>
        <w:t>primary transportation assets are in crude oil service, are located in well-established crude oil 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rail, truck and storage assets provide our customers and us with significant flexibility and optionality to satisfy demand and balance markets, and participate in emerging energy opportunities.</w:t>
      </w:r>
    </w:p>
    <w:p>
      <w:pPr>
        <w:spacing w:after="0" w:line="107" w:lineRule="exact"/>
        <w:rPr>
          <w:rFonts w:ascii="Arial" w:cs="Arial" w:eastAsia="Arial" w:hAnsi="Arial"/>
          <w:sz w:val="14"/>
          <w:szCs w:val="14"/>
          <w:i w:val="1"/>
          <w:iCs w:val="1"/>
          <w:color w:val="auto"/>
        </w:rPr>
      </w:pPr>
    </w:p>
    <w:p>
      <w:pPr>
        <w:ind w:left="760" w:hanging="246"/>
        <w:spacing w:after="0" w:line="260"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Our full-service integrated model and long-term focus attracts broad, diverse and high-quality customer base that supports sustainable fee-based cash flow generation. </w:t>
      </w:r>
      <w:r>
        <w:rPr>
          <w:rFonts w:ascii="Arial" w:cs="Arial" w:eastAsia="Arial" w:hAnsi="Arial"/>
          <w:sz w:val="14"/>
          <w:szCs w:val="14"/>
          <w:color w:val="auto"/>
        </w:rPr>
        <w:t>Our strategically</w:t>
      </w:r>
      <w:r>
        <w:rPr>
          <w:rFonts w:ascii="Arial" w:cs="Arial" w:eastAsia="Arial" w:hAnsi="Arial"/>
          <w:sz w:val="14"/>
          <w:szCs w:val="14"/>
          <w:i w:val="1"/>
          <w:iCs w:val="1"/>
          <w:color w:val="auto"/>
        </w:rPr>
        <w:t xml:space="preserve"> </w:t>
      </w:r>
      <w:r>
        <w:rPr>
          <w:rFonts w:ascii="Arial" w:cs="Arial" w:eastAsia="Arial" w:hAnsi="Arial"/>
          <w:sz w:val="14"/>
          <w:szCs w:val="14"/>
          <w:color w:val="auto"/>
        </w:rPr>
        <w:t>located and interconnected asset base enables us to provide our customers with a wide variety of 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104" w:lineRule="exact"/>
        <w:rPr>
          <w:rFonts w:ascii="Arial" w:cs="Arial" w:eastAsia="Arial" w:hAnsi="Arial"/>
          <w:sz w:val="14"/>
          <w:szCs w:val="14"/>
          <w:color w:val="auto"/>
        </w:rPr>
      </w:pPr>
    </w:p>
    <w:p>
      <w:pPr>
        <w:ind w:left="760" w:right="120" w:hanging="246"/>
        <w:spacing w:after="0" w:line="297" w:lineRule="auto"/>
        <w:tabs>
          <w:tab w:leader="none" w:pos="756"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We possess specialized crude oil and NGL market knowledge. </w:t>
      </w:r>
      <w:r>
        <w:rPr>
          <w:rFonts w:ascii="Arial" w:cs="Arial" w:eastAsia="Arial" w:hAnsi="Arial"/>
          <w:sz w:val="13"/>
          <w:szCs w:val="13"/>
          <w:color w:val="auto"/>
        </w:rPr>
        <w:t>We believe our business relationships with participants in various phases of the crude oil and NGL distribution chain,</w:t>
      </w:r>
      <w:r>
        <w:rPr>
          <w:rFonts w:ascii="Arial" w:cs="Arial" w:eastAsia="Arial" w:hAnsi="Arial"/>
          <w:sz w:val="13"/>
          <w:szCs w:val="13"/>
          <w:i w:val="1"/>
          <w:iCs w:val="1"/>
          <w:color w:val="auto"/>
        </w:rPr>
        <w:t xml:space="preserve"> </w:t>
      </w:r>
      <w:r>
        <w:rPr>
          <w:rFonts w:ascii="Arial" w:cs="Arial" w:eastAsia="Arial" w:hAnsi="Arial"/>
          <w:sz w:val="13"/>
          <w:szCs w:val="13"/>
          <w:color w:val="auto"/>
        </w:rPr>
        <w:t>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81" w:lineRule="exact"/>
        <w:rPr>
          <w:rFonts w:ascii="Arial" w:cs="Arial" w:eastAsia="Arial" w:hAnsi="Arial"/>
          <w:sz w:val="13"/>
          <w:szCs w:val="13"/>
          <w:color w:val="auto"/>
        </w:rPr>
      </w:pPr>
    </w:p>
    <w:p>
      <w:pPr>
        <w:ind w:left="760" w:right="300" w:hanging="246"/>
        <w:spacing w:after="0" w:line="281"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Our merchant activities provide us with the opportunity to realize incremental margins. </w:t>
      </w:r>
      <w:r>
        <w:rPr>
          <w:rFonts w:ascii="Arial" w:cs="Arial" w:eastAsia="Arial" w:hAnsi="Arial"/>
          <w:sz w:val="14"/>
          <w:szCs w:val="14"/>
          <w:color w:val="auto"/>
        </w:rPr>
        <w:t>We believe the variety of our merchant activities provides us with a low-risk opportunity to</w:t>
      </w:r>
      <w:r>
        <w:rPr>
          <w:rFonts w:ascii="Arial" w:cs="Arial" w:eastAsia="Arial" w:hAnsi="Arial"/>
          <w:sz w:val="14"/>
          <w:szCs w:val="14"/>
          <w:i w:val="1"/>
          <w:iCs w:val="1"/>
          <w:color w:val="auto"/>
        </w:rPr>
        <w:t xml:space="preserve"> </w:t>
      </w:r>
      <w:r>
        <w:rPr>
          <w:rFonts w:ascii="Arial" w:cs="Arial" w:eastAsia="Arial" w:hAnsi="Arial"/>
          <w:sz w:val="14"/>
          <w:szCs w:val="14"/>
          <w:color w:val="auto"/>
        </w:rPr>
        <w:t>generate incremental margin, the amount of which may vary depending on market conditions (such as differentials and certain competitive factors).</w:t>
      </w:r>
    </w:p>
    <w:p>
      <w:pPr>
        <w:spacing w:after="0" w:line="89" w:lineRule="exact"/>
        <w:rPr>
          <w:rFonts w:ascii="Arial" w:cs="Arial" w:eastAsia="Arial" w:hAnsi="Arial"/>
          <w:sz w:val="14"/>
          <w:szCs w:val="14"/>
          <w:color w:val="auto"/>
        </w:rPr>
      </w:pPr>
    </w:p>
    <w:p>
      <w:pPr>
        <w:ind w:left="760" w:right="40" w:hanging="246"/>
        <w:spacing w:after="0" w:line="313" w:lineRule="auto"/>
        <w:tabs>
          <w:tab w:leader="none" w:pos="756"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We have the financial, strategic and technical skills needed to execute strategic transactions that support our business and financial objectives, including joint ventures, joint ownership arrangements, acquisitions and divestitures. </w:t>
      </w:r>
      <w:r>
        <w:rPr>
          <w:rFonts w:ascii="Arial" w:cs="Arial" w:eastAsia="Arial" w:hAnsi="Arial"/>
          <w:sz w:val="12"/>
          <w:szCs w:val="12"/>
          <w:color w:val="auto"/>
        </w:rPr>
        <w:t>Since 2016, we have consummated over 10 joint venture and/or joint ownership arrangements, including the Permian JV formation</w:t>
      </w:r>
      <w:r>
        <w:rPr>
          <w:rFonts w:ascii="Arial" w:cs="Arial" w:eastAsia="Arial" w:hAnsi="Arial"/>
          <w:sz w:val="12"/>
          <w:szCs w:val="12"/>
          <w:i w:val="1"/>
          <w:iCs w:val="1"/>
          <w:color w:val="auto"/>
        </w:rPr>
        <w:t xml:space="preserve"> </w:t>
      </w:r>
      <w:r>
        <w:rPr>
          <w:rFonts w:ascii="Arial" w:cs="Arial" w:eastAsia="Arial" w:hAnsi="Arial"/>
          <w:sz w:val="12"/>
          <w:szCs w:val="12"/>
          <w:color w:val="auto"/>
        </w:rPr>
        <w:t>completed in October 2021, and completed over $4.5 billion of divestitures of non-core assets and/or strategic sales of partial interests in selected assets. In addition, although acquisitions and capital projects are not the primary focus of our current capital allocation priorities, since the completion of our initial public offering in 1998, we have completed and integrated over 90 acquisitions with an aggregate purchase price of approximately $13.7 billion and implemented investment capital projects totaling approximately $16.9 billion.</w:t>
      </w:r>
    </w:p>
    <w:p>
      <w:pPr>
        <w:spacing w:after="0" w:line="76" w:lineRule="exact"/>
        <w:rPr>
          <w:rFonts w:ascii="Arial" w:cs="Arial" w:eastAsia="Arial" w:hAnsi="Arial"/>
          <w:sz w:val="12"/>
          <w:szCs w:val="12"/>
          <w:color w:val="auto"/>
        </w:rPr>
      </w:pPr>
    </w:p>
    <w:p>
      <w:pPr>
        <w:ind w:left="760" w:right="440" w:hanging="246"/>
        <w:spacing w:after="0" w:line="297" w:lineRule="auto"/>
        <w:tabs>
          <w:tab w:leader="none" w:pos="756"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We have an experienced management team whose interests are aligned with those of our unitholders. </w:t>
      </w:r>
      <w:r>
        <w:rPr>
          <w:rFonts w:ascii="Arial" w:cs="Arial" w:eastAsia="Arial" w:hAnsi="Arial"/>
          <w:sz w:val="13"/>
          <w:szCs w:val="13"/>
          <w:color w:val="auto"/>
        </w:rPr>
        <w:t>Our executive management team has an average of 30+ years of experience</w:t>
      </w:r>
      <w:r>
        <w:rPr>
          <w:rFonts w:ascii="Arial" w:cs="Arial" w:eastAsia="Arial" w:hAnsi="Arial"/>
          <w:sz w:val="13"/>
          <w:szCs w:val="13"/>
          <w:i w:val="1"/>
          <w:iCs w:val="1"/>
          <w:color w:val="auto"/>
        </w:rPr>
        <w:t xml:space="preserve"> </w:t>
      </w:r>
      <w:r>
        <w:rPr>
          <w:rFonts w:ascii="Arial" w:cs="Arial" w:eastAsia="Arial" w:hAnsi="Arial"/>
          <w:sz w:val="13"/>
          <w:szCs w:val="13"/>
          <w:color w:val="auto"/>
        </w:rPr>
        <w:t>spanning across all sectors of the energy industry, as well as investment banking, and an average of 15 years with us or our predecessors and affiliates. In addition, through their ownership of common units and grants of phantom units, our management team has a vested interest in our continued success.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8" w:name="page9"/>
    <w:bookmarkEnd w:id="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Strategy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Targeted Credit Profile</w:t>
      </w:r>
    </w:p>
    <w:p>
      <w:pPr>
        <w:spacing w:after="0" w:line="20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We believe that a major factor in our continued success is our ability to maintain significant financial flexibility. An important part of our financial strategy is our commitment to maximizing free cash flow, continuing to reduce leverage and increasing cash returned to our unitholders.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that regard, we intend to maintain a credit profile that we believe is consistent with investment grade credit ratings. We target a credit profile with the following attributes:</w:t>
      </w:r>
    </w:p>
    <w:p>
      <w:pPr>
        <w:spacing w:after="0" w:line="200" w:lineRule="exact"/>
        <w:rPr>
          <w:sz w:val="20"/>
          <w:szCs w:val="20"/>
          <w:color w:val="auto"/>
        </w:rPr>
      </w:pPr>
    </w:p>
    <w:p>
      <w:pPr>
        <w:ind w:left="760" w:right="240" w:hanging="246"/>
        <w:spacing w:after="0" w:line="267"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a leverage multiple averaging between 3.75x to 4.25x, which is calculated as total debt plus 50% of preferred units, divided by Adjusted EBITDA attributable to PAA (See Item 7. “Management’s Discussion and Analysis of Financial Condition and Results of Operations—Results of Operations—Non-GAAP Financial Measures” for our definition of Adjusted EBITDA and a reconciliation to Adjusted EBITDA attributable to PAA.);</w:t>
      </w:r>
    </w:p>
    <w:p>
      <w:pPr>
        <w:spacing w:after="0" w:line="56" w:lineRule="exact"/>
        <w:rPr>
          <w:rFonts w:ascii="Arial" w:cs="Arial" w:eastAsia="Arial" w:hAnsi="Arial"/>
          <w:sz w:val="14"/>
          <w:szCs w:val="14"/>
          <w:color w:val="auto"/>
        </w:rPr>
      </w:pPr>
    </w:p>
    <w:p>
      <w:pPr>
        <w:ind w:left="1280" w:hanging="257"/>
        <w:spacing w:after="0"/>
        <w:tabs>
          <w:tab w:leader="none" w:pos="1280" w:val="left"/>
        </w:tabs>
        <w:numPr>
          <w:ilvl w:val="1"/>
          <w:numId w:val="8"/>
        </w:numPr>
        <w:rPr>
          <w:rFonts w:ascii="Arial" w:cs="Arial" w:eastAsia="Arial" w:hAnsi="Arial"/>
          <w:sz w:val="14"/>
          <w:szCs w:val="14"/>
          <w:color w:val="auto"/>
        </w:rPr>
      </w:pPr>
      <w:r>
        <w:rPr>
          <w:rFonts w:ascii="Arial" w:cs="Arial" w:eastAsia="Arial" w:hAnsi="Arial"/>
          <w:sz w:val="14"/>
          <w:szCs w:val="14"/>
          <w:color w:val="auto"/>
        </w:rPr>
        <w:t>this is roughly equivalent to a long-term debt-to-Adjusted EBITDA attributable to PAA multiple of between 3.0x and 3.5x;</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average long-term debt-to-total capitalization ratio of approximately 50% or less;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average total debt-to-total capitalization ratio of approximately 60% or less;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average Adjusted EBITDA-to-interest coverage multiple of approximately 3.3x or better.</w:t>
      </w:r>
    </w:p>
    <w:p>
      <w:pPr>
        <w:spacing w:after="0" w:line="200" w:lineRule="exact"/>
        <w:rPr>
          <w:sz w:val="20"/>
          <w:szCs w:val="20"/>
          <w:color w:val="auto"/>
        </w:rPr>
      </w:pPr>
    </w:p>
    <w:p>
      <w:pPr>
        <w:ind w:right="80" w:firstLine="509"/>
        <w:spacing w:after="0" w:line="284" w:lineRule="auto"/>
        <w:rPr>
          <w:sz w:val="20"/>
          <w:szCs w:val="20"/>
          <w:color w:val="auto"/>
        </w:rPr>
      </w:pPr>
      <w:r>
        <w:rPr>
          <w:rFonts w:ascii="Arial" w:cs="Arial" w:eastAsia="Arial" w:hAnsi="Arial"/>
          <w:sz w:val="13"/>
          <w:szCs w:val="13"/>
          <w:color w:val="auto"/>
        </w:rPr>
        <w:t>At December 31, 2021, our publicly-traded senior notes comprised approximately 99% of our long-term debt. Additionally, we also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Values and Sustainability</w:t>
      </w:r>
    </w:p>
    <w:p>
      <w:pPr>
        <w:spacing w:after="0" w:line="204" w:lineRule="exact"/>
        <w:rPr>
          <w:sz w:val="20"/>
          <w:szCs w:val="20"/>
          <w:color w:val="auto"/>
        </w:rPr>
      </w:pPr>
    </w:p>
    <w:p>
      <w:pPr>
        <w:ind w:firstLine="509"/>
        <w:spacing w:after="0" w:line="305" w:lineRule="auto"/>
        <w:rPr>
          <w:sz w:val="20"/>
          <w:szCs w:val="20"/>
          <w:color w:val="auto"/>
        </w:rPr>
      </w:pPr>
      <w:r>
        <w:rPr>
          <w:rFonts w:ascii="Arial" w:cs="Arial" w:eastAsia="Arial" w:hAnsi="Arial"/>
          <w:sz w:val="12"/>
          <w:szCs w:val="12"/>
          <w:color w:val="auto"/>
        </w:rPr>
        <w:t>Our Core Values include Safety and Environmental Stewardship, Accountability, Ethics and Integrity and Respect and Fairness.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and climate-related impacts, and levering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in 2021 we established a new Health, Safety, Environmental and Sustainability (“HSES”) Board Committee to provide additional oversight and perspectives with respect to HSES and ESG matters. Additional information regarding our Core Values and our commitment to environmental and social responsibility is available in the Sustainability section of our website. See “—Available Information” below.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9" w:name="page10"/>
    <w:bookmarkEnd w:id="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Segments and Associated Assets</w:t>
      </w:r>
    </w:p>
    <w:p>
      <w:pPr>
        <w:spacing w:after="0" w:line="193" w:lineRule="exact"/>
        <w:rPr>
          <w:sz w:val="20"/>
          <w:szCs w:val="20"/>
          <w:color w:val="auto"/>
        </w:rPr>
      </w:pPr>
    </w:p>
    <w:p>
      <w:pPr>
        <w:ind w:firstLine="509"/>
        <w:spacing w:after="0" w:line="250" w:lineRule="auto"/>
        <w:rPr>
          <w:sz w:val="20"/>
          <w:szCs w:val="20"/>
          <w:color w:val="auto"/>
        </w:rPr>
      </w:pPr>
      <w:r>
        <w:rPr>
          <w:rFonts w:ascii="Arial" w:cs="Arial" w:eastAsia="Arial" w:hAnsi="Arial"/>
          <w:sz w:val="13"/>
          <w:szCs w:val="13"/>
          <w:color w:val="auto"/>
        </w:rPr>
        <w:t>Our business activities are conducted through two segments—Crude Oil and Natural Gas Liquids (“NGL”). Prior to the fourth quarter of 2021, our reporting segments were Transportation, Facilities and Supply and Logistics. The change in our segments is reflective of a change in how our Chief Operating Decision Maker (“CODM”) (our Chief Executive Officer)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See Note 20 to our Consolidated Financial Statements for additional information.</w:t>
      </w:r>
    </w:p>
    <w:p>
      <w:pPr>
        <w:spacing w:after="0" w:line="166" w:lineRule="exact"/>
        <w:rPr>
          <w:sz w:val="20"/>
          <w:szCs w:val="20"/>
          <w:color w:val="auto"/>
        </w:rPr>
      </w:pPr>
    </w:p>
    <w:p>
      <w:pPr>
        <w:ind w:right="80" w:firstLine="509"/>
        <w:spacing w:after="0" w:line="297" w:lineRule="auto"/>
        <w:rPr>
          <w:sz w:val="20"/>
          <w:szCs w:val="20"/>
          <w:color w:val="auto"/>
        </w:rPr>
      </w:pPr>
      <w:r>
        <w:rPr>
          <w:rFonts w:ascii="Arial" w:cs="Arial" w:eastAsia="Arial" w:hAnsi="Arial"/>
          <w:sz w:val="13"/>
          <w:szCs w:val="13"/>
          <w:color w:val="auto"/>
        </w:rPr>
        <w:t>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2021.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99060</wp:posOffset>
            </wp:positionV>
            <wp:extent cx="4608195" cy="3968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8195" cy="396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Following is a description of the activities and assets for each of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0" w:name="page11"/>
    <w:bookmarkEnd w:id="1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Crude Oil Segment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Market and Business Overview</w:t>
      </w:r>
    </w:p>
    <w:p>
      <w:pPr>
        <w:spacing w:after="0" w:line="2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pacing w:after="0" w:line="17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167"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68"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to sales locations, including our terminals, third-party connecting carriers, regional hubs or to refineries. Our merchant activities are subject to our risk-management policies and may include the use of derivative instruments to hedge our exposure. Crude oil sales arrangements are also subject to our credit policies.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figure below provides an illustrative and simplified overview of the assets and activities associated with our Crude Oil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133350</wp:posOffset>
            </wp:positionV>
            <wp:extent cx="4608195" cy="1151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8195" cy="115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80" w:firstLine="509"/>
        <w:spacing w:after="0" w:line="288" w:lineRule="auto"/>
        <w:rPr>
          <w:sz w:val="20"/>
          <w:szCs w:val="20"/>
          <w:color w:val="auto"/>
        </w:rPr>
      </w:pPr>
      <w:r>
        <w:rPr>
          <w:rFonts w:ascii="Arial" w:cs="Arial" w:eastAsia="Arial" w:hAnsi="Arial"/>
          <w:sz w:val="13"/>
          <w:szCs w:val="13"/>
          <w:color w:val="auto"/>
        </w:rPr>
        <w:t>With respect to the transportation assets in this segment, we primarily generate revenue through a combination of tariffs, pipeline capacity agreements and other transportation fees. With respect to our facilities assets in this segment, we primarily generate revenue through a combination of month-to-month and multi-year agreements and arrangements which include (i) storage, throughput and loading/unloading fees at our crude oil facilities, and (ii) fees from condensate processing services. We also generate significant revenue through our commercial and merchant activities that supply volumes to our transportation and storage assets, although such activities are generally low margin.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 w:name="page12"/>
    <w:bookmarkEnd w:id="1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Segment Assets Overview</w:t>
      </w:r>
    </w:p>
    <w:p>
      <w:pPr>
        <w:spacing w:after="0" w:line="193" w:lineRule="exact"/>
        <w:rPr>
          <w:sz w:val="20"/>
          <w:szCs w:val="20"/>
          <w:color w:val="auto"/>
        </w:rPr>
      </w:pPr>
    </w:p>
    <w:p>
      <w:pPr>
        <w:ind w:right="40" w:firstLine="509"/>
        <w:spacing w:after="0" w:line="249" w:lineRule="auto"/>
        <w:rPr>
          <w:sz w:val="20"/>
          <w:szCs w:val="20"/>
          <w:color w:val="auto"/>
        </w:rPr>
      </w:pPr>
      <w:r>
        <w:rPr>
          <w:rFonts w:ascii="Arial" w:cs="Arial" w:eastAsia="Arial" w:hAnsi="Arial"/>
          <w:sz w:val="14"/>
          <w:szCs w:val="14"/>
          <w:color w:val="auto"/>
        </w:rPr>
        <w:t>As of December 31, 2021, in this segment we employed a variety of owned or, to a much lesser extent, leased long-term physical transportation and facilities assets throughout the United States and Canada, including approximately:</w:t>
      </w:r>
    </w:p>
    <w:p>
      <w:pPr>
        <w:spacing w:after="0" w:line="165" w:lineRule="exact"/>
        <w:rPr>
          <w:sz w:val="20"/>
          <w:szCs w:val="20"/>
          <w:color w:val="auto"/>
        </w:rPr>
      </w:pPr>
    </w:p>
    <w:p>
      <w:pPr>
        <w:ind w:left="760" w:hanging="246"/>
        <w:spacing w:after="0"/>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18,300 miles of active crude oil transportation pipelines and gathering systems, and an additional 110 miles of pipelines that support our crude oil storage and terminalling facilities;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74 million barrels of commercial crude oil storage capacity at our terminalling and storage locations;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38 million barrels of active, above-ground tank capacity used to facilitate pipeline throughput and help maintain product quality segregation;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four marine facilities in the United States;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condensate processing facility located in the Eagle Ford area of South Texas with an aggregate processing capacity of 120,000 barrels per day;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seven crude oil rail terminals and 2,100 crude oil railcars;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640 trucks and 1,275 trailers.</w:t>
      </w:r>
    </w:p>
    <w:p>
      <w:pPr>
        <w:spacing w:after="0" w:line="199"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Additionally, our assets include the linefill associated with our commercial activities, including approximately: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15 million barrels of crude oil linefill in pipelines and tanks owned by us;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3 million barrels of crude oil utilized as linefill in pipelines owned by third parties or otherwise required as long-term inventory.</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Pipelines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 presents active miles and average daily volumes for our crude oil pipelines in the United States and Canada as of December 31, 2021, grouped by geographic location: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Region</w:t>
            </w:r>
          </w:p>
        </w:tc>
        <w:tc>
          <w:tcPr>
            <w:tcW w:w="202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Ownership Percentage</w:t>
            </w:r>
          </w:p>
        </w:tc>
        <w:tc>
          <w:tcPr>
            <w:tcW w:w="1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1"/>
              </w:rPr>
              <w:t>Approximate</w:t>
            </w:r>
            <w:r>
              <w:rPr>
                <w:rFonts w:ascii="Arial" w:cs="Arial" w:eastAsia="Arial" w:hAnsi="Arial"/>
                <w:sz w:val="15"/>
                <w:szCs w:val="15"/>
                <w:b w:val="1"/>
                <w:bCs w:val="1"/>
                <w:color w:val="auto"/>
                <w:w w:val="91"/>
                <w:vertAlign w:val="subscript"/>
              </w:rPr>
              <w:t>(1)</w:t>
            </w:r>
            <w:r>
              <w:rPr>
                <w:rFonts w:ascii="Arial" w:cs="Arial" w:eastAsia="Arial" w:hAnsi="Arial"/>
                <w:sz w:val="12"/>
                <w:szCs w:val="12"/>
                <w:b w:val="1"/>
                <w:bCs w:val="1"/>
                <w:color w:val="auto"/>
                <w:w w:val="91"/>
              </w:rPr>
              <w:t>System Miles</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9"/>
              </w:rPr>
              <w:t>2021 Average Net</w:t>
            </w:r>
          </w:p>
        </w:tc>
        <w:tc>
          <w:tcPr>
            <w:tcW w:w="0" w:type="dxa"/>
            <w:vAlign w:val="bottom"/>
          </w:tcPr>
          <w:p>
            <w:pPr>
              <w:spacing w:after="0"/>
              <w:rPr>
                <w:sz w:val="1"/>
                <w:szCs w:val="1"/>
                <w:color w:val="auto"/>
              </w:rPr>
            </w:pPr>
          </w:p>
        </w:tc>
      </w:tr>
      <w:tr>
        <w:trPr>
          <w:trHeight w:val="159"/>
        </w:trPr>
        <w:tc>
          <w:tcPr>
            <w:tcW w:w="594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w w:val="90"/>
              </w:rPr>
              <w:t xml:space="preserve">Barrels per Day </w:t>
            </w:r>
            <w:r>
              <w:rPr>
                <w:rFonts w:ascii="Arial" w:cs="Arial" w:eastAsia="Arial" w:hAnsi="Arial"/>
                <w:sz w:val="15"/>
                <w:szCs w:val="15"/>
                <w:b w:val="1"/>
                <w:bCs w:val="1"/>
                <w:color w:val="auto"/>
                <w:w w:val="90"/>
                <w:vertAlign w:val="superscript"/>
              </w:rPr>
              <w:t>(2)</w:t>
            </w:r>
          </w:p>
        </w:tc>
        <w:tc>
          <w:tcPr>
            <w:tcW w:w="0" w:type="dxa"/>
            <w:vAlign w:val="bottom"/>
          </w:tcPr>
          <w:p>
            <w:pPr>
              <w:spacing w:after="0"/>
              <w:rPr>
                <w:sz w:val="1"/>
                <w:szCs w:val="1"/>
                <w:color w:val="auto"/>
              </w:rPr>
            </w:pPr>
          </w:p>
        </w:tc>
      </w:tr>
      <w:tr>
        <w:trPr>
          <w:trHeight w:val="138"/>
        </w:trPr>
        <w:tc>
          <w:tcPr>
            <w:tcW w:w="36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181"/>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Permian Basin:</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gridSpan w:val="3"/>
          </w:tcPr>
          <w:p>
            <w:pPr>
              <w:ind w:left="280"/>
              <w:spacing w:after="0" w:line="181" w:lineRule="exact"/>
              <w:rPr>
                <w:sz w:val="20"/>
                <w:szCs w:val="20"/>
                <w:color w:val="auto"/>
              </w:rPr>
            </w:pPr>
            <w:r>
              <w:rPr>
                <w:rFonts w:ascii="Arial" w:cs="Arial" w:eastAsia="Arial" w:hAnsi="Arial"/>
                <w:sz w:val="14"/>
                <w:szCs w:val="14"/>
                <w:color w:val="auto"/>
              </w:rPr>
              <w:t xml:space="preserve">Gathering pipelines </w:t>
            </w:r>
            <w:r>
              <w:rPr>
                <w:rFonts w:ascii="Arial" w:cs="Arial" w:eastAsia="Arial" w:hAnsi="Arial"/>
                <w:sz w:val="18"/>
                <w:szCs w:val="18"/>
                <w:color w:val="auto"/>
                <w:vertAlign w:val="superscript"/>
              </w:rPr>
              <w:t>(3)</w:t>
            </w: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40% - 65%</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4,895</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Intra-basin pipelines </w:t>
            </w:r>
            <w:r>
              <w:rPr>
                <w:rFonts w:ascii="Arial" w:cs="Arial" w:eastAsia="Arial" w:hAnsi="Arial"/>
                <w:sz w:val="18"/>
                <w:szCs w:val="18"/>
                <w:color w:val="auto"/>
                <w:vertAlign w:val="superscript"/>
              </w:rPr>
              <w:t>(4)</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80"/>
        </w:trPr>
        <w:tc>
          <w:tcPr>
            <w:tcW w:w="5940" w:type="dxa"/>
            <w:vAlign w:val="bottom"/>
            <w:tcBorders>
              <w:bottom w:val="single" w:sz="8" w:color="CCEEFF"/>
            </w:tcBorders>
            <w:gridSpan w:val="3"/>
          </w:tcPr>
          <w:p>
            <w:pPr>
              <w:ind w:left="280"/>
              <w:spacing w:after="0" w:line="181" w:lineRule="exact"/>
              <w:rPr>
                <w:sz w:val="20"/>
                <w:szCs w:val="20"/>
                <w:color w:val="auto"/>
              </w:rPr>
            </w:pPr>
            <w:r>
              <w:rPr>
                <w:rFonts w:ascii="Arial" w:cs="Arial" w:eastAsia="Arial" w:hAnsi="Arial"/>
                <w:sz w:val="14"/>
                <w:szCs w:val="14"/>
                <w:color w:val="auto"/>
              </w:rPr>
              <w:t xml:space="preserve">Long-haul pipelines </w:t>
            </w:r>
            <w:r>
              <w:rPr>
                <w:rFonts w:ascii="Arial" w:cs="Arial" w:eastAsia="Arial" w:hAnsi="Arial"/>
                <w:sz w:val="18"/>
                <w:szCs w:val="18"/>
                <w:color w:val="auto"/>
                <w:vertAlign w:val="superscript"/>
              </w:rPr>
              <w:t>(4)</w:t>
            </w:r>
          </w:p>
        </w:tc>
        <w:tc>
          <w:tcPr>
            <w:tcW w:w="1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16% - 100%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South Texas/Eagle Ford</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Mid-Continent</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Gulf Coast</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Rocky Mountain</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21%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Western</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9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Canada</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2"/>
        </w:trPr>
        <w:tc>
          <w:tcPr>
            <w:tcW w:w="362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4"/>
                <w:szCs w:val="14"/>
                <w:b w:val="1"/>
                <w:bCs w:val="1"/>
                <w:color w:val="auto"/>
              </w:rPr>
              <w:t>Total</w:t>
            </w: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18,300</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62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total mileage of pipelines in which we own less than 100%.</w:t>
      </w: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33" w:right="499" w:bottom="1440" w:gutter="0" w:footer="0" w:header="0"/>
        </w:sectPr>
      </w:pPr>
    </w:p>
    <w:bookmarkStart w:id="12" w:name="page13"/>
    <w:bookmarkEnd w:id="1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20" w:hanging="515"/>
        <w:spacing w:after="0" w:line="239" w:lineRule="auto"/>
        <w:tabs>
          <w:tab w:leader="none" w:pos="51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average daily volumes for the entire year attributable to our interest for pipelines owned by unconsolidated entities or through undivided joint interests.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acquisitions represent total volumes for the number of days we actually owned the assets divided by the number of days in the period.</w:t>
      </w:r>
    </w:p>
    <w:p>
      <w:pPr>
        <w:spacing w:after="0" w:line="76" w:lineRule="exact"/>
        <w:rPr>
          <w:rFonts w:ascii="Arial" w:cs="Arial" w:eastAsia="Arial" w:hAnsi="Arial"/>
          <w:sz w:val="18"/>
          <w:szCs w:val="18"/>
          <w:color w:val="auto"/>
          <w:vertAlign w:val="superscript"/>
        </w:rPr>
      </w:pPr>
    </w:p>
    <w:p>
      <w:pPr>
        <w:ind w:left="520" w:right="740" w:hanging="515"/>
        <w:spacing w:after="0" w:line="228" w:lineRule="auto"/>
        <w:tabs>
          <w:tab w:leader="none" w:pos="51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All of our gathering pipelines in the Permian Basin are owned by the Permian JV, a consolidated entity in which we own a 65% interest. The Permian JV has a 40% interest in an unconsolidated entity that owns one of the gathering pipelines in the Permian Basin.</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pipelines operated by a third party.</w:t>
      </w:r>
    </w:p>
    <w:p>
      <w:pPr>
        <w:spacing w:after="0" w:line="181"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 significant portion of our crude oil pipeline assets are interconnected and are operated as a contiguous system. The following descriptions are organized by type and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crude oil pipelines are comprised of:</w:t>
      </w:r>
    </w:p>
    <w:p>
      <w:pPr>
        <w:spacing w:after="0" w:line="200" w:lineRule="exact"/>
        <w:rPr>
          <w:sz w:val="20"/>
          <w:szCs w:val="20"/>
          <w:color w:val="auto"/>
        </w:rPr>
      </w:pPr>
    </w:p>
    <w:p>
      <w:pPr>
        <w:ind w:left="1020" w:hanging="251"/>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gathering pipelines </w:t>
      </w:r>
      <w:r>
        <w:rPr>
          <w:rFonts w:ascii="Arial" w:cs="Arial" w:eastAsia="Arial" w:hAnsi="Arial"/>
          <w:sz w:val="14"/>
          <w:szCs w:val="14"/>
          <w:color w:val="auto"/>
        </w:rPr>
        <w:t>that move crude oil from wellhead or central battery connections to regional market hubs;</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intra-basin pipelines </w:t>
      </w:r>
      <w:r>
        <w:rPr>
          <w:rFonts w:ascii="Arial" w:cs="Arial" w:eastAsia="Arial" w:hAnsi="Arial"/>
          <w:sz w:val="14"/>
          <w:szCs w:val="14"/>
          <w:color w:val="auto"/>
        </w:rPr>
        <w:t>that are used as a hub system allowing for a significant amount of flexibility by creating connections between regional hub locations; and</w:t>
      </w:r>
    </w:p>
    <w:p>
      <w:pPr>
        <w:spacing w:after="0" w:line="199" w:lineRule="exact"/>
        <w:rPr>
          <w:rFonts w:ascii="Arial" w:cs="Arial" w:eastAsia="Arial" w:hAnsi="Arial"/>
          <w:sz w:val="14"/>
          <w:szCs w:val="14"/>
          <w:color w:val="auto"/>
        </w:rPr>
      </w:pPr>
    </w:p>
    <w:p>
      <w:pPr>
        <w:ind w:left="1020" w:right="20" w:hanging="251"/>
        <w:spacing w:after="0" w:line="281" w:lineRule="auto"/>
        <w:tabs>
          <w:tab w:leader="none" w:pos="101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long-haul pipelines </w:t>
      </w:r>
      <w:r>
        <w:rPr>
          <w:rFonts w:ascii="Arial" w:cs="Arial" w:eastAsia="Arial" w:hAnsi="Arial"/>
          <w:sz w:val="14"/>
          <w:szCs w:val="14"/>
          <w:color w:val="auto"/>
        </w:rPr>
        <w:t>that move crude oil from (i) regional market hubs to major market hubs such as Cushing, Oklahoma or to export facilities, including our Corpus Christi terminal,</w:t>
      </w:r>
      <w:r>
        <w:rPr>
          <w:rFonts w:ascii="Arial" w:cs="Arial" w:eastAsia="Arial" w:hAnsi="Arial"/>
          <w:sz w:val="14"/>
          <w:szCs w:val="14"/>
          <w:i w:val="1"/>
          <w:iCs w:val="1"/>
          <w:color w:val="auto"/>
        </w:rPr>
        <w:t xml:space="preserve"> </w:t>
      </w:r>
      <w:r>
        <w:rPr>
          <w:rFonts w:ascii="Arial" w:cs="Arial" w:eastAsia="Arial" w:hAnsi="Arial"/>
          <w:sz w:val="14"/>
          <w:szCs w:val="14"/>
          <w:color w:val="auto"/>
        </w:rPr>
        <w:t>or (ii) a refinery or other major market hubs, such as the Houston market.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Gathering Pipelines</w:t>
      </w:r>
    </w:p>
    <w:p>
      <w:pPr>
        <w:spacing w:after="0" w:line="200"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i w:val="1"/>
          <w:iCs w:val="1"/>
          <w:color w:val="auto"/>
        </w:rPr>
        <w:t xml:space="preserve">Permian Basin. </w:t>
      </w:r>
      <w:r>
        <w:rPr>
          <w:rFonts w:ascii="Arial" w:cs="Arial" w:eastAsia="Arial" w:hAnsi="Arial"/>
          <w:sz w:val="13"/>
          <w:szCs w:val="13"/>
          <w:color w:val="auto"/>
        </w:rPr>
        <w:t>We operate approximately 4,900 miles of gathering pipelines in both the Midland Basin and the Delaware Basin that in aggregate represent approximately 3.7 million barrels</w:t>
      </w:r>
      <w:r>
        <w:rPr>
          <w:rFonts w:ascii="Arial" w:cs="Arial" w:eastAsia="Arial" w:hAnsi="Arial"/>
          <w:sz w:val="13"/>
          <w:szCs w:val="13"/>
          <w:i w:val="1"/>
          <w:iCs w:val="1"/>
          <w:color w:val="auto"/>
        </w:rPr>
        <w:t xml:space="preserve"> </w:t>
      </w:r>
      <w:r>
        <w:rPr>
          <w:rFonts w:ascii="Arial" w:cs="Arial" w:eastAsia="Arial" w:hAnsi="Arial"/>
          <w:sz w:val="13"/>
          <w:szCs w:val="13"/>
          <w:color w:val="auto"/>
        </w:rPr>
        <w:t>per day of pipeline capacity. This gathering capacity includes pipeline capacity that delivers volumes to regional market hubs. Approximately 75% of the capacity of our gathering systems is in the Delaware Basin. All of our gathering pipelines in the Permian Basin are owned by the Permian JV, a consolidated entity in which we own a 65% interest.</w:t>
      </w:r>
    </w:p>
    <w:p>
      <w:pPr>
        <w:spacing w:after="0" w:line="145" w:lineRule="exact"/>
        <w:rPr>
          <w:sz w:val="20"/>
          <w:szCs w:val="20"/>
          <w:color w:val="auto"/>
        </w:rPr>
      </w:pPr>
    </w:p>
    <w:p>
      <w:pPr>
        <w:ind w:right="440" w:firstLine="509"/>
        <w:spacing w:after="0" w:line="281" w:lineRule="auto"/>
        <w:rPr>
          <w:sz w:val="20"/>
          <w:szCs w:val="20"/>
          <w:color w:val="auto"/>
        </w:rPr>
      </w:pPr>
      <w:r>
        <w:rPr>
          <w:rFonts w:ascii="Arial" w:cs="Arial" w:eastAsia="Arial" w:hAnsi="Arial"/>
          <w:sz w:val="14"/>
          <w:szCs w:val="14"/>
          <w:i w:val="1"/>
          <w:iCs w:val="1"/>
          <w:color w:val="auto"/>
        </w:rPr>
        <w:t xml:space="preserve">South Texas/Eagle Ford. </w:t>
      </w:r>
      <w:r>
        <w:rPr>
          <w:rFonts w:ascii="Arial" w:cs="Arial" w:eastAsia="Arial" w:hAnsi="Arial"/>
          <w:sz w:val="14"/>
          <w:szCs w:val="14"/>
          <w:color w:val="auto"/>
        </w:rPr>
        <w:t>We own and operate various gathering systems in the Eagle Ford that connect into our Eagle Ford joint venture pipeline system that can deliver crude oil into</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in the Corpus Christi area, or to third-party pipelines with access to Houston area refiners.</w:t>
      </w:r>
    </w:p>
    <w:p>
      <w:pPr>
        <w:spacing w:after="0" w:line="153"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i w:val="1"/>
          <w:iCs w:val="1"/>
          <w:color w:val="auto"/>
        </w:rPr>
        <w:t xml:space="preserve">Mid-Continent. </w:t>
      </w:r>
      <w:r>
        <w:rPr>
          <w:rFonts w:ascii="Arial" w:cs="Arial" w:eastAsia="Arial" w:hAnsi="Arial"/>
          <w:sz w:val="14"/>
          <w:szCs w:val="14"/>
          <w:color w:val="auto"/>
        </w:rPr>
        <w:t>We own and operate gathering pipelines that source crude oil from Western and Central Oklahoma and Southwest Kansas for transportation and delivery into our terminal</w:t>
      </w:r>
      <w:r>
        <w:rPr>
          <w:rFonts w:ascii="Arial" w:cs="Arial" w:eastAsia="Arial" w:hAnsi="Arial"/>
          <w:sz w:val="14"/>
          <w:szCs w:val="14"/>
          <w:i w:val="1"/>
          <w:iCs w:val="1"/>
          <w:color w:val="auto"/>
        </w:rPr>
        <w:t xml:space="preserve"> </w:t>
      </w:r>
      <w:r>
        <w:rPr>
          <w:rFonts w:ascii="Arial" w:cs="Arial" w:eastAsia="Arial" w:hAnsi="Arial"/>
          <w:sz w:val="14"/>
          <w:szCs w:val="14"/>
          <w:color w:val="auto"/>
        </w:rPr>
        <w:t>facilities at Cushing, Oklahoma.</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Rocky Mountain. </w:t>
      </w:r>
      <w:r>
        <w:rPr>
          <w:rFonts w:ascii="Arial" w:cs="Arial" w:eastAsia="Arial" w:hAnsi="Arial"/>
          <w:sz w:val="14"/>
          <w:szCs w:val="14"/>
          <w:color w:val="auto"/>
        </w:rPr>
        <w:t>We own and operate pipelines that provide gathering services in the Bakken and the Powder River Basin.</w:t>
      </w:r>
    </w:p>
    <w:p>
      <w:pPr>
        <w:spacing w:after="0" w:line="200"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i w:val="1"/>
          <w:iCs w:val="1"/>
          <w:color w:val="auto"/>
        </w:rPr>
        <w:t xml:space="preserve">Western. </w:t>
      </w:r>
      <w:r>
        <w:rPr>
          <w:rFonts w:ascii="Arial" w:cs="Arial" w:eastAsia="Arial" w:hAnsi="Arial"/>
          <w:sz w:val="14"/>
          <w:szCs w:val="14"/>
          <w:color w:val="auto"/>
        </w:rPr>
        <w:t>We own and operate a pipeline in the San Joaquin Valley that gathers locally produced crude oil, which is then delivered via our Line 63 pipeline system and/or Line 2000 pipeline</w:t>
      </w:r>
      <w:r>
        <w:rPr>
          <w:rFonts w:ascii="Arial" w:cs="Arial" w:eastAsia="Arial" w:hAnsi="Arial"/>
          <w:sz w:val="14"/>
          <w:szCs w:val="14"/>
          <w:i w:val="1"/>
          <w:iCs w:val="1"/>
          <w:color w:val="auto"/>
        </w:rPr>
        <w:t xml:space="preserve"> </w:t>
      </w:r>
      <w:r>
        <w:rPr>
          <w:rFonts w:ascii="Arial" w:cs="Arial" w:eastAsia="Arial" w:hAnsi="Arial"/>
          <w:sz w:val="14"/>
          <w:szCs w:val="14"/>
          <w:color w:val="auto"/>
        </w:rPr>
        <w:t>for transportation to Los Angeles area refiners.</w:t>
      </w:r>
    </w:p>
    <w:p>
      <w:pPr>
        <w:spacing w:after="0" w:line="153"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i w:val="1"/>
          <w:iCs w:val="1"/>
          <w:color w:val="auto"/>
        </w:rPr>
        <w:t xml:space="preserve">Canada. </w:t>
      </w:r>
      <w:r>
        <w:rPr>
          <w:rFonts w:ascii="Arial" w:cs="Arial" w:eastAsia="Arial" w:hAnsi="Arial"/>
          <w:sz w:val="14"/>
          <w:szCs w:val="14"/>
          <w:color w:val="auto"/>
        </w:rPr>
        <w:t>We own and operate gathering systems that source crude oil from truck terminals and pipeline-connected facilities to deliver to the Enbridge Mainline system at our Kerrobert and</w:t>
      </w:r>
      <w:r>
        <w:rPr>
          <w:rFonts w:ascii="Arial" w:cs="Arial" w:eastAsia="Arial" w:hAnsi="Arial"/>
          <w:sz w:val="14"/>
          <w:szCs w:val="14"/>
          <w:i w:val="1"/>
          <w:iCs w:val="1"/>
          <w:color w:val="auto"/>
        </w:rPr>
        <w:t xml:space="preserve"> </w:t>
      </w:r>
      <w:r>
        <w:rPr>
          <w:rFonts w:ascii="Arial" w:cs="Arial" w:eastAsia="Arial" w:hAnsi="Arial"/>
          <w:sz w:val="14"/>
          <w:szCs w:val="14"/>
          <w:color w:val="auto"/>
        </w:rPr>
        <w:t>Regina terminals in Saskatchewan.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Intra-basin Pipelines</w:t>
      </w:r>
    </w:p>
    <w:p>
      <w:pPr>
        <w:spacing w:after="0" w:line="200" w:lineRule="exact"/>
        <w:rPr>
          <w:sz w:val="20"/>
          <w:szCs w:val="20"/>
          <w:color w:val="auto"/>
        </w:rPr>
      </w:pPr>
    </w:p>
    <w:p>
      <w:pPr>
        <w:ind w:right="180" w:firstLine="509"/>
        <w:spacing w:after="0" w:line="297" w:lineRule="auto"/>
        <w:rPr>
          <w:sz w:val="20"/>
          <w:szCs w:val="20"/>
          <w:color w:val="auto"/>
        </w:rPr>
      </w:pPr>
      <w:r>
        <w:rPr>
          <w:rFonts w:ascii="Arial" w:cs="Arial" w:eastAsia="Arial" w:hAnsi="Arial"/>
          <w:sz w:val="13"/>
          <w:szCs w:val="13"/>
          <w:i w:val="1"/>
          <w:iCs w:val="1"/>
          <w:color w:val="auto"/>
        </w:rPr>
        <w:t xml:space="preserve">Permian Basin. </w:t>
      </w:r>
      <w:r>
        <w:rPr>
          <w:rFonts w:ascii="Arial" w:cs="Arial" w:eastAsia="Arial" w:hAnsi="Arial"/>
          <w:sz w:val="13"/>
          <w:szCs w:val="13"/>
          <w:color w:val="auto"/>
        </w:rPr>
        <w:t>Our intra-basin pipeline system in the Permian Basin has a capacity of approximately 3.1 million barrels per day and connects gathering pipelines and truck injection</w:t>
      </w:r>
      <w:r>
        <w:rPr>
          <w:rFonts w:ascii="Arial" w:cs="Arial" w:eastAsia="Arial" w:hAnsi="Arial"/>
          <w:sz w:val="13"/>
          <w:szCs w:val="13"/>
          <w:i w:val="1"/>
          <w:iCs w:val="1"/>
          <w:color w:val="auto"/>
        </w:rPr>
        <w:t xml:space="preserve"> </w:t>
      </w:r>
      <w:r>
        <w:rPr>
          <w:rFonts w:ascii="Arial" w:cs="Arial" w:eastAsia="Arial" w:hAnsi="Arial"/>
          <w:sz w:val="13"/>
          <w:szCs w:val="13"/>
          <w:color w:val="auto"/>
        </w:rPr>
        <w:t>volumes to our owned and operated as well as third-party mainline pipelines that transport crude oil to major market hubs. This interconnected pipeline system is designed to provide shippers flow assurance, flexibility and access to multiple markets. A majority of the intra-basin pipeline system is owned by the Permian JV, a consolidated entity in which we own a 65% interest.</w:t>
      </w:r>
    </w:p>
    <w:p>
      <w:pPr>
        <w:spacing w:after="0" w:line="145"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i w:val="1"/>
          <w:iCs w:val="1"/>
          <w:color w:val="auto"/>
        </w:rPr>
        <w:t xml:space="preserve">Canada. </w:t>
      </w:r>
      <w:r>
        <w:rPr>
          <w:rFonts w:ascii="Arial" w:cs="Arial" w:eastAsia="Arial" w:hAnsi="Arial"/>
          <w:sz w:val="14"/>
          <w:szCs w:val="14"/>
          <w:color w:val="auto"/>
        </w:rPr>
        <w:t>We own and operate intra-basin pipelines with capacity of approximately 300,000 barrels per day that deliver crude from northern and southern Alberta to the Edmonton, Alberta</w:t>
      </w:r>
      <w:r>
        <w:rPr>
          <w:rFonts w:ascii="Arial" w:cs="Arial" w:eastAsia="Arial" w:hAnsi="Arial"/>
          <w:sz w:val="14"/>
          <w:szCs w:val="14"/>
          <w:i w:val="1"/>
          <w:iCs w:val="1"/>
          <w:color w:val="auto"/>
        </w:rPr>
        <w:t xml:space="preserve"> </w:t>
      </w:r>
      <w:r>
        <w:rPr>
          <w:rFonts w:ascii="Arial" w:cs="Arial" w:eastAsia="Arial" w:hAnsi="Arial"/>
          <w:sz w:val="14"/>
          <w:szCs w:val="14"/>
          <w:color w:val="auto"/>
        </w:rPr>
        <w:t>market hub. These pipelines provide shippers with flexibility to access the Enbridge and TransMountain long-haul pipelines along with the Imperial Oil Refinery. In addition, we have one cross-border pipeline that has the flexibility to move up to 40,000 barrels per day of Canadian crude oil to our Rocky Mountain area long-haul pipelines.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Long-haul Pipelines</w:t>
      </w:r>
    </w:p>
    <w:p>
      <w:pPr>
        <w:spacing w:after="0" w:line="200" w:lineRule="exact"/>
        <w:rPr>
          <w:sz w:val="20"/>
          <w:szCs w:val="20"/>
          <w:color w:val="auto"/>
        </w:rPr>
      </w:pPr>
    </w:p>
    <w:p>
      <w:pPr>
        <w:jc w:val="both"/>
        <w:ind w:right="220" w:firstLine="509"/>
        <w:spacing w:after="0" w:line="267" w:lineRule="auto"/>
        <w:rPr>
          <w:sz w:val="20"/>
          <w:szCs w:val="20"/>
          <w:color w:val="auto"/>
        </w:rPr>
      </w:pPr>
      <w:r>
        <w:rPr>
          <w:rFonts w:ascii="Arial" w:cs="Arial" w:eastAsia="Arial" w:hAnsi="Arial"/>
          <w:sz w:val="14"/>
          <w:szCs w:val="14"/>
          <w:i w:val="1"/>
          <w:iCs w:val="1"/>
          <w:color w:val="auto"/>
        </w:rPr>
        <w:t xml:space="preserve">Permian Basin. </w:t>
      </w:r>
      <w:r>
        <w:rPr>
          <w:rFonts w:ascii="Arial" w:cs="Arial" w:eastAsia="Arial" w:hAnsi="Arial"/>
          <w:sz w:val="14"/>
          <w:szCs w:val="14"/>
          <w:color w:val="auto"/>
        </w:rPr>
        <w:t>We own interests in multiple long-haul pipeline systems that, on a combined basis, represent approximately 1.7 million barrels per day of currently operational takeaway</w:t>
      </w:r>
      <w:r>
        <w:rPr>
          <w:rFonts w:ascii="Arial" w:cs="Arial" w:eastAsia="Arial" w:hAnsi="Arial"/>
          <w:sz w:val="14"/>
          <w:szCs w:val="14"/>
          <w:i w:val="1"/>
          <w:iCs w:val="1"/>
          <w:color w:val="auto"/>
        </w:rPr>
        <w:t xml:space="preserve"> </w:t>
      </w:r>
      <w:r>
        <w:rPr>
          <w:rFonts w:ascii="Arial" w:cs="Arial" w:eastAsia="Arial" w:hAnsi="Arial"/>
          <w:sz w:val="14"/>
          <w:szCs w:val="14"/>
          <w:color w:val="auto"/>
        </w:rPr>
        <w:t>capacity (net to our ownership interests) out of the Permian Basin to major market hubs in Corpus Christi and Houston, Texas and Cushing, Oklahoma. Below is a description of some of our most significant long-haul pipeline systems within the Permian Basin region.</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Permian to Cushing/Mid-Continent</w:t>
      </w:r>
    </w:p>
    <w:p>
      <w:pPr>
        <w:spacing w:after="0" w:line="204" w:lineRule="exact"/>
        <w:rPr>
          <w:sz w:val="20"/>
          <w:szCs w:val="20"/>
          <w:color w:val="auto"/>
        </w:rPr>
      </w:pPr>
    </w:p>
    <w:p>
      <w:pPr>
        <w:jc w:val="both"/>
        <w:ind w:left="760" w:right="80" w:hanging="246"/>
        <w:spacing w:after="0" w:line="297" w:lineRule="auto"/>
        <w:tabs>
          <w:tab w:leader="none" w:pos="756"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Basin Pipeline (Permian to Cushing). </w:t>
      </w:r>
      <w:r>
        <w:rPr>
          <w:rFonts w:ascii="Arial" w:cs="Arial" w:eastAsia="Arial" w:hAnsi="Arial"/>
          <w:sz w:val="13"/>
          <w:szCs w:val="13"/>
          <w:color w:val="auto"/>
        </w:rPr>
        <w:t>We own an 87% undivided joint interest (“UJI”) in and are the operator of Basin Pipeline. Basin Pipeline has three primary origination locations:</w:t>
      </w:r>
      <w:r>
        <w:rPr>
          <w:rFonts w:ascii="Arial" w:cs="Arial" w:eastAsia="Arial" w:hAnsi="Arial"/>
          <w:sz w:val="13"/>
          <w:szCs w:val="13"/>
          <w:i w:val="1"/>
          <w:iCs w:val="1"/>
          <w:color w:val="auto"/>
        </w:rPr>
        <w:t xml:space="preserve"> </w:t>
      </w:r>
      <w:r>
        <w:rPr>
          <w:rFonts w:ascii="Arial" w:cs="Arial" w:eastAsia="Arial" w:hAnsi="Arial"/>
          <w:sz w:val="13"/>
          <w:szCs w:val="13"/>
          <w:color w:val="auto"/>
        </w:rPr>
        <w:t>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45" w:lineRule="exact"/>
        <w:rPr>
          <w:rFonts w:ascii="Arial" w:cs="Arial" w:eastAsia="Arial" w:hAnsi="Arial"/>
          <w:sz w:val="13"/>
          <w:szCs w:val="13"/>
          <w:color w:val="auto"/>
        </w:rPr>
      </w:pPr>
    </w:p>
    <w:p>
      <w:pPr>
        <w:ind w:left="760" w:right="40" w:hanging="246"/>
        <w:spacing w:after="0" w:line="28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Sunrise II Pipeline. </w:t>
      </w:r>
      <w:r>
        <w:rPr>
          <w:rFonts w:ascii="Arial" w:cs="Arial" w:eastAsia="Arial" w:hAnsi="Arial"/>
          <w:sz w:val="14"/>
          <w:szCs w:val="14"/>
          <w:color w:val="auto"/>
        </w:rPr>
        <w:t>We operate the Sunrise II Pipeline and, through a UJI arrangement, own an 80% UJI, which equates to 400,000 barrels of the capacity of the pipeline. Our Sunrise II</w:t>
      </w:r>
      <w:r>
        <w:rPr>
          <w:rFonts w:ascii="Arial" w:cs="Arial" w:eastAsia="Arial" w:hAnsi="Arial"/>
          <w:sz w:val="14"/>
          <w:szCs w:val="14"/>
          <w:i w:val="1"/>
          <w:iCs w:val="1"/>
          <w:color w:val="auto"/>
        </w:rPr>
        <w:t xml:space="preserve"> </w:t>
      </w:r>
      <w:r>
        <w:rPr>
          <w:rFonts w:ascii="Arial" w:cs="Arial" w:eastAsia="Arial" w:hAnsi="Arial"/>
          <w:sz w:val="14"/>
          <w:szCs w:val="14"/>
          <w:color w:val="auto"/>
        </w:rPr>
        <w:t>Pipeline transports crude oil from Midland and Colorado City to connecting carriers at Wichita Falls.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Permian to Gulf Coast</w:t>
      </w:r>
    </w:p>
    <w:p>
      <w:pPr>
        <w:spacing w:after="0" w:line="204" w:lineRule="exact"/>
        <w:rPr>
          <w:sz w:val="20"/>
          <w:szCs w:val="20"/>
          <w:color w:val="auto"/>
        </w:rPr>
      </w:pPr>
    </w:p>
    <w:p>
      <w:pPr>
        <w:jc w:val="both"/>
        <w:ind w:left="760" w:right="220" w:hanging="246"/>
        <w:spacing w:after="0" w:line="267" w:lineRule="auto"/>
        <w:tabs>
          <w:tab w:leader="none" w:pos="75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BridgeTex Pipeline (Permian to Houston). </w:t>
      </w:r>
      <w:r>
        <w:rPr>
          <w:rFonts w:ascii="Arial" w:cs="Arial" w:eastAsia="Arial" w:hAnsi="Arial"/>
          <w:sz w:val="14"/>
          <w:szCs w:val="14"/>
          <w:color w:val="auto"/>
        </w:rPr>
        <w:t>We own a 20% interest in the legal entity that owns the BridgeTex Pipeline. The pipeline, operated by a subsidiary of Magellan Midstream</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L.P., originates at Colorado City, Texas and extends to Houston, Texas. The BridgeTex pipeline has a capacity of 440,000 barrels per day and is capable of receiving supply from both our Basin and Midland South (formerly Sunrise) pipelines.</w:t>
      </w:r>
    </w:p>
    <w:p>
      <w:pPr>
        <w:spacing w:after="0" w:line="162" w:lineRule="exact"/>
        <w:rPr>
          <w:rFonts w:ascii="Arial" w:cs="Arial" w:eastAsia="Arial" w:hAnsi="Arial"/>
          <w:sz w:val="14"/>
          <w:szCs w:val="14"/>
          <w:i w:val="1"/>
          <w:iCs w:val="1"/>
          <w:color w:val="auto"/>
        </w:rPr>
      </w:pPr>
    </w:p>
    <w:p>
      <w:pPr>
        <w:jc w:val="both"/>
        <w:ind w:left="760" w:right="200" w:hanging="246"/>
        <w:spacing w:after="0" w:line="267"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Cactus Pipeline (Permian to Corpus Christi). </w:t>
      </w:r>
      <w:r>
        <w:rPr>
          <w:rFonts w:ascii="Arial" w:cs="Arial" w:eastAsia="Arial" w:hAnsi="Arial"/>
          <w:sz w:val="14"/>
          <w:szCs w:val="14"/>
          <w:color w:val="auto"/>
        </w:rPr>
        <w:t>We own and operate the Cactus Pipeline, which has a capacity of 390,000 barrels per day, originates at McCamey, Texas and extends to</w:t>
      </w:r>
      <w:r>
        <w:rPr>
          <w:rFonts w:ascii="Arial" w:cs="Arial" w:eastAsia="Arial" w:hAnsi="Arial"/>
          <w:sz w:val="14"/>
          <w:szCs w:val="14"/>
          <w:i w:val="1"/>
          <w:iCs w:val="1"/>
          <w:color w:val="auto"/>
        </w:rPr>
        <w:t xml:space="preserve"> </w:t>
      </w:r>
      <w:r>
        <w:rPr>
          <w:rFonts w:ascii="Arial" w:cs="Arial" w:eastAsia="Arial" w:hAnsi="Arial"/>
          <w:sz w:val="14"/>
          <w:szCs w:val="14"/>
          <w:color w:val="auto"/>
        </w:rPr>
        <w:t>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62" w:lineRule="exact"/>
        <w:rPr>
          <w:rFonts w:ascii="Arial" w:cs="Arial" w:eastAsia="Arial" w:hAnsi="Arial"/>
          <w:sz w:val="14"/>
          <w:szCs w:val="14"/>
          <w:color w:val="auto"/>
        </w:rPr>
      </w:pPr>
    </w:p>
    <w:p>
      <w:pPr>
        <w:ind w:left="760" w:right="420" w:hanging="246"/>
        <w:spacing w:after="0" w:line="281" w:lineRule="auto"/>
        <w:tabs>
          <w:tab w:leader="none" w:pos="75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Cactus II Pipeline (Permian to Corpus Christi). </w:t>
      </w:r>
      <w:r>
        <w:rPr>
          <w:rFonts w:ascii="Arial" w:cs="Arial" w:eastAsia="Arial" w:hAnsi="Arial"/>
          <w:sz w:val="14"/>
          <w:szCs w:val="14"/>
          <w:color w:val="auto"/>
        </w:rPr>
        <w:t>We own a 65% interest in the legal entity that owns the Cactus II Pipeline (“Cactus II”), which we operate. Cactus II is a Permian</w:t>
      </w:r>
      <w:r>
        <w:rPr>
          <w:rFonts w:ascii="Arial" w:cs="Arial" w:eastAsia="Arial" w:hAnsi="Arial"/>
          <w:sz w:val="14"/>
          <w:szCs w:val="14"/>
          <w:i w:val="1"/>
          <w:iCs w:val="1"/>
          <w:color w:val="auto"/>
        </w:rPr>
        <w:t xml:space="preserve"> </w:t>
      </w:r>
      <w:r>
        <w:rPr>
          <w:rFonts w:ascii="Arial" w:cs="Arial" w:eastAsia="Arial" w:hAnsi="Arial"/>
          <w:sz w:val="14"/>
          <w:szCs w:val="14"/>
          <w:color w:val="auto"/>
        </w:rPr>
        <w:t>mainline system that extends directly to the Corpus Christi market, and has a capacity of 670,000 barrels per day.</w:t>
      </w:r>
    </w:p>
    <w:p>
      <w:pPr>
        <w:spacing w:after="0" w:line="153" w:lineRule="exact"/>
        <w:rPr>
          <w:rFonts w:ascii="Arial" w:cs="Arial" w:eastAsia="Arial" w:hAnsi="Arial"/>
          <w:sz w:val="14"/>
          <w:szCs w:val="14"/>
          <w:i w:val="1"/>
          <w:iCs w:val="1"/>
          <w:color w:val="auto"/>
        </w:rPr>
      </w:pPr>
    </w:p>
    <w:p>
      <w:pPr>
        <w:ind w:left="760" w:hanging="246"/>
        <w:spacing w:after="0" w:line="258"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Wink to Webster Pipeline. </w:t>
      </w:r>
      <w:r>
        <w:rPr>
          <w:rFonts w:ascii="Arial" w:cs="Arial" w:eastAsia="Arial" w:hAnsi="Arial"/>
          <w:sz w:val="14"/>
          <w:szCs w:val="14"/>
          <w:color w:val="auto"/>
        </w:rPr>
        <w:t>We own a 16% interest in the legal entity that owns the Wink to Webster Pipeline (“W2W Pipeline”), which in turn owns 100% of certain segments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W2W Pipeline and a 71% UJI in the segment from Midland, Texas to Webster, Texas. The W2W Pipeline originates in the Permian Basin in West Texas and transports crude oil to multiple destinations in the Houston and Galveston market areas. The pipeline system will provide approximately 1.5 million barrels per day of crude oil capacity (1.1 million barrels per day, net to the UJI interest) and is supported by long-term shipper commitments. Phase one of the pipeline system from Midland, Texas to Webster, Texas is currently in service. Phase two, which increases the pipeline system to 1.5 million barrels per day of capacity, was placed in service in the first quarter of 2022, at which time long-term shipper commitments became effective. The third phase of the project, which includes the segments from Wink,</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4" w:name="page15"/>
    <w:bookmarkEnd w:id="1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Texas to Midland, Texas and from Webster, Texas to Baytown, Texas, has been deferred by the partners until the fourth quarter of 2023.</w:t>
      </w:r>
    </w:p>
    <w:p>
      <w:pPr>
        <w:spacing w:after="0" w:line="200"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i w:val="1"/>
          <w:iCs w:val="1"/>
          <w:color w:val="auto"/>
        </w:rPr>
        <w:t xml:space="preserve">South Texas/Eagle Ford. </w:t>
      </w:r>
      <w:r>
        <w:rPr>
          <w:rFonts w:ascii="Arial" w:cs="Arial" w:eastAsia="Arial" w:hAnsi="Arial"/>
          <w:sz w:val="14"/>
          <w:szCs w:val="14"/>
          <w:color w:val="auto"/>
        </w:rPr>
        <w:t>We own a 50% interest in the legal entity that owns the Eagle Ford Pipeline through a joint venture with a subsidiary of Enterprise. We serve as the operator of the</w:t>
      </w:r>
      <w:r>
        <w:rPr>
          <w:rFonts w:ascii="Arial" w:cs="Arial" w:eastAsia="Arial" w:hAnsi="Arial"/>
          <w:sz w:val="14"/>
          <w:szCs w:val="14"/>
          <w:i w:val="1"/>
          <w:iCs w:val="1"/>
          <w:color w:val="auto"/>
        </w:rPr>
        <w:t xml:space="preserve"> </w:t>
      </w:r>
      <w:r>
        <w:rPr>
          <w:rFonts w:ascii="Arial" w:cs="Arial" w:eastAsia="Arial" w:hAnsi="Arial"/>
          <w:sz w:val="14"/>
          <w:szCs w:val="14"/>
          <w:color w:val="auto"/>
        </w:rPr>
        <w:t>Eagle Ford Pipeline, which has a total capacity of approximately 660,000 barrels per day and connects Permian and Eagle Ford area production to Corpus Christi, Texas refiners and terminals. Additionally, the Eagle Ford Pipeline has connectivity to Houston, Texas via a connection with Enterprise’s pipeline at Lyssy, Texas.</w:t>
      </w:r>
    </w:p>
    <w:p>
      <w:pPr>
        <w:spacing w:after="0" w:line="163"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i w:val="1"/>
          <w:iCs w:val="1"/>
          <w:color w:val="auto"/>
        </w:rPr>
        <w:t xml:space="preserve">Mid-Continent. </w:t>
      </w:r>
      <w:r>
        <w:rPr>
          <w:rFonts w:ascii="Arial" w:cs="Arial" w:eastAsia="Arial" w:hAnsi="Arial"/>
          <w:sz w:val="14"/>
          <w:szCs w:val="14"/>
          <w:color w:val="auto"/>
        </w:rPr>
        <w:t>We own and operate various pipeline systems that extend from our Cushing terminal in Oklahoma to various refineries and/or crude oil hubs. Below is a description of some</w:t>
      </w:r>
      <w:r>
        <w:rPr>
          <w:rFonts w:ascii="Arial" w:cs="Arial" w:eastAsia="Arial" w:hAnsi="Arial"/>
          <w:sz w:val="14"/>
          <w:szCs w:val="14"/>
          <w:i w:val="1"/>
          <w:iCs w:val="1"/>
          <w:color w:val="auto"/>
        </w:rPr>
        <w:t xml:space="preserve"> </w:t>
      </w:r>
      <w:r>
        <w:rPr>
          <w:rFonts w:ascii="Arial" w:cs="Arial" w:eastAsia="Arial" w:hAnsi="Arial"/>
          <w:sz w:val="14"/>
          <w:szCs w:val="14"/>
          <w:color w:val="auto"/>
        </w:rPr>
        <w:t>of our most significant pipeline systems in the Mid-Continent region.</w:t>
      </w:r>
    </w:p>
    <w:p>
      <w:pPr>
        <w:spacing w:after="0" w:line="153" w:lineRule="exact"/>
        <w:rPr>
          <w:sz w:val="20"/>
          <w:szCs w:val="20"/>
          <w:color w:val="auto"/>
        </w:rPr>
      </w:pPr>
    </w:p>
    <w:p>
      <w:pPr>
        <w:ind w:left="760" w:right="80" w:hanging="246"/>
        <w:spacing w:after="0" w:line="267" w:lineRule="auto"/>
        <w:tabs>
          <w:tab w:leader="none" w:pos="756"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Diamond Pipeline (Cushing to Memphis). </w:t>
      </w:r>
      <w:r>
        <w:rPr>
          <w:rFonts w:ascii="Arial" w:cs="Arial" w:eastAsia="Arial" w:hAnsi="Arial"/>
          <w:sz w:val="14"/>
          <w:szCs w:val="14"/>
          <w:color w:val="auto"/>
        </w:rPr>
        <w:t>We own a 50% interest in the legal entity that owns the Diamond Pipeline through a joint venture with Valero Energy Corporation (“Valero”).</w:t>
      </w:r>
      <w:r>
        <w:rPr>
          <w:rFonts w:ascii="Arial" w:cs="Arial" w:eastAsia="Arial" w:hAnsi="Arial"/>
          <w:sz w:val="14"/>
          <w:szCs w:val="14"/>
          <w:i w:val="1"/>
          <w:iCs w:val="1"/>
          <w:color w:val="auto"/>
        </w:rPr>
        <w:t xml:space="preserve"> </w:t>
      </w:r>
      <w:r>
        <w:rPr>
          <w:rFonts w:ascii="Arial" w:cs="Arial" w:eastAsia="Arial" w:hAnsi="Arial"/>
          <w:sz w:val="14"/>
          <w:szCs w:val="14"/>
          <w:color w:val="auto"/>
        </w:rPr>
        <w:t>We operate the Diamond Pipeline, which extends from our Cushing Terminal to Valero’s refinery in Memphis, Tennessee. The Diamond Pipeline is underpinned by a long-term minimum volume commitment and currently has a total capacity of 200,000 barrels per day.</w:t>
      </w:r>
    </w:p>
    <w:p>
      <w:pPr>
        <w:spacing w:after="0" w:line="162" w:lineRule="exact"/>
        <w:rPr>
          <w:rFonts w:ascii="Arial" w:cs="Arial" w:eastAsia="Arial" w:hAnsi="Arial"/>
          <w:sz w:val="14"/>
          <w:szCs w:val="14"/>
          <w:i w:val="1"/>
          <w:iCs w:val="1"/>
          <w:color w:val="auto"/>
        </w:rPr>
      </w:pPr>
    </w:p>
    <w:p>
      <w:pPr>
        <w:ind w:left="760" w:right="180" w:hanging="246"/>
        <w:spacing w:after="0" w:line="262" w:lineRule="auto"/>
        <w:tabs>
          <w:tab w:leader="none" w:pos="756"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Red River Pipeline (Cushing to Longview)</w:t>
      </w:r>
      <w:r>
        <w:rPr>
          <w:rFonts w:ascii="Arial" w:cs="Arial" w:eastAsia="Arial" w:hAnsi="Arial"/>
          <w:sz w:val="14"/>
          <w:szCs w:val="14"/>
          <w:color w:val="auto"/>
        </w:rPr>
        <w:t>. We own 67% of the legal entity that owns the Red River Pipeline through a joint venture with Delek Logistics Partners, LP (“Delek”). The</w:t>
      </w:r>
      <w:r>
        <w:rPr>
          <w:rFonts w:ascii="Arial" w:cs="Arial" w:eastAsia="Arial" w:hAnsi="Arial"/>
          <w:sz w:val="14"/>
          <w:szCs w:val="14"/>
          <w:i w:val="1"/>
          <w:iCs w:val="1"/>
          <w:color w:val="auto"/>
        </w:rPr>
        <w:t xml:space="preserve"> </w:t>
      </w:r>
      <w:r>
        <w:rPr>
          <w:rFonts w:ascii="Arial" w:cs="Arial" w:eastAsia="Arial" w:hAnsi="Arial"/>
          <w:sz w:val="14"/>
          <w:szCs w:val="14"/>
          <w:color w:val="auto"/>
        </w:rPr>
        <w:t>Red River Pipeline is an approximately 235,000 barrel per day capacity pipeline that extends from our Cushing Terminal in Oklahoma to Longview, Texas, where it connects with various pipelines. The Red River Pipeline is supported by long-term shipper commitments, and we serve as operator. The Red River JV has an approximate 69% UJI in the pipeline segment from Cushing to Hewitt and owns 100% of the segment of the pipeline extending from Hewitt to Longview.</w:t>
      </w:r>
    </w:p>
    <w:p>
      <w:pPr>
        <w:spacing w:after="0" w:line="167"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i w:val="1"/>
          <w:iCs w:val="1"/>
          <w:color w:val="auto"/>
        </w:rPr>
        <w:t xml:space="preserve">Gulf Coast. </w:t>
      </w:r>
      <w:r>
        <w:rPr>
          <w:rFonts w:ascii="Arial" w:cs="Arial" w:eastAsia="Arial" w:hAnsi="Arial"/>
          <w:sz w:val="14"/>
          <w:szCs w:val="14"/>
          <w:color w:val="auto"/>
        </w:rPr>
        <w:t>We own an approximate 54% interest in the legal entity that owns the Capline Pipeline. Upon completion of its reversal project in 2021, the Capline Pipeline extends from</w:t>
      </w:r>
      <w:r>
        <w:rPr>
          <w:rFonts w:ascii="Arial" w:cs="Arial" w:eastAsia="Arial" w:hAnsi="Arial"/>
          <w:sz w:val="14"/>
          <w:szCs w:val="14"/>
          <w:i w:val="1"/>
          <w:iCs w:val="1"/>
          <w:color w:val="auto"/>
        </w:rPr>
        <w:t xml:space="preserve"> </w:t>
      </w:r>
      <w:r>
        <w:rPr>
          <w:rFonts w:ascii="Arial" w:cs="Arial" w:eastAsia="Arial" w:hAnsi="Arial"/>
          <w:sz w:val="14"/>
          <w:szCs w:val="14"/>
          <w:color w:val="auto"/>
        </w:rPr>
        <w:t>Patoka, Illinois to various terminals in St. James, Louisiana. The Capline Pipeline is supported by long-term shipper commitments, and a subsidiary of Marathon Petroleum Corporation serves as the operator.</w:t>
      </w:r>
    </w:p>
    <w:p>
      <w:pPr>
        <w:spacing w:after="0" w:line="163"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i w:val="1"/>
          <w:iCs w:val="1"/>
          <w:color w:val="auto"/>
        </w:rPr>
        <w:t xml:space="preserve">Rocky Mountain. </w:t>
      </w:r>
      <w:r>
        <w:rPr>
          <w:rFonts w:ascii="Arial" w:cs="Arial" w:eastAsia="Arial" w:hAnsi="Arial"/>
          <w:sz w:val="14"/>
          <w:szCs w:val="14"/>
          <w:color w:val="auto"/>
        </w:rPr>
        <w:t>Our pipeline systems in the Rocky Mountain region provide access to our terminal in Cushing, Oklahoma as well as other major market hubs. We own and operate the</w:t>
      </w:r>
      <w:r>
        <w:rPr>
          <w:rFonts w:ascii="Arial" w:cs="Arial" w:eastAsia="Arial" w:hAnsi="Arial"/>
          <w:sz w:val="14"/>
          <w:szCs w:val="14"/>
          <w:i w:val="1"/>
          <w:iCs w:val="1"/>
          <w:color w:val="auto"/>
        </w:rPr>
        <w:t xml:space="preserve"> </w:t>
      </w:r>
      <w:r>
        <w:rPr>
          <w:rFonts w:ascii="Arial" w:cs="Arial" w:eastAsia="Arial" w:hAnsi="Arial"/>
          <w:sz w:val="14"/>
          <w:szCs w:val="14"/>
          <w:color w:val="auto"/>
        </w:rPr>
        <w:t>Bakken North pipeline system that accommodates bidirectional flow and can move crude oil from the Bakken to the Enbridge Mainline system at Regina, Saskatchewan or from the Enbridge Mainline system to our terminal in Trenton, North Dakota. We own a UJI in the Western Corridor pipeline system that extends from the Canadian border to our terminal in Guernsey, Wyoming. This pipeline system receives crude oil from our Rangeland Pipeline in Canada. In addition to these assets, our largest Rocky Mountain area systems include the following joint venture pipelines, both of which connect to our terminal in Cushing, Oklahoma.</w:t>
      </w:r>
    </w:p>
    <w:p>
      <w:pPr>
        <w:spacing w:after="0" w:line="168" w:lineRule="exact"/>
        <w:rPr>
          <w:sz w:val="20"/>
          <w:szCs w:val="20"/>
          <w:color w:val="auto"/>
        </w:rPr>
      </w:pPr>
    </w:p>
    <w:p>
      <w:pPr>
        <w:ind w:left="760" w:right="240" w:hanging="246"/>
        <w:spacing w:after="0" w:line="267"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Saddlehorn Pipeline</w:t>
      </w:r>
      <w:r>
        <w:rPr>
          <w:rFonts w:ascii="Arial" w:cs="Arial" w:eastAsia="Arial" w:hAnsi="Arial"/>
          <w:sz w:val="14"/>
          <w:szCs w:val="14"/>
          <w:color w:val="auto"/>
        </w:rPr>
        <w:t>. We own a 30% interest in the legal entity that owns the Saddlehorn Pipeline which, through a UJI arrangement, owns 290,000 barrels per day of capacity in the</w:t>
      </w:r>
      <w:r>
        <w:rPr>
          <w:rFonts w:ascii="Arial" w:cs="Arial" w:eastAsia="Arial" w:hAnsi="Arial"/>
          <w:sz w:val="14"/>
          <w:szCs w:val="14"/>
          <w:i w:val="1"/>
          <w:iCs w:val="1"/>
          <w:color w:val="auto"/>
        </w:rPr>
        <w:t xml:space="preserve"> </w:t>
      </w:r>
      <w:r>
        <w:rPr>
          <w:rFonts w:ascii="Arial" w:cs="Arial" w:eastAsia="Arial" w:hAnsi="Arial"/>
          <w:sz w:val="14"/>
          <w:szCs w:val="14"/>
          <w:color w:val="auto"/>
        </w:rPr>
        <w:t>Saddlehorn Pipeline. The pipeline extends from the Niobrara and Denver-Julesburg (“DJ”) Basin to Cushing and is operated by Magellan. The Saddlehorn Pipeline is supported by minimum volume commitments.</w:t>
      </w:r>
    </w:p>
    <w:p>
      <w:pPr>
        <w:spacing w:after="0" w:line="162" w:lineRule="exact"/>
        <w:rPr>
          <w:rFonts w:ascii="Arial" w:cs="Arial" w:eastAsia="Arial" w:hAnsi="Arial"/>
          <w:sz w:val="14"/>
          <w:szCs w:val="14"/>
          <w:color w:val="auto"/>
        </w:rPr>
      </w:pPr>
    </w:p>
    <w:p>
      <w:pPr>
        <w:jc w:val="both"/>
        <w:ind w:left="760" w:right="120" w:hanging="246"/>
        <w:spacing w:after="0" w:line="288" w:lineRule="auto"/>
        <w:tabs>
          <w:tab w:leader="none" w:pos="756"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White Cliffs Pipeline. </w:t>
      </w:r>
      <w:r>
        <w:rPr>
          <w:rFonts w:ascii="Arial" w:cs="Arial" w:eastAsia="Arial" w:hAnsi="Arial"/>
          <w:sz w:val="13"/>
          <w:szCs w:val="13"/>
          <w:color w:val="auto"/>
        </w:rPr>
        <w:t>We own an approximate 36% interest in the entity that owns the White Cliffs Pipeline system through a joint venture with three other partners. The White Cliffs</w:t>
      </w:r>
      <w:r>
        <w:rPr>
          <w:rFonts w:ascii="Arial" w:cs="Arial" w:eastAsia="Arial" w:hAnsi="Arial"/>
          <w:sz w:val="13"/>
          <w:szCs w:val="13"/>
          <w:i w:val="1"/>
          <w:iCs w:val="1"/>
          <w:color w:val="auto"/>
        </w:rPr>
        <w:t xml:space="preserve"> </w:t>
      </w:r>
      <w:r>
        <w:rPr>
          <w:rFonts w:ascii="Arial" w:cs="Arial" w:eastAsia="Arial" w:hAnsi="Arial"/>
          <w:sz w:val="13"/>
          <w:szCs w:val="13"/>
          <w:color w:val="auto"/>
        </w:rPr>
        <w:t>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52"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We own and operate the Line 63 and Line 2000 pipelines in California. Line 2000 is a mainline system that has the capacity to transport approximately 110,000 barrels per day from</w:t>
      </w:r>
      <w:r>
        <w:rPr>
          <w:rFonts w:ascii="Arial" w:cs="Arial" w:eastAsia="Arial" w:hAnsi="Arial"/>
          <w:sz w:val="13"/>
          <w:szCs w:val="13"/>
          <w:i w:val="1"/>
          <w:iCs w:val="1"/>
          <w:color w:val="auto"/>
        </w:rPr>
        <w:t xml:space="preserve"> </w:t>
      </w:r>
      <w:r>
        <w:rPr>
          <w:rFonts w:ascii="Arial" w:cs="Arial" w:eastAsia="Arial" w:hAnsi="Arial"/>
          <w:sz w:val="13"/>
          <w:szCs w:val="13"/>
          <w:color w:val="auto"/>
        </w:rPr>
        <w:t>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5" w:name="page16"/>
    <w:bookmarkEnd w:id="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Storage and Terminalling Facilities</w:t>
      </w:r>
    </w:p>
    <w:p>
      <w:pPr>
        <w:spacing w:after="0" w:line="204"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Our largest crude oil terminals are located in key market hubs, including Cushing, Oklahoma, St. James, Louisiana, Midland, Texas and Patoka, Illinois, and have connectivity to all major inbound and outbound pipelines and other terminals at these hubs.</w:t>
      </w:r>
    </w:p>
    <w:p>
      <w:pPr>
        <w:spacing w:after="0" w:line="153"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4"/>
          <w:szCs w:val="14"/>
          <w:color w:val="auto"/>
        </w:rPr>
        <w:t>We are the largest provider of crude oil terminalling services in Cushing, Oklahoma, which is one of the largest physical trading hubs in the United States and is the delivery point for crude oil futures contracts traded on the NYMEX. Our Cushing Terminal has been designated by the NYMEX as an approved delivery location for crude oil delivered under the NYMEX light sweet crude oil futures contract.</w:t>
      </w:r>
    </w:p>
    <w:p>
      <w:pPr>
        <w:spacing w:after="0" w:line="163"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Our Cushing terminal is connected to our long-haul pipelines from the Permian Basin and Rocky Mountain regions, as well as to our Mid-Continent region gathering pipelines. Additionally, the terminal supplies crude oil to all of our joint venture, Mid-Continent region long-haul pipelines.</w:t>
      </w:r>
    </w:p>
    <w:p>
      <w:pPr>
        <w:spacing w:after="0" w:line="15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Our Midland terminal has access to all of the Permian JV gathering pipelines, either through direct connections, or through the Permian JV intra-basin pipelines. Likewise, the terminal is also either directly connected, or connected through the Permian JV intra-basin pipelines to all of our Permian Basin long-haul pipelines.</w:t>
      </w:r>
    </w:p>
    <w:p>
      <w:pPr>
        <w:spacing w:after="0" w:line="153"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Our terminals at Corpus Christi, Texas, St. James, Louisiana and Mobile, Alabama all have docks and the capacity to export crude oil. In addition, our St James terminal has a rail unload facility that can move crude from rail cars to pipelines that service local refiners, or to our dock for export.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Patoka and St. James terminals are both connected to Capline pipeline, and the terminals will be a receipt and destination facility, respectively.</w:t>
      </w:r>
    </w:p>
    <w:p>
      <w:pPr>
        <w:spacing w:after="0" w:line="200"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Our crude oil terminals have significant flexibility and operational capabilities, including large-scale multi-grade handling and segregation capabilities and multiple marine transportation loading and unloading capabilities. The table below presents our commercial crude oil storage capacity by location as of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Crude Oil Storage Facilities</w:t>
            </w:r>
          </w:p>
        </w:tc>
        <w:tc>
          <w:tcPr>
            <w:tcW w:w="1400" w:type="dxa"/>
            <w:vAlign w:val="bottom"/>
          </w:tcPr>
          <w:p>
            <w:pPr>
              <w:jc w:val="right"/>
              <w:ind w:right="272"/>
              <w:spacing w:after="0"/>
              <w:rPr>
                <w:sz w:val="20"/>
                <w:szCs w:val="20"/>
                <w:color w:val="auto"/>
              </w:rPr>
            </w:pPr>
            <w:r>
              <w:rPr>
                <w:rFonts w:ascii="Arial" w:cs="Arial" w:eastAsia="Arial" w:hAnsi="Arial"/>
                <w:sz w:val="11"/>
                <w:szCs w:val="11"/>
                <w:b w:val="1"/>
                <w:bCs w:val="1"/>
                <w:color w:val="auto"/>
              </w:rPr>
              <w:t>Total Capacity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40" w:type="dxa"/>
            <w:vAlign w:val="bottom"/>
            <w:gridSpan w:val="3"/>
            <w:vMerge w:val="continue"/>
          </w:tcPr>
          <w:p>
            <w:pPr>
              <w:spacing w:after="0"/>
              <w:rPr>
                <w:sz w:val="12"/>
                <w:szCs w:val="12"/>
                <w:color w:val="auto"/>
              </w:rPr>
            </w:pPr>
          </w:p>
        </w:tc>
        <w:tc>
          <w:tcPr>
            <w:tcW w:w="1400" w:type="dxa"/>
            <w:vAlign w:val="bottom"/>
          </w:tcPr>
          <w:p>
            <w:pPr>
              <w:jc w:val="right"/>
              <w:ind w:right="372"/>
              <w:spacing w:after="0"/>
              <w:rPr>
                <w:sz w:val="20"/>
                <w:szCs w:val="20"/>
                <w:color w:val="auto"/>
              </w:rPr>
            </w:pPr>
            <w:r>
              <w:rPr>
                <w:rFonts w:ascii="Arial" w:cs="Arial" w:eastAsia="Arial" w:hAnsi="Arial"/>
                <w:sz w:val="11"/>
                <w:szCs w:val="11"/>
                <w:b w:val="1"/>
                <w:bCs w:val="1"/>
                <w:color w:val="auto"/>
              </w:rPr>
              <w:t>(MMBbls)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Cushing</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tcPr>
          <w:p>
            <w:pPr>
              <w:ind w:left="20"/>
              <w:spacing w:after="0"/>
              <w:rPr>
                <w:sz w:val="20"/>
                <w:szCs w:val="20"/>
                <w:color w:val="auto"/>
              </w:rPr>
            </w:pPr>
            <w:r>
              <w:rPr>
                <w:rFonts w:ascii="Arial" w:cs="Arial" w:eastAsia="Arial" w:hAnsi="Arial"/>
                <w:sz w:val="14"/>
                <w:szCs w:val="14"/>
                <w:i w:val="1"/>
                <w:iCs w:val="1"/>
                <w:color w:val="auto"/>
              </w:rPr>
              <w:t>St. James</w:t>
            </w:r>
          </w:p>
        </w:tc>
        <w:tc>
          <w:tcPr>
            <w:tcW w:w="14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Patoka</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tcPr>
          <w:p>
            <w:pPr>
              <w:ind w:left="20"/>
              <w:spacing w:after="0"/>
              <w:rPr>
                <w:sz w:val="20"/>
                <w:szCs w:val="20"/>
                <w:color w:val="auto"/>
              </w:rPr>
            </w:pPr>
            <w:r>
              <w:rPr>
                <w:rFonts w:ascii="Arial" w:cs="Arial" w:eastAsia="Arial" w:hAnsi="Arial"/>
                <w:sz w:val="14"/>
                <w:szCs w:val="14"/>
                <w:i w:val="1"/>
                <w:iCs w:val="1"/>
                <w:color w:val="auto"/>
              </w:rPr>
              <w:t>Permian Basin Area</w:t>
            </w: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Mobile and Ten Mile</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tcPr>
          <w:p>
            <w:pPr>
              <w:ind w:left="20"/>
              <w:spacing w:after="0" w:line="181" w:lineRule="exact"/>
              <w:rPr>
                <w:sz w:val="20"/>
                <w:szCs w:val="20"/>
                <w:color w:val="auto"/>
              </w:rPr>
            </w:pPr>
            <w:r>
              <w:rPr>
                <w:rFonts w:ascii="Arial" w:cs="Arial" w:eastAsia="Arial" w:hAnsi="Arial"/>
                <w:sz w:val="14"/>
                <w:szCs w:val="14"/>
                <w:i w:val="1"/>
                <w:iCs w:val="1"/>
                <w:color w:val="auto"/>
              </w:rPr>
              <w:t xml:space="preserve">Corpus Christi </w:t>
            </w:r>
            <w:r>
              <w:rPr>
                <w:rFonts w:ascii="Arial" w:cs="Arial" w:eastAsia="Arial" w:hAnsi="Arial"/>
                <w:sz w:val="18"/>
                <w:szCs w:val="18"/>
                <w:i w:val="1"/>
                <w:iCs w:val="1"/>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i w:val="1"/>
                <w:iCs w:val="1"/>
                <w:color w:val="auto"/>
              </w:rPr>
              <w:t xml:space="preserve">Other </w:t>
            </w:r>
            <w:r>
              <w:rPr>
                <w:rFonts w:ascii="Arial" w:cs="Arial" w:eastAsia="Arial" w:hAnsi="Arial"/>
                <w:sz w:val="18"/>
                <w:szCs w:val="18"/>
                <w:i w:val="1"/>
                <w:iCs w:val="1"/>
                <w:color w:val="auto"/>
                <w:vertAlign w:val="superscript"/>
              </w:rPr>
              <w:t>(2)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6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We own 50% of this storage capacity through our investment in Eagle Ford Terminals Corpus Christi LLC.</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Amount includes approximately 2 million barrels of storage capacity associated with our crude oil rail terminal operations.</w:t>
      </w:r>
    </w:p>
    <w:p>
      <w:pPr>
        <w:spacing w:after="0" w:line="262"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Condensate Processing Facility</w:t>
      </w:r>
    </w:p>
    <w:p>
      <w:pPr>
        <w:spacing w:after="0" w:line="20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Our Gardendale condensate processing facility is located in La Salle County, Texas. The facility stabilizes condensate that is primarily sourced from our Eagle Ford area gathering systems. The stabilized condensate is delivered to a third-party pipeline that delivers into Mont Belvieu, Texas. The facility has a total processing capacity of 120,000 barrels per day and usable storage capacity of 160,000 barrels. Throughput at the Gardendale processing facility is supplied by long-term commitments from producers.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6" w:name="page17"/>
    <w:bookmarkEnd w:id="1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Rail Facilities</w:t>
      </w:r>
    </w:p>
    <w:p>
      <w:pPr>
        <w:spacing w:after="0" w:line="204"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We own crude oil rail loading facilities located at or near Carr, Colorado; Tampa, Colorado; Manitou, North Dakota; and Kerrobert, Saskatchewan. We own crude oil rail unloading facilities in St. James, Louisiana; Yorktown, Virginia; and Bakersfield, California. Our crude oil rail facilities have aggregate loading and unloading capacity of 264,000 and 350,000 barrels per day,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Natural Gas Liquids (“NGL”) Segment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NGL Market and Business Overview</w:t>
      </w:r>
    </w:p>
    <w:p>
      <w:pPr>
        <w:spacing w:after="0" w:line="204"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NGL segment operations involve natural gas processing and NGL fractionation, storage, transportation and terminalling. Our NGL revenues are primarily derived from a combination of</w:t>
      </w:r>
    </w:p>
    <w:p>
      <w:pPr>
        <w:spacing w:after="0" w:line="42" w:lineRule="exact"/>
        <w:rPr>
          <w:sz w:val="20"/>
          <w:szCs w:val="20"/>
          <w:color w:val="auto"/>
        </w:rPr>
      </w:pPr>
    </w:p>
    <w:p>
      <w:pPr>
        <w:ind w:firstLine="5"/>
        <w:spacing w:after="0" w:line="255" w:lineRule="auto"/>
        <w:tabs>
          <w:tab w:leader="none" w:pos="169"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also acquire NGL mix supply and use our assets to store and fractionate it into finished products to sell to third party customers. We may also acquire finished NGL products to be seasonally stored in our storage caverns, which is then resold to third-party customers. Often times we will use derivative instruments to hedge the margins related to these merchant activities. Such hedging activity is governed by our risk management policies. NGL sales arrangements are also subject to our credit policies.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figure below provides an illustrative and simplified overview of the assets and activities associated with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133350</wp:posOffset>
            </wp:positionV>
            <wp:extent cx="4621530" cy="1246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1530" cy="124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 w:name="page18"/>
    <w:bookmarkEnd w:id="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NGL Segment Assets Overview</w:t>
      </w:r>
    </w:p>
    <w:p>
      <w:pPr>
        <w:spacing w:after="0" w:line="193" w:lineRule="exact"/>
        <w:rPr>
          <w:sz w:val="20"/>
          <w:szCs w:val="20"/>
          <w:color w:val="auto"/>
        </w:rPr>
      </w:pPr>
    </w:p>
    <w:p>
      <w:pPr>
        <w:ind w:right="220" w:firstLine="509"/>
        <w:spacing w:after="0" w:line="249" w:lineRule="auto"/>
        <w:rPr>
          <w:sz w:val="20"/>
          <w:szCs w:val="20"/>
          <w:color w:val="auto"/>
        </w:rPr>
      </w:pPr>
      <w:r>
        <w:rPr>
          <w:rFonts w:ascii="Arial" w:cs="Arial" w:eastAsia="Arial" w:hAnsi="Arial"/>
          <w:sz w:val="14"/>
          <w:szCs w:val="14"/>
          <w:color w:val="auto"/>
        </w:rPr>
        <w:t>We operate a highly integrated network of assets, strategically positioned across Canada and the United States, with a particular focus on serving production from the liquids-rich Western Canadian Sedimentary Basin. As of December 31, 2021, the assets utilized in our NGL segment included the following:</w:t>
      </w:r>
    </w:p>
    <w:p>
      <w:pPr>
        <w:spacing w:after="0" w:line="48" w:lineRule="exact"/>
        <w:rPr>
          <w:sz w:val="20"/>
          <w:szCs w:val="20"/>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four natural gas processing plants;</w:t>
      </w:r>
    </w:p>
    <w:p>
      <w:pPr>
        <w:spacing w:after="0" w:line="83"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nine fractionation plants located throughout Canada and the United States with an aggregate useable capacity of approximately 200,100 barrels per day;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NGL storage facilities with approximately 28 million barrels of capacity;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approximately 1,620 miles of active NGL transportation pipelines and an additional 55 miles of pipeline that support our NGL storage facilities;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16 NGL rail terminals and approximately 3,900 NGL rail cars;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approximately 220 trailers.</w:t>
      </w:r>
    </w:p>
    <w:p>
      <w:pPr>
        <w:spacing w:after="0" w:line="348" w:lineRule="exact"/>
        <w:rPr>
          <w:sz w:val="20"/>
          <w:szCs w:val="20"/>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2 million barrels of NGL linefill in pipelines and tanks owned by us;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 million barrels of NGL utilized as linefill in pipelines owned by third parties or otherwise required as long-term inventory.</w:t>
      </w:r>
    </w:p>
    <w:p>
      <w:pPr>
        <w:spacing w:after="0" w:line="189" w:lineRule="exact"/>
        <w:rPr>
          <w:sz w:val="20"/>
          <w:szCs w:val="20"/>
          <w:color w:val="auto"/>
        </w:rPr>
      </w:pPr>
    </w:p>
    <w:p>
      <w:pPr>
        <w:ind w:right="540" w:firstLine="509"/>
        <w:spacing w:after="0" w:line="249" w:lineRule="auto"/>
        <w:rPr>
          <w:sz w:val="20"/>
          <w:szCs w:val="20"/>
          <w:color w:val="auto"/>
        </w:rPr>
      </w:pPr>
      <w:r>
        <w:rPr>
          <w:rFonts w:ascii="Arial" w:cs="Arial" w:eastAsia="Arial" w:hAnsi="Arial"/>
          <w:sz w:val="14"/>
          <w:szCs w:val="14"/>
          <w:color w:val="auto"/>
        </w:rPr>
        <w:t>The tables below present volumes and capacities for our NGL assets and activities as of December 31, 2021 and our natural gas processing and NGL infrastructure and activities are described further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6"/>
              </w:rPr>
              <w:t>Gas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5"/>
          </w:tcPr>
          <w:p>
            <w:pPr>
              <w:jc w:val="center"/>
              <w:ind w:right="120"/>
              <w:spacing w:after="0" w:line="106" w:lineRule="exact"/>
              <w:rPr>
                <w:sz w:val="20"/>
                <w:szCs w:val="20"/>
                <w:color w:val="auto"/>
              </w:rPr>
            </w:pPr>
            <w:r>
              <w:rPr>
                <w:rFonts w:ascii="Arial" w:cs="Arial" w:eastAsia="Arial" w:hAnsi="Arial"/>
                <w:sz w:val="11"/>
                <w:szCs w:val="11"/>
                <w:b w:val="1"/>
                <w:bCs w:val="1"/>
                <w:color w:val="auto"/>
                <w:w w:val="87"/>
              </w:rPr>
              <w:t>Processing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7"/>
              </w:rPr>
              <w:t>Inlet</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Natural Gas Processing Facilities</w:t>
            </w: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Ownership Interest</w:t>
            </w:r>
          </w:p>
        </w:tc>
        <w:tc>
          <w:tcPr>
            <w:tcW w:w="20" w:type="dxa"/>
            <w:vAlign w:val="bottom"/>
          </w:tcPr>
          <w:p>
            <w:pPr>
              <w:spacing w:after="0"/>
              <w:rPr>
                <w:sz w:val="9"/>
                <w:szCs w:val="9"/>
                <w:color w:val="auto"/>
              </w:rPr>
            </w:pPr>
          </w:p>
        </w:tc>
        <w:tc>
          <w:tcPr>
            <w:tcW w:w="1600" w:type="dxa"/>
            <w:vAlign w:val="bottom"/>
            <w:gridSpan w:val="5"/>
          </w:tcPr>
          <w:p>
            <w:pPr>
              <w:jc w:val="center"/>
              <w:ind w:right="140"/>
              <w:spacing w:after="0" w:line="106" w:lineRule="exact"/>
              <w:rPr>
                <w:sz w:val="20"/>
                <w:szCs w:val="20"/>
                <w:color w:val="auto"/>
              </w:rPr>
            </w:pPr>
            <w:r>
              <w:rPr>
                <w:rFonts w:ascii="Arial" w:cs="Arial" w:eastAsia="Arial" w:hAnsi="Arial"/>
                <w:sz w:val="11"/>
                <w:szCs w:val="11"/>
                <w:b w:val="1"/>
                <w:bCs w:val="1"/>
                <w:color w:val="auto"/>
                <w:w w:val="91"/>
              </w:rPr>
              <w:t>Capacity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8"/>
              </w:rPr>
              <w:t xml:space="preserve">Volume </w:t>
            </w:r>
            <w:r>
              <w:rPr>
                <w:rFonts w:ascii="Arial" w:cs="Arial" w:eastAsia="Arial" w:hAnsi="Arial"/>
                <w:sz w:val="12"/>
                <w:szCs w:val="12"/>
                <w:b w:val="1"/>
                <w:bCs w:val="1"/>
                <w:color w:val="auto"/>
                <w:w w:val="98"/>
                <w:vertAlign w:val="superscript"/>
              </w:rPr>
              <w:t>(2)</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jc w:val="center"/>
              <w:ind w:right="120"/>
              <w:spacing w:after="0" w:line="149" w:lineRule="exact"/>
              <w:rPr>
                <w:sz w:val="20"/>
                <w:szCs w:val="20"/>
                <w:color w:val="auto"/>
              </w:rPr>
            </w:pPr>
            <w:r>
              <w:rPr>
                <w:rFonts w:ascii="Arial" w:cs="Arial" w:eastAsia="Arial" w:hAnsi="Arial"/>
                <w:sz w:val="11"/>
                <w:szCs w:val="11"/>
                <w:b w:val="1"/>
                <w:bCs w:val="1"/>
                <w:color w:val="auto"/>
                <w:w w:val="89"/>
              </w:rPr>
              <w:t xml:space="preserve">(Bcf/d) </w:t>
            </w:r>
            <w:r>
              <w:rPr>
                <w:rFonts w:ascii="Arial" w:cs="Arial" w:eastAsia="Arial" w:hAnsi="Arial"/>
                <w:sz w:val="14"/>
                <w:szCs w:val="14"/>
                <w:b w:val="1"/>
                <w:bCs w:val="1"/>
                <w:color w:val="auto"/>
                <w:w w:val="89"/>
                <w:vertAlign w:val="superscript"/>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(Bcf/d)</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Empress</w:t>
            </w:r>
          </w:p>
        </w:tc>
        <w:tc>
          <w:tcPr>
            <w:tcW w:w="2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66-100%</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4"/>
            <w:shd w:val="clear" w:color="auto" w:fill="CCEEFF"/>
          </w:tcPr>
          <w:p>
            <w:pPr>
              <w:jc w:val="right"/>
              <w:ind w:right="1"/>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4"/>
              </w:rPr>
              <w:t>Fractionation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 xml:space="preserve">Average Volume </w:t>
            </w:r>
            <w:r>
              <w:rPr>
                <w:rFonts w:ascii="Arial" w:cs="Arial" w:eastAsia="Arial" w:hAnsi="Arial"/>
                <w:sz w:val="14"/>
                <w:szCs w:val="14"/>
                <w:b w:val="1"/>
                <w:bCs w:val="1"/>
                <w:color w:val="auto"/>
                <w:w w:val="89"/>
                <w:vertAlign w:val="superscript"/>
              </w:rPr>
              <w:t>(2)</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NGL Fractionation Facilities</w:t>
            </w: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gridSpan w:val="5"/>
            <w:vMerge w:val="restart"/>
          </w:tcPr>
          <w:p>
            <w:pPr>
              <w:ind w:left="380"/>
              <w:spacing w:after="0"/>
              <w:rPr>
                <w:sz w:val="20"/>
                <w:szCs w:val="20"/>
                <w:color w:val="auto"/>
              </w:rPr>
            </w:pPr>
            <w:r>
              <w:rPr>
                <w:rFonts w:ascii="Arial" w:cs="Arial" w:eastAsia="Arial" w:hAnsi="Arial"/>
                <w:sz w:val="11"/>
                <w:szCs w:val="11"/>
                <w:b w:val="1"/>
                <w:bCs w:val="1"/>
                <w:color w:val="auto"/>
              </w:rPr>
              <w:t>Ownership Interest</w:t>
            </w:r>
          </w:p>
        </w:tc>
        <w:tc>
          <w:tcPr>
            <w:tcW w:w="20" w:type="dxa"/>
            <w:vAlign w:val="bottom"/>
          </w:tcPr>
          <w:p>
            <w:pPr>
              <w:spacing w:after="0"/>
              <w:rPr>
                <w:sz w:val="9"/>
                <w:szCs w:val="9"/>
                <w:color w:val="auto"/>
              </w:rPr>
            </w:pPr>
          </w:p>
        </w:tc>
        <w:tc>
          <w:tcPr>
            <w:tcW w:w="1600" w:type="dxa"/>
            <w:vAlign w:val="bottom"/>
            <w:gridSpan w:val="5"/>
          </w:tcPr>
          <w:p>
            <w:pPr>
              <w:jc w:val="center"/>
              <w:ind w:right="80"/>
              <w:spacing w:after="0" w:line="106" w:lineRule="exact"/>
              <w:rPr>
                <w:sz w:val="20"/>
                <w:szCs w:val="20"/>
                <w:color w:val="auto"/>
              </w:rPr>
            </w:pPr>
            <w:r>
              <w:rPr>
                <w:rFonts w:ascii="Arial" w:cs="Arial" w:eastAsia="Arial" w:hAnsi="Arial"/>
                <w:sz w:val="11"/>
                <w:szCs w:val="11"/>
                <w:b w:val="1"/>
                <w:bCs w:val="1"/>
                <w:color w:val="auto"/>
                <w:w w:val="95"/>
              </w:rPr>
              <w:t>Capacity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1"/>
                <w:szCs w:val="11"/>
                <w:b w:val="1"/>
                <w:bCs w:val="1"/>
                <w:color w:val="auto"/>
                <w:w w:val="86"/>
              </w:rPr>
              <w:t xml:space="preserve">(Bbls/d) </w:t>
            </w:r>
            <w:r>
              <w:rPr>
                <w:rFonts w:ascii="Arial" w:cs="Arial" w:eastAsia="Arial" w:hAnsi="Arial"/>
                <w:sz w:val="14"/>
                <w:szCs w:val="14"/>
                <w:b w:val="1"/>
                <w:bCs w:val="1"/>
                <w:color w:val="auto"/>
                <w:w w:val="86"/>
                <w:vertAlign w:val="superscript"/>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(Bbls/d)</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Empress</w:t>
            </w:r>
          </w:p>
        </w:tc>
        <w:tc>
          <w:tcPr>
            <w:tcW w:w="2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860" w:type="dxa"/>
            <w:vAlign w:val="bottom"/>
            <w:tcBorders>
              <w:top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4"/>
                <w:szCs w:val="14"/>
                <w:color w:val="auto"/>
              </w:rPr>
              <w:t>22,200</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Fort Saskatchewan</w:t>
            </w:r>
          </w:p>
        </w:tc>
        <w:tc>
          <w:tcPr>
            <w:tcW w:w="4400" w:type="dxa"/>
            <w:vAlign w:val="bottom"/>
            <w:gridSpan w:val="8"/>
          </w:tcPr>
          <w:p>
            <w:pPr>
              <w:jc w:val="right"/>
              <w:ind w:right="20"/>
              <w:spacing w:after="0"/>
              <w:rPr>
                <w:sz w:val="20"/>
                <w:szCs w:val="20"/>
                <w:color w:val="auto"/>
              </w:rPr>
            </w:pPr>
            <w:r>
              <w:rPr>
                <w:rFonts w:ascii="Arial" w:cs="Arial" w:eastAsia="Arial" w:hAnsi="Arial"/>
                <w:sz w:val="14"/>
                <w:szCs w:val="14"/>
                <w:color w:val="auto"/>
              </w:rPr>
              <w:t>21-100%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61,700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ind w:right="1"/>
              <w:spacing w:after="0"/>
              <w:rPr>
                <w:sz w:val="20"/>
                <w:szCs w:val="20"/>
                <w:color w:val="auto"/>
              </w:rPr>
            </w:pPr>
            <w:r>
              <w:rPr>
                <w:rFonts w:ascii="Arial" w:cs="Arial" w:eastAsia="Arial" w:hAnsi="Arial"/>
                <w:sz w:val="14"/>
                <w:szCs w:val="14"/>
                <w:color w:val="auto"/>
              </w:rPr>
              <w:t>41,400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Sarnia</w:t>
            </w:r>
          </w:p>
        </w:tc>
        <w:tc>
          <w:tcPr>
            <w:tcW w:w="4400" w:type="dxa"/>
            <w:vAlign w:val="bottom"/>
            <w:gridSpan w:val="8"/>
            <w:shd w:val="clear" w:color="auto" w:fill="CCEEFF"/>
          </w:tcPr>
          <w:p>
            <w:pPr>
              <w:jc w:val="right"/>
              <w:ind w:right="20"/>
              <w:spacing w:after="0"/>
              <w:rPr>
                <w:sz w:val="20"/>
                <w:szCs w:val="20"/>
                <w:color w:val="auto"/>
              </w:rPr>
            </w:pPr>
            <w:r>
              <w:rPr>
                <w:rFonts w:ascii="Arial" w:cs="Arial" w:eastAsia="Arial" w:hAnsi="Arial"/>
                <w:sz w:val="14"/>
                <w:szCs w:val="14"/>
                <w:color w:val="auto"/>
              </w:rPr>
              <w:t>62-84%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jc w:val="right"/>
              <w:ind w:right="1"/>
              <w:spacing w:after="0"/>
              <w:rPr>
                <w:sz w:val="20"/>
                <w:szCs w:val="20"/>
                <w:color w:val="auto"/>
              </w:rPr>
            </w:pPr>
            <w:r>
              <w:rPr>
                <w:rFonts w:ascii="Arial" w:cs="Arial" w:eastAsia="Arial" w:hAnsi="Arial"/>
                <w:sz w:val="14"/>
                <w:szCs w:val="14"/>
                <w:color w:val="auto"/>
              </w:rPr>
              <w:t>52,500</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Other</w:t>
            </w:r>
          </w:p>
        </w:tc>
        <w:tc>
          <w:tcPr>
            <w:tcW w:w="4400" w:type="dxa"/>
            <w:vAlign w:val="bottom"/>
            <w:gridSpan w:val="8"/>
          </w:tcPr>
          <w:p>
            <w:pPr>
              <w:jc w:val="right"/>
              <w:ind w:right="20"/>
              <w:spacing w:after="0"/>
              <w:rPr>
                <w:sz w:val="20"/>
                <w:szCs w:val="20"/>
                <w:color w:val="auto"/>
              </w:rPr>
            </w:pPr>
            <w:r>
              <w:rPr>
                <w:rFonts w:ascii="Arial" w:cs="Arial" w:eastAsia="Arial" w:hAnsi="Arial"/>
                <w:sz w:val="14"/>
                <w:szCs w:val="14"/>
                <w:color w:val="auto"/>
              </w:rPr>
              <w:t>82-100%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40,100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ind w:right="1"/>
              <w:spacing w:after="0"/>
              <w:rPr>
                <w:sz w:val="20"/>
                <w:szCs w:val="20"/>
                <w:color w:val="auto"/>
              </w:rPr>
            </w:pPr>
            <w:r>
              <w:rPr>
                <w:rFonts w:ascii="Arial" w:cs="Arial" w:eastAsia="Arial" w:hAnsi="Arial"/>
                <w:sz w:val="14"/>
                <w:szCs w:val="14"/>
                <w:color w:val="auto"/>
              </w:rPr>
              <w:t>13,400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358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200,100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4"/>
                <w:szCs w:val="14"/>
                <w:color w:val="auto"/>
              </w:rPr>
              <w:t>129,500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Storage</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vMerge w:val="restart"/>
          </w:tcPr>
          <w:p>
            <w:pPr>
              <w:spacing w:after="0"/>
              <w:rPr>
                <w:sz w:val="20"/>
                <w:szCs w:val="20"/>
                <w:color w:val="auto"/>
              </w:rPr>
            </w:pPr>
            <w:r>
              <w:rPr>
                <w:rFonts w:ascii="Arial" w:cs="Arial" w:eastAsia="Arial" w:hAnsi="Arial"/>
                <w:sz w:val="11"/>
                <w:szCs w:val="11"/>
                <w:b w:val="1"/>
                <w:bCs w:val="1"/>
                <w:color w:val="auto"/>
              </w:rPr>
              <w:t>NGL Storage Facilities</w:t>
            </w: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spacing w:after="0" w:line="106" w:lineRule="exact"/>
              <w:rPr>
                <w:sz w:val="20"/>
                <w:szCs w:val="20"/>
                <w:color w:val="auto"/>
              </w:rPr>
            </w:pPr>
            <w:r>
              <w:rPr>
                <w:rFonts w:ascii="Arial" w:cs="Arial" w:eastAsia="Arial" w:hAnsi="Arial"/>
                <w:sz w:val="11"/>
                <w:szCs w:val="11"/>
                <w:b w:val="1"/>
                <w:bCs w:val="1"/>
                <w:color w:val="auto"/>
                <w:w w:val="93"/>
              </w:rPr>
              <w:t xml:space="preserve">Capacity </w:t>
            </w:r>
            <w:r>
              <w:rPr>
                <w:rFonts w:ascii="Arial" w:cs="Arial" w:eastAsia="Arial" w:hAnsi="Arial"/>
                <w:sz w:val="7"/>
                <w:szCs w:val="7"/>
                <w:b w:val="1"/>
                <w:bCs w:val="1"/>
                <w:color w:val="auto"/>
                <w:w w:val="93"/>
              </w:rPr>
              <w:t>(1)</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1"/>
                <w:szCs w:val="11"/>
                <w:b w:val="1"/>
                <w:bCs w:val="1"/>
                <w:color w:val="auto"/>
              </w:rPr>
              <w:t>(MMBbls)</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i w:val="1"/>
                <w:iCs w:val="1"/>
                <w:color w:val="auto"/>
              </w:rPr>
              <w:t>Fort Saskatchewan</w:t>
            </w:r>
          </w:p>
        </w:tc>
        <w:tc>
          <w:tcPr>
            <w:tcW w:w="2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Sarnia</w:t>
            </w: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Empress</w:t>
            </w:r>
          </w:p>
        </w:tc>
        <w:tc>
          <w:tcPr>
            <w:tcW w:w="2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Other</w:t>
            </w: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358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5"/>
            <w:vMerge w:val="restart"/>
          </w:tcPr>
          <w:p>
            <w:pPr>
              <w:ind w:left="400"/>
              <w:spacing w:after="0"/>
              <w:rPr>
                <w:sz w:val="20"/>
                <w:szCs w:val="20"/>
                <w:color w:val="auto"/>
              </w:rPr>
            </w:pPr>
            <w:r>
              <w:rPr>
                <w:rFonts w:ascii="Arial" w:cs="Arial" w:eastAsia="Arial" w:hAnsi="Arial"/>
                <w:sz w:val="11"/>
                <w:szCs w:val="11"/>
                <w:b w:val="1"/>
                <w:bCs w:val="1"/>
                <w:color w:val="auto"/>
              </w:rPr>
              <w:t>Ownership Interest</w:t>
            </w:r>
          </w:p>
        </w:tc>
        <w:tc>
          <w:tcPr>
            <w:tcW w:w="20" w:type="dxa"/>
            <w:vAlign w:val="bottom"/>
          </w:tcPr>
          <w:p>
            <w:pPr>
              <w:spacing w:after="0"/>
              <w:rPr>
                <w:sz w:val="24"/>
                <w:szCs w:val="24"/>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w w:val="96"/>
              </w:rPr>
              <w:t>Approximate</w:t>
            </w:r>
            <w:r>
              <w:rPr>
                <w:rFonts w:ascii="Arial" w:cs="Arial" w:eastAsia="Arial" w:hAnsi="Arial"/>
                <w:sz w:val="15"/>
                <w:szCs w:val="15"/>
                <w:b w:val="1"/>
                <w:bCs w:val="1"/>
                <w:color w:val="auto"/>
                <w:w w:val="96"/>
                <w:vertAlign w:val="subscript"/>
              </w:rPr>
              <w:t>(3)</w:t>
            </w:r>
            <w:r>
              <w:rPr>
                <w:rFonts w:ascii="Arial" w:cs="Arial" w:eastAsia="Arial" w:hAnsi="Arial"/>
                <w:sz w:val="12"/>
                <w:szCs w:val="12"/>
                <w:b w:val="1"/>
                <w:bCs w:val="1"/>
                <w:color w:val="auto"/>
                <w:w w:val="96"/>
              </w:rPr>
              <w:t>System Miles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 xml:space="preserve">Average Volumes </w:t>
            </w:r>
            <w:r>
              <w:rPr>
                <w:rFonts w:ascii="Arial" w:cs="Arial" w:eastAsia="Arial" w:hAnsi="Arial"/>
                <w:sz w:val="15"/>
                <w:szCs w:val="15"/>
                <w:b w:val="1"/>
                <w:bCs w:val="1"/>
                <w:color w:val="auto"/>
                <w:w w:val="85"/>
                <w:vertAlign w:val="superscript"/>
              </w:rPr>
              <w:t>(2)</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(MBbls/d)</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NGL Pipelines</w:t>
            </w:r>
          </w:p>
        </w:tc>
        <w:tc>
          <w:tcPr>
            <w:tcW w:w="2600" w:type="dxa"/>
            <w:vAlign w:val="bottom"/>
            <w:tcBorders>
              <w:top w:val="single" w:sz="8" w:color="CCEEFF"/>
            </w:tcBorders>
            <w:gridSpan w:val="4"/>
            <w:shd w:val="clear" w:color="auto" w:fill="CCEEFF"/>
          </w:tcPr>
          <w:p>
            <w:pPr>
              <w:spacing w:after="0"/>
              <w:rPr>
                <w:sz w:val="14"/>
                <w:szCs w:val="14"/>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21-100%</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jc w:val="right"/>
              <w:ind w:right="269"/>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 w:name="page19"/>
    <w:bookmarkEnd w:id="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200" w:type="dxa"/>
            <w:vAlign w:val="bottom"/>
          </w:tcPr>
          <w:p>
            <w:pPr>
              <w:spacing w:after="0"/>
              <w:rPr>
                <w:sz w:val="10"/>
                <w:szCs w:val="10"/>
                <w:color w:val="auto"/>
              </w:rPr>
            </w:pPr>
          </w:p>
        </w:tc>
        <w:tc>
          <w:tcPr>
            <w:tcW w:w="186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Ownership Interest</w:t>
            </w:r>
          </w:p>
        </w:tc>
        <w:tc>
          <w:tcPr>
            <w:tcW w:w="1140" w:type="dxa"/>
            <w:vAlign w:val="bottom"/>
          </w:tcPr>
          <w:p>
            <w:pPr>
              <w:ind w:left="500"/>
              <w:spacing w:after="0"/>
              <w:rPr>
                <w:sz w:val="20"/>
                <w:szCs w:val="20"/>
                <w:color w:val="auto"/>
              </w:rPr>
            </w:pPr>
            <w:r>
              <w:rPr>
                <w:rFonts w:ascii="Arial" w:cs="Arial" w:eastAsia="Arial" w:hAnsi="Arial"/>
                <w:sz w:val="11"/>
                <w:szCs w:val="11"/>
                <w:b w:val="1"/>
                <w:bCs w:val="1"/>
                <w:color w:val="auto"/>
              </w:rPr>
              <w:t>Number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140" w:type="dxa"/>
            <w:vAlign w:val="bottom"/>
          </w:tcPr>
          <w:p>
            <w:pPr>
              <w:ind w:left="500"/>
              <w:spacing w:after="0"/>
              <w:rPr>
                <w:sz w:val="20"/>
                <w:szCs w:val="20"/>
                <w:color w:val="auto"/>
              </w:rPr>
            </w:pPr>
            <w:r>
              <w:rPr>
                <w:rFonts w:ascii="Arial" w:cs="Arial" w:eastAsia="Arial" w:hAnsi="Arial"/>
                <w:sz w:val="11"/>
                <w:szCs w:val="11"/>
                <w:b w:val="1"/>
                <w:bCs w:val="1"/>
                <w:color w:val="auto"/>
              </w:rPr>
              <w:t>Rack Spots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88"/>
              </w:rPr>
              <w:t>Storage Spots</w:t>
            </w:r>
          </w:p>
        </w:tc>
        <w:tc>
          <w:tcPr>
            <w:tcW w:w="0" w:type="dxa"/>
            <w:vAlign w:val="bottom"/>
          </w:tcPr>
          <w:p>
            <w:pPr>
              <w:spacing w:after="0"/>
              <w:rPr>
                <w:sz w:val="1"/>
                <w:szCs w:val="1"/>
                <w:color w:val="auto"/>
              </w:rPr>
            </w:pPr>
          </w:p>
        </w:tc>
      </w:tr>
      <w:tr>
        <w:trPr>
          <w:trHeight w:val="172"/>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NGL Rail Facilities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75-100%</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22974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00" w:hanging="495"/>
        <w:spacing w:after="0"/>
        <w:tabs>
          <w:tab w:leader="none" w:pos="5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total average annual capacity of the facilities, net to our ownership interest.</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Average daily volumes are calculated as the total volumes for the year, net to our share, divided by the number of days in the year.</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total mileage of pipelines in which we own less than 100%.</w:t>
      </w:r>
    </w:p>
    <w:p>
      <w:pPr>
        <w:spacing w:after="0" w:line="262"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Natural Gas Processing and NGL Infrastructure</w:t>
      </w:r>
    </w:p>
    <w:p>
      <w:pPr>
        <w:spacing w:after="0" w:line="2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infrastructure provides the opportunity to maximize margins across the NGL value chain for both us and our customers, by enabling the movement of product from liquids rich producing regions to fractionators, refineries, export facilities and high-value market hubs across Canada. The most significant of these assets include the following:</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Empress Facility</w:t>
      </w:r>
    </w:p>
    <w:p>
      <w:pPr>
        <w:spacing w:after="0" w:line="200"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We own and/or operate four gas processing facilities near Empress, Alberta, with our ownership ranging from 66% to 100%.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52"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Our Empress plants are capable of processing up to 5.5 Bcf of natural gas per day; however, supply available to these plants is typically in the 2.5 to 4.0 Bcf per day range. These plants produce approximately 50,000 to 85,000 barrels per day of ethane, and 30,000 to 50,000 barrels per day of NGL mix. Our Empress fractionation facility is capable of processing and producing up to 23,300 barrels per day of NGL products and is connected to rail loading infrastructure at Empress and our PPTC pipeline system which enables NGL to be transported to storage and loading terminals in Saskatchewan and Manitoba.</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Co-Ed Pipeline</w:t>
      </w:r>
    </w:p>
    <w:p>
      <w:pPr>
        <w:spacing w:after="0" w:line="200" w:lineRule="exact"/>
        <w:rPr>
          <w:sz w:val="20"/>
          <w:szCs w:val="20"/>
          <w:color w:val="auto"/>
        </w:rPr>
      </w:pPr>
    </w:p>
    <w:p>
      <w:pPr>
        <w:ind w:right="320" w:firstLine="509"/>
        <w:spacing w:after="0" w:line="281" w:lineRule="auto"/>
        <w:rPr>
          <w:sz w:val="20"/>
          <w:szCs w:val="20"/>
          <w:color w:val="auto"/>
        </w:rPr>
      </w:pPr>
      <w:r>
        <w:rPr>
          <w:rFonts w:ascii="Arial" w:cs="Arial" w:eastAsia="Arial" w:hAnsi="Arial"/>
          <w:sz w:val="14"/>
          <w:szCs w:val="14"/>
          <w:color w:val="auto"/>
        </w:rPr>
        <w:t>Our primary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Fort Saskatchewan Complex</w:t>
      </w:r>
    </w:p>
    <w:p>
      <w:pPr>
        <w:spacing w:after="0" w:line="200"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44,400 barrels per day of fractionation capacity, 12 storage caverns, and truck and rail loading capability. Our Fort Saskatchewan fractionation facility has a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spacing w:after="0" w:line="168"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Within the Fort Saskatchewan area, we also hold an approximately 21% ownership in the Keyera Fort Saskatchewan facility, which includes fractionation capacity of approximately 17,300 barrels per day, net to our interest, and 16 storage caverns.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9" w:name="page20"/>
    <w:bookmarkEnd w:id="1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Sarnia Area</w:t>
      </w:r>
    </w:p>
    <w:p>
      <w:pPr>
        <w:spacing w:after="0" w:line="200"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Our Sarnia Area facilities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receives NGL feedstock primarily from the Enbridge pipeline system and, to a lesser extent, from our rail unloading facility. The fractionation unit is able to produce an average of approximately 100,000 barrels per day of NGL products. Our ownership in the various processing units at the Sarnia fractionator ranges from 62% to 84%.</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Commodity Price Volatility and Dynamic Market Conditions on Our Business Model</w:t>
      </w:r>
    </w:p>
    <w:p>
      <w:pPr>
        <w:spacing w:after="0" w:line="20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Crude oil, NGL and natural gas commodity prices have historically been very volatile. For example, in the last year, the prompt month NYMEX light, sweet futures contract (commonly referred to as “WTI”) price ranged from a low of approximately $48 per barrel to a high of approximately $85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67" w:lineRule="exact"/>
        <w:rPr>
          <w:sz w:val="20"/>
          <w:szCs w:val="20"/>
          <w:color w:val="auto"/>
        </w:rPr>
      </w:pPr>
    </w:p>
    <w:p>
      <w:pPr>
        <w:ind w:firstLine="509"/>
        <w:spacing w:after="0" w:line="309" w:lineRule="auto"/>
        <w:rPr>
          <w:sz w:val="20"/>
          <w:szCs w:val="20"/>
          <w:color w:val="auto"/>
        </w:rPr>
      </w:pPr>
      <w:r>
        <w:rPr>
          <w:rFonts w:ascii="Arial" w:cs="Arial" w:eastAsia="Arial" w:hAnsi="Arial"/>
          <w:sz w:val="12"/>
          <w:szCs w:val="12"/>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has in the past, and may in the future create market conditions that are more challenging to our business model. In extended periods of lower crude oil and/or NGL prices, or periods where the supply and demand fundamentals compress regional location differentials, our financial results may be adversely impacted. In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addition, relative contribution levels will vary from quarter-to-quarter due to seasonality, particularly with respect to our NGL merchant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 Management</w:t>
      </w:r>
    </w:p>
    <w:p>
      <w:pPr>
        <w:spacing w:after="0" w:line="20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3"/>
          <w:szCs w:val="13"/>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 w:name="page21"/>
    <w:bookmarkEnd w:id="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w:t>
      </w:r>
    </w:p>
    <w:p>
      <w:pPr>
        <w:spacing w:after="0" w:line="204" w:lineRule="exact"/>
        <w:rPr>
          <w:sz w:val="20"/>
          <w:szCs w:val="20"/>
          <w:color w:val="auto"/>
        </w:rPr>
      </w:pPr>
    </w:p>
    <w:p>
      <w:pPr>
        <w:ind w:right="60" w:firstLine="509"/>
        <w:spacing w:after="0" w:line="319" w:lineRule="auto"/>
        <w:rPr>
          <w:sz w:val="20"/>
          <w:szCs w:val="20"/>
          <w:color w:val="auto"/>
        </w:rPr>
      </w:pPr>
      <w:r>
        <w:rPr>
          <w:rFonts w:ascii="Arial" w:cs="Arial" w:eastAsia="Arial" w:hAnsi="Arial"/>
          <w:sz w:val="12"/>
          <w:szCs w:val="12"/>
          <w:color w:val="auto"/>
        </w:rPr>
        <w:t>Our merchant activities in our Crude Oil and NGL segments require significant extensions 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36" w:lineRule="exact"/>
        <w:rPr>
          <w:sz w:val="20"/>
          <w:szCs w:val="20"/>
          <w:color w:val="auto"/>
        </w:rPr>
      </w:pPr>
    </w:p>
    <w:p>
      <w:pPr>
        <w:jc w:val="both"/>
        <w:ind w:right="60" w:firstLine="509"/>
        <w:spacing w:after="0" w:line="297" w:lineRule="auto"/>
        <w:rPr>
          <w:sz w:val="20"/>
          <w:szCs w:val="20"/>
          <w:color w:val="auto"/>
        </w:rPr>
      </w:pPr>
      <w:r>
        <w:rPr>
          <w:rFonts w:ascii="Arial" w:cs="Arial" w:eastAsia="Arial" w:hAnsi="Arial"/>
          <w:sz w:val="13"/>
          <w:szCs w:val="13"/>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204" w:lineRule="exact"/>
        <w:rPr>
          <w:sz w:val="20"/>
          <w:szCs w:val="20"/>
          <w:color w:val="auto"/>
        </w:rPr>
      </w:pPr>
    </w:p>
    <w:p>
      <w:pPr>
        <w:ind w:right="80" w:firstLine="509"/>
        <w:spacing w:after="0" w:line="282" w:lineRule="auto"/>
        <w:rPr>
          <w:sz w:val="20"/>
          <w:szCs w:val="20"/>
          <w:color w:val="auto"/>
        </w:rPr>
      </w:pPr>
      <w:r>
        <w:rPr>
          <w:rFonts w:ascii="Arial" w:cs="Arial" w:eastAsia="Arial" w:hAnsi="Arial"/>
          <w:sz w:val="13"/>
          <w:szCs w:val="13"/>
          <w:color w:val="auto"/>
        </w:rPr>
        <w:t>ExxonMobil Corporation and its subsidiaries accounted for 15%, 12% and 12% of our revenues for the years ended December 31, 2021, 2020 and 2019, respectively. Marathon Petroleum Corporation and its subsidiaries accounted for 12%, 13% and 12% of our revenues for the years ended December 31, 2021, 2020 and 2019, respectively. BP p.l.c. and its subsidiaries accounted for 10% of our revenues for the year ended December 31, 2021. Phillips 66 Company and its subsidiaries accounted for 11% of our revenues for the year ended December 31, 2019. No other customers accounted for 10% or more of our revenues during any of the three years ended December 31, 2021.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4" w:lineRule="exact"/>
        <w:rPr>
          <w:sz w:val="20"/>
          <w:szCs w:val="20"/>
          <w:color w:val="auto"/>
        </w:rPr>
      </w:pPr>
    </w:p>
    <w:p>
      <w:pPr>
        <w:ind w:firstLine="509"/>
        <w:spacing w:after="0" w:line="263" w:lineRule="auto"/>
        <w:rPr>
          <w:sz w:val="20"/>
          <w:szCs w:val="20"/>
          <w:color w:val="auto"/>
        </w:rPr>
      </w:pPr>
      <w:r>
        <w:rPr>
          <w:rFonts w:ascii="Arial" w:cs="Arial" w:eastAsia="Arial" w:hAnsi="Arial"/>
          <w:sz w:val="13"/>
          <w:szCs w:val="13"/>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for the foreseeable future. As a result of multiple pipeline expansions in the Permian Basin and other areas, together with meaningful changes and delays in expected production growth due to COVID-19 impacts, we anticipate competition for uncommitted barrels and contract renewals and extensions will continue to be amplified in the coming years, increasing our contract renewal and customer retention risk and putting downward pressure on tariffs and margins.</w:t>
      </w:r>
    </w:p>
    <w:p>
      <w:pPr>
        <w:spacing w:after="0" w:line="158"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21" w:name="page22"/>
    <w:bookmarkEnd w:id="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We also face competition with respect to our merchant activities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In addition, recently constructed pipelines supported by minimum volume commitments and/or acreage dedications could also amplify the level of competition for purchasing wellhead barrels, especially in the Permian Basin and thus impact our margins.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Activities Related to Strategic Transactions</w:t>
      </w:r>
    </w:p>
    <w:p>
      <w:pPr>
        <w:spacing w:after="0" w:line="20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52"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and acquisitions involve risks that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22" w:name="page23"/>
    <w:bookmarkEnd w:id="2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Venture and Joint Ownership Arrangements</w:t>
      </w:r>
    </w:p>
    <w:p>
      <w:pPr>
        <w:spacing w:after="0" w:line="200"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We are party to more than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adding volume commitments to our systems and improving returns.</w:t>
      </w:r>
    </w:p>
    <w:p>
      <w:pPr>
        <w:spacing w:after="0" w:line="163"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In October 2021, we and Oryx Midstream Holdings LLC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entity as a consolidated subsidiary in our consolidated financial statements. See Note 7 to our Consolidated Financial Statements for additional information.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significant JVs as of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JV</w:t>
            </w:r>
          </w:p>
        </w:tc>
        <w:tc>
          <w:tcPr>
            <w:tcW w:w="0" w:type="dxa"/>
            <w:vAlign w:val="bottom"/>
          </w:tcPr>
          <w:p>
            <w:pPr>
              <w:spacing w:after="0"/>
              <w:rPr>
                <w:sz w:val="1"/>
                <w:szCs w:val="1"/>
                <w:color w:val="auto"/>
              </w:rPr>
            </w:pPr>
          </w:p>
        </w:tc>
      </w:tr>
      <w:tr>
        <w:trPr>
          <w:trHeight w:val="106"/>
        </w:trPr>
        <w:tc>
          <w:tcPr>
            <w:tcW w:w="57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Entity</w:t>
            </w:r>
          </w:p>
        </w:tc>
        <w:tc>
          <w:tcPr>
            <w:tcW w:w="38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3"/>
              </w:rPr>
              <w:t>Type of Operation</w:t>
            </w:r>
          </w:p>
        </w:tc>
        <w:tc>
          <w:tcPr>
            <w:tcW w:w="1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Ownership</w:t>
            </w:r>
          </w:p>
        </w:tc>
        <w:tc>
          <w:tcPr>
            <w:tcW w:w="0" w:type="dxa"/>
            <w:vAlign w:val="bottom"/>
          </w:tcPr>
          <w:p>
            <w:pPr>
              <w:spacing w:after="0"/>
              <w:rPr>
                <w:sz w:val="1"/>
                <w:szCs w:val="1"/>
                <w:color w:val="auto"/>
              </w:rPr>
            </w:pPr>
          </w:p>
        </w:tc>
      </w:tr>
      <w:tr>
        <w:trPr>
          <w:trHeight w:val="148"/>
        </w:trPr>
        <w:tc>
          <w:tcPr>
            <w:tcW w:w="5760" w:type="dxa"/>
            <w:vAlign w:val="bottom"/>
            <w:gridSpan w:val="3"/>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0"/>
              </w:rPr>
              <w:t>Percentage</w:t>
            </w:r>
          </w:p>
        </w:tc>
        <w:tc>
          <w:tcPr>
            <w:tcW w:w="0" w:type="dxa"/>
            <w:vAlign w:val="bottom"/>
          </w:tcPr>
          <w:p>
            <w:pPr>
              <w:spacing w:after="0"/>
              <w:rPr>
                <w:sz w:val="1"/>
                <w:szCs w:val="1"/>
                <w:color w:val="auto"/>
              </w:rPr>
            </w:pPr>
          </w:p>
        </w:tc>
      </w:tr>
      <w:tr>
        <w:trPr>
          <w:trHeight w:val="172"/>
        </w:trPr>
        <w:tc>
          <w:tcPr>
            <w:tcW w:w="5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BridgeTex Pipeline Company, LLC</w:t>
            </w:r>
          </w:p>
        </w:tc>
        <w:tc>
          <w:tcPr>
            <w:tcW w:w="80" w:type="dxa"/>
            <w:vAlign w:val="bottom"/>
            <w:tcBorders>
              <w:top w:val="single" w:sz="8" w:color="CCEEFF"/>
            </w:tcBorders>
            <w:shd w:val="clear" w:color="auto" w:fill="CCEEFF"/>
          </w:tcPr>
          <w:p>
            <w:pPr>
              <w:spacing w:after="0"/>
              <w:rPr>
                <w:sz w:val="14"/>
                <w:szCs w:val="14"/>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80"/>
        </w:trPr>
        <w:tc>
          <w:tcPr>
            <w:tcW w:w="5760" w:type="dxa"/>
            <w:vAlign w:val="bottom"/>
            <w:gridSpan w:val="3"/>
          </w:tcPr>
          <w:p>
            <w:pPr>
              <w:ind w:left="20"/>
              <w:spacing w:after="0"/>
              <w:rPr>
                <w:sz w:val="20"/>
                <w:szCs w:val="20"/>
                <w:color w:val="auto"/>
              </w:rPr>
            </w:pPr>
            <w:r>
              <w:rPr>
                <w:rFonts w:ascii="Arial" w:cs="Arial" w:eastAsia="Arial" w:hAnsi="Arial"/>
                <w:sz w:val="14"/>
                <w:szCs w:val="14"/>
                <w:color w:val="auto"/>
              </w:rPr>
              <w:t>Cactus II Pipeline LLC</w:t>
            </w:r>
          </w:p>
        </w:tc>
        <w:tc>
          <w:tcPr>
            <w:tcW w:w="3880" w:type="dxa"/>
            <w:vAlign w:val="bottom"/>
            <w:gridSpan w:val="2"/>
          </w:tcPr>
          <w:p>
            <w:pPr>
              <w:jc w:val="center"/>
              <w:ind w:right="60"/>
              <w:spacing w:after="0" w:line="181" w:lineRule="exact"/>
              <w:rPr>
                <w:sz w:val="20"/>
                <w:szCs w:val="20"/>
                <w:color w:val="auto"/>
              </w:rPr>
            </w:pPr>
            <w:r>
              <w:rPr>
                <w:rFonts w:ascii="Arial" w:cs="Arial" w:eastAsia="Arial" w:hAnsi="Arial"/>
                <w:sz w:val="14"/>
                <w:szCs w:val="14"/>
                <w:color w:val="auto"/>
                <w:w w:val="89"/>
              </w:rPr>
              <w:t xml:space="preserve">Crude Oil Pipeline </w:t>
            </w:r>
            <w:r>
              <w:rPr>
                <w:rFonts w:ascii="Arial" w:cs="Arial" w:eastAsia="Arial" w:hAnsi="Arial"/>
                <w:sz w:val="18"/>
                <w:szCs w:val="18"/>
                <w:color w:val="auto"/>
                <w:w w:val="89"/>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0" w:type="dxa"/>
            <w:vAlign w:val="bottom"/>
          </w:tcPr>
          <w:p>
            <w:pPr>
              <w:spacing w:after="0"/>
              <w:rPr>
                <w:sz w:val="1"/>
                <w:szCs w:val="1"/>
                <w:color w:val="auto"/>
              </w:rPr>
            </w:pPr>
          </w:p>
        </w:tc>
      </w:tr>
      <w:tr>
        <w:trPr>
          <w:trHeight w:val="180"/>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Capline Pipeline Company LLC</w:t>
            </w:r>
          </w:p>
        </w:tc>
        <w:tc>
          <w:tcPr>
            <w:tcW w:w="38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0" w:type="dxa"/>
            <w:vAlign w:val="bottom"/>
          </w:tcPr>
          <w:p>
            <w:pPr>
              <w:spacing w:after="0"/>
              <w:rPr>
                <w:sz w:val="1"/>
                <w:szCs w:val="1"/>
                <w:color w:val="auto"/>
              </w:rPr>
            </w:pPr>
          </w:p>
        </w:tc>
      </w:tr>
      <w:tr>
        <w:trPr>
          <w:trHeight w:val="180"/>
        </w:trPr>
        <w:tc>
          <w:tcPr>
            <w:tcW w:w="5760" w:type="dxa"/>
            <w:vAlign w:val="bottom"/>
            <w:gridSpan w:val="3"/>
          </w:tcPr>
          <w:p>
            <w:pPr>
              <w:ind w:left="20"/>
              <w:spacing w:after="0"/>
              <w:rPr>
                <w:sz w:val="20"/>
                <w:szCs w:val="20"/>
                <w:color w:val="auto"/>
              </w:rPr>
            </w:pPr>
            <w:r>
              <w:rPr>
                <w:rFonts w:ascii="Arial" w:cs="Arial" w:eastAsia="Arial" w:hAnsi="Arial"/>
                <w:sz w:val="14"/>
                <w:szCs w:val="14"/>
                <w:color w:val="auto"/>
              </w:rPr>
              <w:t>Diamond Pipeline LLC</w:t>
            </w:r>
          </w:p>
        </w:tc>
        <w:tc>
          <w:tcPr>
            <w:tcW w:w="3880" w:type="dxa"/>
            <w:vAlign w:val="bottom"/>
            <w:gridSpan w:val="2"/>
          </w:tcPr>
          <w:p>
            <w:pPr>
              <w:jc w:val="center"/>
              <w:ind w:right="60"/>
              <w:spacing w:after="0" w:line="181" w:lineRule="exact"/>
              <w:rPr>
                <w:sz w:val="20"/>
                <w:szCs w:val="20"/>
                <w:color w:val="auto"/>
              </w:rPr>
            </w:pPr>
            <w:r>
              <w:rPr>
                <w:rFonts w:ascii="Arial" w:cs="Arial" w:eastAsia="Arial" w:hAnsi="Arial"/>
                <w:sz w:val="14"/>
                <w:szCs w:val="14"/>
                <w:color w:val="auto"/>
                <w:w w:val="89"/>
              </w:rPr>
              <w:t xml:space="preserve">Crude Oil Pipeline </w:t>
            </w:r>
            <w:r>
              <w:rPr>
                <w:rFonts w:ascii="Arial" w:cs="Arial" w:eastAsia="Arial" w:hAnsi="Arial"/>
                <w:sz w:val="18"/>
                <w:szCs w:val="18"/>
                <w:color w:val="auto"/>
                <w:w w:val="89"/>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Eagle Ford Pipeline LLC</w:t>
            </w:r>
          </w:p>
        </w:tc>
        <w:tc>
          <w:tcPr>
            <w:tcW w:w="3880" w:type="dxa"/>
            <w:vAlign w:val="bottom"/>
            <w:gridSpan w:val="2"/>
            <w:shd w:val="clear" w:color="auto" w:fill="CCEEFF"/>
          </w:tcPr>
          <w:p>
            <w:pPr>
              <w:jc w:val="center"/>
              <w:ind w:right="8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760" w:type="dxa"/>
            <w:vAlign w:val="bottom"/>
            <w:gridSpan w:val="3"/>
          </w:tcPr>
          <w:p>
            <w:pPr>
              <w:ind w:left="20"/>
              <w:spacing w:after="0"/>
              <w:rPr>
                <w:sz w:val="20"/>
                <w:szCs w:val="20"/>
                <w:color w:val="auto"/>
              </w:rPr>
            </w:pPr>
            <w:r>
              <w:rPr>
                <w:rFonts w:ascii="Arial" w:cs="Arial" w:eastAsia="Arial" w:hAnsi="Arial"/>
                <w:sz w:val="14"/>
                <w:szCs w:val="14"/>
                <w:color w:val="auto"/>
              </w:rPr>
              <w:t>Eagle Ford Terminals Corpus Christi LLC</w:t>
            </w:r>
          </w:p>
        </w:tc>
        <w:tc>
          <w:tcPr>
            <w:tcW w:w="3880" w:type="dxa"/>
            <w:vAlign w:val="bottom"/>
            <w:gridSpan w:val="2"/>
          </w:tcPr>
          <w:p>
            <w:pPr>
              <w:jc w:val="center"/>
              <w:ind w:right="60"/>
              <w:spacing w:after="0" w:line="181" w:lineRule="exact"/>
              <w:rPr>
                <w:sz w:val="20"/>
                <w:szCs w:val="20"/>
                <w:color w:val="auto"/>
              </w:rPr>
            </w:pPr>
            <w:r>
              <w:rPr>
                <w:rFonts w:ascii="Arial" w:cs="Arial" w:eastAsia="Arial" w:hAnsi="Arial"/>
                <w:sz w:val="14"/>
                <w:szCs w:val="14"/>
                <w:color w:val="auto"/>
                <w:w w:val="91"/>
              </w:rPr>
              <w:t xml:space="preserve">Crude Oil Terminal and Dock </w:t>
            </w:r>
            <w:r>
              <w:rPr>
                <w:rFonts w:ascii="Arial" w:cs="Arial" w:eastAsia="Arial" w:hAnsi="Arial"/>
                <w:sz w:val="18"/>
                <w:szCs w:val="18"/>
                <w:color w:val="auto"/>
                <w:w w:val="91"/>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76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Plains Oryx Permian Basin LLC </w:t>
            </w:r>
            <w:r>
              <w:rPr>
                <w:rFonts w:ascii="Arial" w:cs="Arial" w:eastAsia="Arial" w:hAnsi="Arial"/>
                <w:sz w:val="18"/>
                <w:szCs w:val="18"/>
                <w:color w:val="auto"/>
                <w:vertAlign w:val="superscript"/>
              </w:rPr>
              <w:t>(2) (3)</w:t>
            </w:r>
          </w:p>
        </w:tc>
        <w:tc>
          <w:tcPr>
            <w:tcW w:w="3880" w:type="dxa"/>
            <w:vAlign w:val="bottom"/>
            <w:gridSpan w:val="2"/>
            <w:shd w:val="clear" w:color="auto" w:fill="CCEEFF"/>
          </w:tcPr>
          <w:p>
            <w:pPr>
              <w:jc w:val="center"/>
              <w:ind w:right="80"/>
              <w:spacing w:after="0" w:line="181" w:lineRule="exact"/>
              <w:rPr>
                <w:sz w:val="20"/>
                <w:szCs w:val="20"/>
                <w:color w:val="auto"/>
              </w:rPr>
            </w:pPr>
            <w:r>
              <w:rPr>
                <w:rFonts w:ascii="Arial" w:cs="Arial" w:eastAsia="Arial" w:hAnsi="Arial"/>
                <w:sz w:val="14"/>
                <w:szCs w:val="14"/>
                <w:color w:val="auto"/>
                <w:w w:val="89"/>
              </w:rPr>
              <w:t xml:space="preserve">Crude Oil Pipelines and Related Assets </w:t>
            </w:r>
            <w:r>
              <w:rPr>
                <w:rFonts w:ascii="Arial" w:cs="Arial" w:eastAsia="Arial" w:hAnsi="Arial"/>
                <w:sz w:val="18"/>
                <w:szCs w:val="18"/>
                <w:color w:val="auto"/>
                <w:w w:val="89"/>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0" w:type="dxa"/>
            <w:vAlign w:val="bottom"/>
          </w:tcPr>
          <w:p>
            <w:pPr>
              <w:spacing w:after="0"/>
              <w:rPr>
                <w:sz w:val="1"/>
                <w:szCs w:val="1"/>
                <w:color w:val="auto"/>
              </w:rPr>
            </w:pPr>
          </w:p>
        </w:tc>
      </w:tr>
      <w:tr>
        <w:trPr>
          <w:trHeight w:val="180"/>
        </w:trPr>
        <w:tc>
          <w:tcPr>
            <w:tcW w:w="576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Red River Pipeline Company LLC </w:t>
            </w:r>
            <w:r>
              <w:rPr>
                <w:rFonts w:ascii="Arial" w:cs="Arial" w:eastAsia="Arial" w:hAnsi="Arial"/>
                <w:sz w:val="18"/>
                <w:szCs w:val="18"/>
                <w:color w:val="auto"/>
                <w:vertAlign w:val="superscript"/>
              </w:rPr>
              <w:t>(2) (4)</w:t>
            </w:r>
          </w:p>
        </w:tc>
        <w:tc>
          <w:tcPr>
            <w:tcW w:w="3880" w:type="dxa"/>
            <w:vAlign w:val="bottom"/>
            <w:gridSpan w:val="2"/>
          </w:tcPr>
          <w:p>
            <w:pPr>
              <w:jc w:val="center"/>
              <w:ind w:right="8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67%</w:t>
            </w:r>
          </w:p>
        </w:tc>
        <w:tc>
          <w:tcPr>
            <w:tcW w:w="0" w:type="dxa"/>
            <w:vAlign w:val="bottom"/>
          </w:tcPr>
          <w:p>
            <w:pPr>
              <w:spacing w:after="0"/>
              <w:rPr>
                <w:sz w:val="1"/>
                <w:szCs w:val="1"/>
                <w:color w:val="auto"/>
              </w:rPr>
            </w:pPr>
          </w:p>
        </w:tc>
      </w:tr>
      <w:tr>
        <w:trPr>
          <w:trHeight w:val="180"/>
        </w:trPr>
        <w:tc>
          <w:tcPr>
            <w:tcW w:w="576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Saddlehorn Pipeline Company, LLC </w:t>
            </w:r>
            <w:r>
              <w:rPr>
                <w:rFonts w:ascii="Arial" w:cs="Arial" w:eastAsia="Arial" w:hAnsi="Arial"/>
                <w:sz w:val="18"/>
                <w:szCs w:val="18"/>
                <w:color w:val="auto"/>
                <w:vertAlign w:val="superscript"/>
              </w:rPr>
              <w:t>(4)</w:t>
            </w:r>
          </w:p>
        </w:tc>
        <w:tc>
          <w:tcPr>
            <w:tcW w:w="38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180"/>
        </w:trPr>
        <w:tc>
          <w:tcPr>
            <w:tcW w:w="5760" w:type="dxa"/>
            <w:vAlign w:val="bottom"/>
            <w:gridSpan w:val="3"/>
          </w:tcPr>
          <w:p>
            <w:pPr>
              <w:ind w:left="20"/>
              <w:spacing w:after="0"/>
              <w:rPr>
                <w:sz w:val="20"/>
                <w:szCs w:val="20"/>
                <w:color w:val="auto"/>
              </w:rPr>
            </w:pPr>
            <w:r>
              <w:rPr>
                <w:rFonts w:ascii="Arial" w:cs="Arial" w:eastAsia="Arial" w:hAnsi="Arial"/>
                <w:sz w:val="14"/>
                <w:szCs w:val="14"/>
                <w:color w:val="auto"/>
              </w:rPr>
              <w:t>White Cliffs Pipeline, LLC</w:t>
            </w:r>
          </w:p>
        </w:tc>
        <w:tc>
          <w:tcPr>
            <w:tcW w:w="38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1"/>
        </w:trPr>
        <w:tc>
          <w:tcPr>
            <w:tcW w:w="576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Wink to Webster Pipeline LLC </w:t>
            </w:r>
            <w:r>
              <w:rPr>
                <w:rFonts w:ascii="Arial" w:cs="Arial" w:eastAsia="Arial" w:hAnsi="Arial"/>
                <w:sz w:val="18"/>
                <w:szCs w:val="18"/>
                <w:color w:val="auto"/>
                <w:vertAlign w:val="superscript"/>
              </w:rPr>
              <w:t>(4)</w:t>
            </w:r>
          </w:p>
        </w:tc>
        <w:tc>
          <w:tcPr>
            <w:tcW w:w="38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38"/>
        </w:trPr>
        <w:tc>
          <w:tcPr>
            <w:tcW w:w="388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Assets are operated by Plains.</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We consolidate the entity based on control, with our partner’s interest accounted for as a noncontrolling interest.</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Entity owns a 40% interest in OMOG JV LLC, an unconsolidated entity that owns a crude oil pipeline.</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Entity owns a UJI in the crude oil pipeline.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 summarizes our significant UJIs as of December 31, 2021, excluding UJIs that are indirectly owned by us through JVs (e.g., Wink to Webster, Saddlehorn and Red River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JVs):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1"/>
              </w:rPr>
              <w:t>Type of</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UJI</w:t>
            </w:r>
          </w:p>
        </w:tc>
        <w:tc>
          <w:tcPr>
            <w:tcW w:w="0" w:type="dxa"/>
            <w:vAlign w:val="bottom"/>
          </w:tcPr>
          <w:p>
            <w:pPr>
              <w:spacing w:after="0"/>
              <w:rPr>
                <w:sz w:val="1"/>
                <w:szCs w:val="1"/>
                <w:color w:val="auto"/>
              </w:rPr>
            </w:pPr>
          </w:p>
        </w:tc>
      </w:tr>
      <w:tr>
        <w:trPr>
          <w:trHeight w:val="106"/>
        </w:trPr>
        <w:tc>
          <w:tcPr>
            <w:tcW w:w="7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Asset</w:t>
            </w:r>
          </w:p>
        </w:tc>
        <w:tc>
          <w:tcPr>
            <w:tcW w:w="1940" w:type="dxa"/>
            <w:vAlign w:val="bottom"/>
            <w:gridSpan w:val="2"/>
            <w:vMerge w:val="continue"/>
          </w:tcPr>
          <w:p>
            <w:pPr>
              <w:spacing w:after="0"/>
              <w:rPr>
                <w:sz w:val="9"/>
                <w:szCs w:val="9"/>
                <w:color w:val="auto"/>
              </w:rPr>
            </w:pPr>
          </w:p>
        </w:tc>
        <w:tc>
          <w:tcPr>
            <w:tcW w:w="1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Ownership</w:t>
            </w:r>
          </w:p>
        </w:tc>
        <w:tc>
          <w:tcPr>
            <w:tcW w:w="0" w:type="dxa"/>
            <w:vAlign w:val="bottom"/>
          </w:tcPr>
          <w:p>
            <w:pPr>
              <w:spacing w:after="0"/>
              <w:rPr>
                <w:sz w:val="1"/>
                <w:szCs w:val="1"/>
                <w:color w:val="auto"/>
              </w:rPr>
            </w:pPr>
          </w:p>
        </w:tc>
      </w:tr>
      <w:tr>
        <w:trPr>
          <w:trHeight w:val="148"/>
        </w:trPr>
        <w:tc>
          <w:tcPr>
            <w:tcW w:w="7700" w:type="dxa"/>
            <w:vAlign w:val="bottom"/>
            <w:gridSpan w:val="2"/>
            <w:vMerge w:val="continue"/>
          </w:tcPr>
          <w:p>
            <w:pPr>
              <w:spacing w:after="0"/>
              <w:rPr>
                <w:sz w:val="12"/>
                <w:szCs w:val="12"/>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Operation</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0"/>
              </w:rPr>
              <w:t>Percentage</w:t>
            </w:r>
          </w:p>
        </w:tc>
        <w:tc>
          <w:tcPr>
            <w:tcW w:w="0" w:type="dxa"/>
            <w:vAlign w:val="bottom"/>
          </w:tcPr>
          <w:p>
            <w:pPr>
              <w:spacing w:after="0"/>
              <w:rPr>
                <w:sz w:val="1"/>
                <w:szCs w:val="1"/>
                <w:color w:val="auto"/>
              </w:rPr>
            </w:pPr>
          </w:p>
        </w:tc>
      </w:tr>
      <w:tr>
        <w:trPr>
          <w:trHeight w:val="172"/>
        </w:trPr>
        <w:tc>
          <w:tcPr>
            <w:tcW w:w="75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Basin Pipeline </w:t>
            </w:r>
            <w:r>
              <w:rPr>
                <w:rFonts w:ascii="Arial" w:cs="Arial" w:eastAsia="Arial" w:hAnsi="Arial"/>
                <w:sz w:val="18"/>
                <w:szCs w:val="18"/>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0" w:type="dxa"/>
            <w:vAlign w:val="bottom"/>
          </w:tcPr>
          <w:p>
            <w:pPr>
              <w:spacing w:after="0"/>
              <w:rPr>
                <w:sz w:val="1"/>
                <w:szCs w:val="1"/>
                <w:color w:val="auto"/>
              </w:rPr>
            </w:pPr>
          </w:p>
        </w:tc>
      </w:tr>
      <w:tr>
        <w:trPr>
          <w:trHeight w:val="180"/>
        </w:trPr>
        <w:tc>
          <w:tcPr>
            <w:tcW w:w="77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Empress Processing </w:t>
            </w:r>
            <w:r>
              <w:rPr>
                <w:rFonts w:ascii="Arial" w:cs="Arial" w:eastAsia="Arial" w:hAnsi="Arial"/>
                <w:sz w:val="18"/>
                <w:szCs w:val="18"/>
                <w:color w:val="auto"/>
                <w:vertAlign w:val="superscript"/>
              </w:rPr>
              <w:t>(1)</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NGL Facility</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66% to 92%</w:t>
            </w:r>
          </w:p>
        </w:tc>
        <w:tc>
          <w:tcPr>
            <w:tcW w:w="0" w:type="dxa"/>
            <w:vAlign w:val="bottom"/>
          </w:tcPr>
          <w:p>
            <w:pPr>
              <w:spacing w:after="0"/>
              <w:rPr>
                <w:sz w:val="1"/>
                <w:szCs w:val="1"/>
                <w:color w:val="auto"/>
              </w:rPr>
            </w:pPr>
          </w:p>
        </w:tc>
      </w:tr>
      <w:tr>
        <w:trPr>
          <w:trHeight w:val="180"/>
        </w:trPr>
        <w:tc>
          <w:tcPr>
            <w:tcW w:w="77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Fort Saskatchewan NGL Storage and Fractionation </w:t>
            </w:r>
            <w:r>
              <w:rPr>
                <w:rFonts w:ascii="Arial" w:cs="Arial" w:eastAsia="Arial" w:hAnsi="Arial"/>
                <w:sz w:val="18"/>
                <w:szCs w:val="18"/>
                <w:color w:val="auto"/>
                <w:vertAlign w:val="superscript"/>
              </w:rPr>
              <w:t>(2)</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NGL Facility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 to 48%</w:t>
            </w:r>
          </w:p>
        </w:tc>
        <w:tc>
          <w:tcPr>
            <w:tcW w:w="0" w:type="dxa"/>
            <w:vAlign w:val="bottom"/>
          </w:tcPr>
          <w:p>
            <w:pPr>
              <w:spacing w:after="0"/>
              <w:rPr>
                <w:sz w:val="1"/>
                <w:szCs w:val="1"/>
                <w:color w:val="auto"/>
              </w:rPr>
            </w:pPr>
          </w:p>
        </w:tc>
      </w:tr>
      <w:tr>
        <w:trPr>
          <w:trHeight w:val="180"/>
        </w:trPr>
        <w:tc>
          <w:tcPr>
            <w:tcW w:w="77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Western Corridor System </w:t>
            </w:r>
            <w:r>
              <w:rPr>
                <w:rFonts w:ascii="Arial" w:cs="Arial" w:eastAsia="Arial" w:hAnsi="Arial"/>
                <w:sz w:val="18"/>
                <w:szCs w:val="18"/>
                <w:color w:val="auto"/>
                <w:vertAlign w:val="superscript"/>
              </w:rPr>
              <w:t>(2)</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21% to 58%</w:t>
            </w:r>
          </w:p>
        </w:tc>
        <w:tc>
          <w:tcPr>
            <w:tcW w:w="0" w:type="dxa"/>
            <w:vAlign w:val="bottom"/>
          </w:tcPr>
          <w:p>
            <w:pPr>
              <w:spacing w:after="0"/>
              <w:rPr>
                <w:sz w:val="1"/>
                <w:szCs w:val="1"/>
                <w:color w:val="auto"/>
              </w:rPr>
            </w:pPr>
          </w:p>
        </w:tc>
      </w:tr>
      <w:tr>
        <w:trPr>
          <w:trHeight w:val="180"/>
        </w:trPr>
        <w:tc>
          <w:tcPr>
            <w:tcW w:w="77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Sarnia NGL Storage and Fractionation </w:t>
            </w:r>
            <w:r>
              <w:rPr>
                <w:rFonts w:ascii="Arial" w:cs="Arial" w:eastAsia="Arial" w:hAnsi="Arial"/>
                <w:sz w:val="18"/>
                <w:szCs w:val="18"/>
                <w:color w:val="auto"/>
                <w:vertAlign w:val="superscript"/>
              </w:rPr>
              <w:t>(2)</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NGL Facility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 to 84%</w:t>
            </w:r>
          </w:p>
        </w:tc>
        <w:tc>
          <w:tcPr>
            <w:tcW w:w="0" w:type="dxa"/>
            <w:vAlign w:val="bottom"/>
          </w:tcPr>
          <w:p>
            <w:pPr>
              <w:spacing w:after="0"/>
              <w:rPr>
                <w:sz w:val="1"/>
                <w:szCs w:val="1"/>
                <w:color w:val="auto"/>
              </w:rPr>
            </w:pPr>
          </w:p>
        </w:tc>
      </w:tr>
      <w:tr>
        <w:trPr>
          <w:trHeight w:val="244"/>
        </w:trPr>
        <w:tc>
          <w:tcPr>
            <w:tcW w:w="7700" w:type="dxa"/>
            <w:vAlign w:val="bottom"/>
            <w:gridSpan w:val="2"/>
          </w:tcPr>
          <w:p>
            <w:pPr>
              <w:ind w:left="20"/>
              <w:spacing w:after="0"/>
              <w:rPr>
                <w:sz w:val="20"/>
                <w:szCs w:val="20"/>
                <w:color w:val="auto"/>
              </w:rPr>
            </w:pPr>
            <w:r>
              <w:rPr>
                <w:rFonts w:ascii="Arial" w:cs="Arial" w:eastAsia="Arial" w:hAnsi="Arial"/>
                <w:sz w:val="14"/>
                <w:szCs w:val="14"/>
                <w:color w:val="auto"/>
              </w:rPr>
              <w:t xml:space="preserve">Sunrise II Pipeline </w:t>
            </w:r>
            <w:r>
              <w:rPr>
                <w:rFonts w:ascii="Arial" w:cs="Arial" w:eastAsia="Arial" w:hAnsi="Arial"/>
                <w:sz w:val="18"/>
                <w:szCs w:val="18"/>
                <w:color w:val="auto"/>
                <w:vertAlign w:val="superscript"/>
              </w:rPr>
              <w:t>(1)</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46570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86" w:lineRule="exact"/>
        <w:rPr>
          <w:sz w:val="20"/>
          <w:szCs w:val="20"/>
          <w:color w:val="auto"/>
        </w:rPr>
      </w:pPr>
    </w:p>
    <w:p>
      <w:pPr>
        <w:ind w:left="500" w:hanging="495"/>
        <w:spacing w:after="0"/>
        <w:tabs>
          <w:tab w:leader="none" w:pos="5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Asset is operated by Plains.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Certain of these assets are operated by Plains.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200"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In 2016, we initiated a program to evaluate potential sales of non-core assets and/or sales of partial interests in assets to strategic joint venture partners to optimize our asset portfolio and strengthen our balance sheet and leverage metrics. Through December 31, 2021, we have completed asset sales totaling more than $4.5 billion.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20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Since our initial public offering in 1998, the acquisition of midstream assets and businesses has been an important component of our business strategy. While the pace of our acquisition activity has slowed down in recent years, we continue to selectively analyze and pursue the acquisition of assets and businesses that are strategic and complementary to our existing operations. Over the last five years, we completed several acquisitions for an aggregate of approximately $2.0 billion. Such amount does not include the Permian JV formed in October 2021. See “Joint Venture and Joint Ownership Arrangements” above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Projects</w:t>
      </w:r>
    </w:p>
    <w:p>
      <w:pPr>
        <w:spacing w:after="0" w:line="200" w:lineRule="exact"/>
        <w:rPr>
          <w:sz w:val="20"/>
          <w:szCs w:val="20"/>
          <w:color w:val="auto"/>
        </w:rPr>
      </w:pPr>
    </w:p>
    <w:p>
      <w:pPr>
        <w:ind w:right="40" w:firstLine="509"/>
        <w:spacing w:after="0" w:line="368" w:lineRule="auto"/>
        <w:rPr>
          <w:sz w:val="20"/>
          <w:szCs w:val="20"/>
          <w:color w:val="auto"/>
        </w:rPr>
      </w:pPr>
      <w:r>
        <w:rPr>
          <w:rFonts w:ascii="Arial" w:cs="Arial" w:eastAsia="Arial" w:hAnsi="Arial"/>
          <w:sz w:val="12"/>
          <w:szCs w:val="12"/>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2022 capital plan consists of capital-efficient, highly contracted projects that help address industry needs.</w:t>
      </w:r>
    </w:p>
    <w:p>
      <w:pPr>
        <w:spacing w:after="0" w:line="107" w:lineRule="exact"/>
        <w:rPr>
          <w:sz w:val="20"/>
          <w:szCs w:val="20"/>
          <w:color w:val="auto"/>
        </w:rPr>
      </w:pPr>
    </w:p>
    <w:p>
      <w:pPr>
        <w:jc w:val="both"/>
        <w:ind w:right="20" w:firstLine="509"/>
        <w:spacing w:after="0" w:line="297" w:lineRule="auto"/>
        <w:rPr>
          <w:sz w:val="20"/>
          <w:szCs w:val="20"/>
          <w:color w:val="auto"/>
        </w:rPr>
      </w:pPr>
      <w:r>
        <w:rPr>
          <w:rFonts w:ascii="Arial" w:cs="Arial" w:eastAsia="Arial" w:hAnsi="Arial"/>
          <w:sz w:val="13"/>
          <w:szCs w:val="13"/>
          <w:color w:val="auto"/>
        </w:rPr>
        <w:t>Total investment capital for the year ending December 31, 2022 is projected to be approximately $330 million, of which approximately half is expected to be associated with the Permian JV. Additionally, maintenance capital for 2022 is projected to be $220 million. Note that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204"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 —Risks Related to Laws and Regulations—Our operations are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certain, but not all, of the laws and regulations affecting our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4" w:name="page25"/>
    <w:bookmarkEnd w:id="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 Safety and Environmental Regulation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00" w:lineRule="exact"/>
        <w:rPr>
          <w:sz w:val="20"/>
          <w:szCs w:val="20"/>
          <w:color w:val="auto"/>
        </w:rPr>
      </w:pPr>
    </w:p>
    <w:p>
      <w:pPr>
        <w:ind w:firstLine="509"/>
        <w:spacing w:after="0" w:line="303" w:lineRule="auto"/>
        <w:rPr>
          <w:sz w:val="20"/>
          <w:szCs w:val="20"/>
          <w:color w:val="auto"/>
        </w:rPr>
      </w:pPr>
      <w:r>
        <w:rPr>
          <w:rFonts w:ascii="Arial" w:cs="Arial" w:eastAsia="Arial" w:hAnsi="Arial"/>
          <w:sz w:val="12"/>
          <w:szCs w:val="12"/>
          <w:color w:val="auto"/>
        </w:rPr>
        <w:t>Our operations involving the storage, treatment, processing and transportation of liquid and gaseous hydrocarbons, including crude oil, are subject to stringent federal, state, provincial and local laws and regulations governing the discharge of materials into the environment or otherwise relating to protection of the environment, including wildlife.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Pipeline Safety/Integrity Management</w:t>
      </w:r>
    </w:p>
    <w:p>
      <w:pPr>
        <w:spacing w:after="0" w:line="200" w:lineRule="exact"/>
        <w:rPr>
          <w:sz w:val="20"/>
          <w:szCs w:val="20"/>
          <w:color w:val="auto"/>
        </w:rPr>
      </w:pPr>
    </w:p>
    <w:p>
      <w:pPr>
        <w:ind w:right="80" w:firstLine="509"/>
        <w:spacing w:after="0" w:line="280" w:lineRule="auto"/>
        <w:rPr>
          <w:sz w:val="20"/>
          <w:szCs w:val="20"/>
          <w:color w:val="auto"/>
        </w:rPr>
      </w:pPr>
      <w:r>
        <w:rPr>
          <w:rFonts w:ascii="Arial" w:cs="Arial" w:eastAsia="Arial" w:hAnsi="Arial"/>
          <w:sz w:val="13"/>
          <w:szCs w:val="13"/>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Canada Energy Regulator (“CER”) and provincial agencies.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Pursuant to the authority under the HLPSA, as amended from time to time, PHMSA has promulgated regulations that require transportation pipeline operators to implement integrity management programs, including frequent inspections, correction of identified anomalies and other measures, to ensure pipeline safety in locations where a pipeline leak or rupture could affect higher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$21 million in 2021. Based on currently available information, our preliminary estimate for 2022 is that we will incur approximately $30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$10 million in 2021, and our preliminary estimate for 2022 is that we will incur approximately $15 million of such costs.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5" w:name="page26"/>
    <w:bookmarkEnd w:id="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Legislation in the past decade has resulted in more stringent mandates for pipeline safety and has charged PHMSA with developing and adopting regulations that impose increased pipeline safety requirements on pipeline operators. In particular, the HLPSA was amended over the past decade by the Pipeline Safety, Regulatory Certainty, and Job Creation Act of 2011, the Protecting our Infrastructure of Pipelines and Enhancing Safety Act of 2016 and, most recently, the Protecting Our Infrastructure of Pipelines and Enhancing Safety (“PIPES”) Act of 2020. Each of these laws imposed increased pipeline safety obligations on pipeline operators, with the PIPES Act of 2020 reauthorizing PHMSA programs through fiscal year 2023. The regulatory changes precipitated by these actions have increased our cost to operate. For example, in October 2019, PHMSA published a final rule for hazardous liquid transmission and gathering pipelines that significantly extends and expands the reach of certain of its integrity management requirements, use of in-line inspection tools by 2039 (unless the pipeline cannot be modified to permit such use), increased annual, accident and safety-related conditional reporting requirements, and expanded use of leak detection systems beyond HCAs. Separately, in June 2021, PHMSA issued an Advisory Bulletin advising pipeline and pipeline facility operators of applicable requirements to update their inspection and maintenance plans for the elimination of hazardous leaks and minimization of natural gas released from pipeline facilities. PHMSA, together with state regulators, are expected to commence inspection of operator plans in 2022.</w:t>
      </w:r>
    </w:p>
    <w:p>
      <w:pPr>
        <w:spacing w:after="0" w:line="160"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Pursuant to the Oil Spill Response: Environmentally and Ecologically Sensitive Areas Bill (“AB-864”), signed by the Governor of California in 2015, operators of hazardous liquid pipelines located near environmentally and ecologically sensitive areas (“EESA”) connected to or located in the coastal zone are now required to use best available technologies (“BAT”) to reduce the amount of oil released in an oil spill to protect state waters and wildlife. BAT includes, but is not limited to, installation of leak detection technologies, automatic shutoff systems, or remote controlled sectionalized block valves, or any combination of these technologies based on a risk analysis conducted by the operator. Affected pipeline operators were required by May 1, 2021 to make requests for exemption (for pipelines located outside the Coastal Zone, if the operator could show through spill modeling / risk analysis that a release would not impact the coastal zone portion of an EESA) or deferral (for pipelines already employing BAT) from the provisions of this Article. Additionally, by October 1, 2021 affected operators were required to submit a risk analysis, BAT evaluation, and implementation plan for existing pipelines. Also, by April 1, 2023, affected operators must complete retrofits of existing pipelines with BAT. Compliance with these requirements will impact our pipeline operations in California and add to the cost to operate the pipelines subject to these rules.</w:t>
      </w:r>
    </w:p>
    <w:p>
      <w:pPr>
        <w:spacing w:after="0" w:line="159"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31"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The DOT has generally adopted American Petroleum Institute Standard (“API”) 653 as the standard for the inspection, repair, alteration and reconstruction of steel above ground petroleum storage tanks subject to DOT jurisdiction. API 653 requires regularly scheduled inspection and repair of tanks remaining in service. In the United States, our costs associated with this program were approximately $15 million in 2021. For 2022, we have budgeted approximately $38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In Canada, the CER and provincial agencies regulate the safety and integrity management of pipelines and storage tanks used for hydrocarbon transmission. We have incurred and will continue to incur costs related to such regulatory requirements.</w:t>
      </w:r>
    </w:p>
    <w:p>
      <w:pPr>
        <w:spacing w:after="0" w:line="153"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color w:val="auto"/>
        </w:rPr>
        <w:t>We continue to implement Pipeline, Facility and Cavern Integrity Management Programs to comply with applicable regulatory requirements and assist in our efforts to mitigate risk. Costs incurred for such integrity management activities were approximately $66 million in 2021. We are increasing our integrity dig and pipeline replacement projects to ensure safe and reliable operations as we seek to expand volumes on certain of our systems. Our preliminary estimate for 2022 is that we will incur approximately $96 million of costs on such projects.</w:t>
      </w:r>
    </w:p>
    <w:p>
      <w:pPr>
        <w:spacing w:after="0" w:line="145"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6" w:name="page27"/>
    <w:bookmarkEnd w:id="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center"/>
        <w:ind w:right="9340"/>
        <w:spacing w:after="0"/>
        <w:rPr>
          <w:sz w:val="20"/>
          <w:szCs w:val="20"/>
          <w:color w:val="auto"/>
        </w:rPr>
      </w:pPr>
      <w:r>
        <w:rPr>
          <w:rFonts w:ascii="Arial" w:cs="Arial" w:eastAsia="Arial" w:hAnsi="Arial"/>
          <w:sz w:val="12"/>
          <w:szCs w:val="12"/>
          <w:b w:val="1"/>
          <w:bCs w:val="1"/>
          <w:i w:val="1"/>
          <w:iCs w:val="1"/>
          <w:color w:val="auto"/>
        </w:rPr>
        <w:t>Occupational Safety and Health</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Solid Waste</w:t>
      </w:r>
    </w:p>
    <w:p>
      <w:pPr>
        <w:spacing w:after="0" w:line="200"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Hazardous Substances</w:t>
      </w:r>
    </w:p>
    <w:p>
      <w:pPr>
        <w:spacing w:after="0" w:line="200"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58" w:lineRule="exact"/>
        <w:rPr>
          <w:sz w:val="20"/>
          <w:szCs w:val="20"/>
          <w:color w:val="auto"/>
        </w:rPr>
      </w:pPr>
    </w:p>
    <w:p>
      <w:pPr>
        <w:ind w:firstLine="509"/>
        <w:spacing w:after="0" w:line="305" w:lineRule="auto"/>
        <w:rPr>
          <w:sz w:val="20"/>
          <w:szCs w:val="20"/>
          <w:color w:val="auto"/>
        </w:rPr>
      </w:pPr>
      <w:r>
        <w:rPr>
          <w:rFonts w:ascii="Arial" w:cs="Arial" w:eastAsia="Arial" w:hAnsi="Arial"/>
          <w:sz w:val="12"/>
          <w:szCs w:val="12"/>
          <w:color w:val="auto"/>
        </w:rPr>
        <w:t>We are subject to the Environmental Protection Agency’s (“EPA”) Risk Management Plan (“RMP”)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2016, the EPA finalized revisions to the RMP rules, including requirements for the use of third-party compliance audits, root cause analyses for facilities that experience releases, process hazard analyses and enhanced information-sharing provisions. In December 2019, the EPA finalized revisions to the RMP rules, removing requirements related to public disclosure, third-party audits and post-incident root cause analyses, among others. However, several environmental groups and trade unions have challenged the EPA’s revised rule and President Biden issued an executive order in January 2021 that, among other things, calls for EPA’s review of the current version of the RMP rule, which included hosting listening sessions and receiving comments on the rule from the public during 2021. OSHA has announced that it is considering similar revisions to the PSM rule, but, to date, has not issued a Notice of Proposed Rulemaking. The potential for further revisions to either the RMP or PSM rule is uncertain at this time.</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27" w:name="page28"/>
    <w:bookmarkEnd w:id="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Remediation</w:t>
      </w:r>
    </w:p>
    <w:p>
      <w:pPr>
        <w:spacing w:after="0" w:line="200" w:lineRule="exact"/>
        <w:rPr>
          <w:sz w:val="20"/>
          <w:szCs w:val="20"/>
          <w:color w:val="auto"/>
        </w:rPr>
      </w:pPr>
    </w:p>
    <w:p>
      <w:pPr>
        <w:jc w:val="both"/>
        <w:ind w:right="80" w:firstLine="509"/>
        <w:spacing w:after="0" w:line="297" w:lineRule="auto"/>
        <w:rPr>
          <w:sz w:val="20"/>
          <w:szCs w:val="20"/>
          <w:color w:val="auto"/>
        </w:rPr>
      </w:pPr>
      <w:r>
        <w:rPr>
          <w:rFonts w:ascii="Arial" w:cs="Arial" w:eastAsia="Arial" w:hAnsi="Arial"/>
          <w:sz w:val="13"/>
          <w:szCs w:val="13"/>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45"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45"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Air Emissions</w:t>
      </w:r>
    </w:p>
    <w:p>
      <w:pPr>
        <w:spacing w:after="0" w:line="200"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Our United States operations are subject to the United States Clean Air Act (“Clean Air Act”), comparable state laws and associated federal, state and local regulations. Our Canadian operations are also subject to federal and provincial air emission regulations, which are discussed in subsequent sections.</w:t>
      </w:r>
    </w:p>
    <w:p>
      <w:pPr>
        <w:spacing w:after="0" w:line="15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Initiatives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The EPA has adopted rules for reporting the emission of carbon dioxide, methane and other greenhouse gases (“GHG”) from certain sources. Two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163" w:lineRule="exact"/>
        <w:rPr>
          <w:sz w:val="20"/>
          <w:szCs w:val="20"/>
          <w:color w:val="auto"/>
        </w:rPr>
      </w:pPr>
    </w:p>
    <w:p>
      <w:pPr>
        <w:ind w:right="40" w:firstLine="509"/>
        <w:spacing w:after="0" w:line="277" w:lineRule="auto"/>
        <w:rPr>
          <w:sz w:val="20"/>
          <w:szCs w:val="20"/>
          <w:color w:val="auto"/>
        </w:rPr>
      </w:pPr>
      <w:r>
        <w:rPr>
          <w:rFonts w:ascii="Arial" w:cs="Arial" w:eastAsia="Arial" w:hAnsi="Arial"/>
          <w:sz w:val="13"/>
          <w:szCs w:val="13"/>
          <w:color w:val="auto"/>
        </w:rPr>
        <w:t>In recent years, there has been considerable uncertainty surrounding regulation of methane emissions. In 2020, the Trump Administration revised performance standards for methane established in 2016 to lessen the impact of those standards and remove the transmission and storage segments from the source category for certain regulations. However, shortly after taking office, President Biden issued an executive order calling on the EPA to revisit federal regulations regarding methane and establish new or more stringent standards for existing or new sources in the oil and gas sector, including the transmission and storage segments. The U.S. Congress also passed, and President Biden signed into law, a revocation of the 2020 rulemaking, effectively reinstating the 2016 standards. In response to President Biden’s executive order, in November 2021, the EPA issued a proposed rule that, if finalized, would establish standards of performance for methane and volatile organic compound (“VOC”) emissions for new sources and existing sources in the crude oil and natural gas source category. This proposed rule would apply to upstream and midstream facilities at oil and natural gas well sites, natural gas gathering and boosting compressor stations, natural gas processing plants, and transmission and storage facilities. Owners or operators of affected emissions units or processes would have to comply with specific standards of performance that may include leak detection using optical gas imaging and subsequent repair requirements, reduction of emissions by 95% through capture and control systems, zero-emission requirements, operations and maintenance requirements, and so-called green well completion requirements. The EPA plans to issue a supplemental proposal enhancing this proposed rulemaking in 2022 that will contain additional requirements that were not included in the November 2021 proposed rule. EPA anticipates issuing a final rule by the end of 2022.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167"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submitted its first compliance report in 2019.</w:t>
      </w:r>
    </w:p>
    <w:p>
      <w:pPr>
        <w:spacing w:after="0" w:line="152"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California has also implemented several climate change initiatives via executive order. Executive Order B-30-15 was signed by California’s Governor in mid-2015. This Executive Order requires a 40% reduction in GHG emissions from the 1990 baseline level by 2030. Compliance with this reduction requirement may necessitate the lowering of the threshold for industrial facilities required to participate in the GHG cap and trade program. In late 2020, the governor of California issued an executive order setting targets on the limitation or phase-out of the sale of petroleum-fueled passenger, commercial, and off-road vehicles over the next 15 to 25 years. A number of other states are working to implement zero-emission vehicle requirements or targets. Separately, in October 2020, the Governor of California signed another executive order that establishes a state “30x30” goal to conserve at least 30% of California’s land and coastal waters by 2030 and directs state agencies to implement other measures to mitigate climate change and strengthen biodiversity. A draft of potential strategies in pursuing this “30x30” state goal was released in late 2021 with public comments to be solicited through early 2022. In May 2021, the Governor of California together with the federal government announced that the Department of Interior, Bureau of Ocean Energy Management, and the Department of Defense have reached an agreement with the State of California to lease 399-square miles off California’s central coast for offshore wind development. In furtherance of this agreement, the Governor signed legislation, AB 525, in September 2021 that will require the California Energy Commission to establish offshore wind goals for 2030 and 2045 as well as to develop a strategic plan to develop the industry off California’s coast. In July 2021, the Governor of California issued a plan outlining the state’s goals to achieve a 100% clean electricity system by 2045 that supports long-term clean energy reliability, which includes objectives for increasing the diversity of the state’s energy focus, to include, for example, offshore wind, modernizing the state power grid and incorporating distributed energy resources, increasing long-duration energy storage projects, pursuing grid hardening and resiliency projects to make transmission and distribution lines more fire resistant and enhance strategic placement of remote grids in vulnerable communities, and increasing the electrification of state transportation systems, homes and businesses.</w:t>
      </w:r>
    </w:p>
    <w:p>
      <w:pPr>
        <w:spacing w:after="0" w:line="161" w:lineRule="exact"/>
        <w:rPr>
          <w:sz w:val="20"/>
          <w:szCs w:val="20"/>
          <w:color w:val="auto"/>
        </w:rPr>
      </w:pPr>
    </w:p>
    <w:p>
      <w:pPr>
        <w:jc w:val="both"/>
        <w:ind w:right="60" w:firstLine="509"/>
        <w:spacing w:after="0" w:line="297" w:lineRule="auto"/>
        <w:rPr>
          <w:sz w:val="20"/>
          <w:szCs w:val="20"/>
          <w:color w:val="auto"/>
        </w:rPr>
      </w:pPr>
      <w:r>
        <w:rPr>
          <w:rFonts w:ascii="Arial" w:cs="Arial" w:eastAsia="Arial" w:hAnsi="Arial"/>
          <w:sz w:val="13"/>
          <w:szCs w:val="13"/>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45"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In December 2015, the Paris Agreement was signed at the 21st annual Conference of Parties to the United Nations Framework Convention on Climate Change (“UNFCCC”). The Paris Agreement, which came into effect in November 2016, requires signatory parties to develop and implement non-binding carbon emission reduction policies through individually-determined reduction goals every five years after 2020, with a goal of limiting the rise in average global temperatures to 2°C or less. The United States is currently a signatory to the Paris Agreement. President Biden announced in April 2021 a new, more rigorous nationally determined contribution (“NDC”) emissions reduction level of 50-52% reduction from 2005 levels in economy-wide net GHG emissions by 2030. Moreover, the international community gathered again in Glasgow in November 2021 at the 26th Conference of the Parties (“COP26”), during which multiple announcements were made, including a call for parties to eliminate certain fossil fuel subsidies and pursue further action on non-CO2 GHGs. Relatedly, at COP26, the United States and European Union jointly announced the launch of a Global Methane Pledge, an initiative which over 100 countries joined, committing to a collective goal of reducing global methane emissions by at least 30 percent from 2020 levels by 2030, including “all feasible reductions” in the energy sector. The impacts of these orders, pledges, agreements and any legislation or regulation promulgated to fulfill the United States’ commitments under the Paris Agreement, COP26 or other international conventions cannot be predicted at this time.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Governmental, scientific, and public concern over the threat of climate change arising from GHG emissions has resulted in increasing political risks in the United States. For example, President Biden has issued several executive orders calling for more expansive action to address climate change, including suspension of new oil and gas operations on federal lands and waters. The suspension of the federal leasing activities prompted legal action by several states against the Biden Administration, resulting in issuance of a nationwide preliminary injunction by a federal district judge in Louisiana in June 2021, effectively halting implementation of the leasing suspension; however, the federal government is appealing the district court decision. The Biden administration could also pursue the imposition of more restrictive requirements for the establishment of pipeline infrastructure or more restrictive GHG emissions limitations for oil and gas facilities. Litigation risks are also increasing as a number of cities, local governments and other plaintiffs have sought to bring lawsuits against oil and natural gas exploration and production companies in state or federal court, alleging, among other things, that such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w:t>
      </w:r>
    </w:p>
    <w:p>
      <w:pPr>
        <w:spacing w:after="0" w:line="173" w:lineRule="exact"/>
        <w:rPr>
          <w:sz w:val="20"/>
          <w:szCs w:val="20"/>
          <w:color w:val="auto"/>
        </w:rPr>
      </w:pPr>
    </w:p>
    <w:p>
      <w:pPr>
        <w:ind w:right="20" w:firstLine="509"/>
        <w:spacing w:after="0" w:line="276" w:lineRule="auto"/>
        <w:rPr>
          <w:sz w:val="20"/>
          <w:szCs w:val="20"/>
          <w:color w:val="auto"/>
        </w:rPr>
      </w:pPr>
      <w:r>
        <w:rPr>
          <w:rFonts w:ascii="Arial" w:cs="Arial" w:eastAsia="Arial" w:hAnsi="Arial"/>
          <w:sz w:val="13"/>
          <w:szCs w:val="13"/>
          <w:color w:val="auto"/>
        </w:rPr>
        <w:t>There is also a risk that financial institutions may be required to adopt policies that have the effect of reducing the funding available to the hydrocarbon energy sector. Institutional lenders who provide financing to fossil-fuel energy companies also have become more attentive to sustainable lending practices that favor “clean” power sources, such as wind and solar, making those sources more attractive, and some of them may elect not to provide funding for fossil fuel energy companies. Many of the largest U.S. banks have made “net zero” carbon emission commitments and have announced that they will be assessing financed emissions across their portfolios and taking steps to quantify and reduce those emissions.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emissions by 2050. These and other developments in the financial sector could lead to some lenders restricting access to capital for or divesting from certain industries or companies, including the oil and natural gas sector, or requiring that borrowers take additional steps to reduce their GHG emissions. Additionally, there is the possibility that financial institutions may be pressured or required to adopt policies that limit funding for fossil fuel energy companies. In late 2020, the Federal Reserve announced that it has joined the Network for Greening the Financial System (“NGFS”), a consortium of financial regulators focused on addressing climate-related risks in the financial sector. More recently, in November 2021, the Federal Reserve issued a statement in support of the efforts of the NGFS to identify key issues and potential solutions for the climate-related challenges most relevant to central banks and supervisory authorities. While we cannot predict what policies may result from these announcements, a material reduction in the capital available to the fossil fuel industry could make it more difficult to secure funding for exploration, development, production, transportation, and processing activities, which could impact our business and operations.</w:t>
      </w:r>
    </w:p>
    <w:p>
      <w:pPr>
        <w:spacing w:after="0" w:line="1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Finally, to the extent increasing concentrations of GHGs in the Earth’s atmosphere may produce climate changes that have significant physical effects, such as increased frequency and severity of storms, droughts, floods and other climatic events, as well as chronic shifts in temperature and precipitation patterns. These climatic developments have the potential to cause physical damage to our assets and thus could have an adverse effect on our operations. Additionally, changing meteorological conditions, particularly temperature, may result in changes to the amount, timing, or location of demand for energy or our customer’s production, which could reduce the need for our services. While our consideration of changing climatic conditions and inclusion of safety factors in design is intended to reduce the uncertainties that climate change and other events may potentially introduce, our ability to mitigate the adverse impacts of these events depends in part on the effectiveness of our facilities, particularly those located in coastal or flood prone areas, and our disaster preparedness and response and business continuity planning, which may not have considered or be prepared for every eventuality.</w:t>
      </w:r>
    </w:p>
    <w:p>
      <w:pPr>
        <w:spacing w:after="0" w:line="172" w:lineRule="exact"/>
        <w:rPr>
          <w:sz w:val="20"/>
          <w:szCs w:val="20"/>
          <w:color w:val="auto"/>
        </w:rPr>
      </w:pPr>
    </w:p>
    <w:p>
      <w:pPr>
        <w:ind w:right="300" w:firstLine="509"/>
        <w:spacing w:after="0" w:line="267" w:lineRule="auto"/>
        <w:rPr>
          <w:sz w:val="20"/>
          <w:szCs w:val="20"/>
          <w:color w:val="auto"/>
        </w:rPr>
      </w:pPr>
      <w:r>
        <w:rPr>
          <w:rFonts w:ascii="Arial" w:cs="Arial" w:eastAsia="Arial" w:hAnsi="Arial"/>
          <w:sz w:val="14"/>
          <w:szCs w:val="14"/>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i w:val="1"/>
          <w:iCs w:val="1"/>
          <w:color w:val="auto"/>
        </w:rPr>
        <w:t xml:space="preserve">Federal Regulations. </w:t>
      </w:r>
      <w:r>
        <w:rPr>
          <w:rFonts w:ascii="Arial" w:cs="Arial" w:eastAsia="Arial" w:hAnsi="Arial"/>
          <w:sz w:val="14"/>
          <w:szCs w:val="14"/>
          <w:color w:val="auto"/>
        </w:rPr>
        <w:t>Large emitters of GHG have been required to report their emissions under the Canadian Greenhouse Gas Emissions Reporting Program since 2004. Effective January 1,</w:t>
      </w:r>
      <w:r>
        <w:rPr>
          <w:rFonts w:ascii="Arial" w:cs="Arial" w:eastAsia="Arial" w:hAnsi="Arial"/>
          <w:sz w:val="14"/>
          <w:szCs w:val="14"/>
          <w:i w:val="1"/>
          <w:iCs w:val="1"/>
          <w:color w:val="auto"/>
        </w:rPr>
        <w:t xml:space="preserve"> </w:t>
      </w:r>
      <w:r>
        <w:rPr>
          <w:rFonts w:ascii="Arial" w:cs="Arial" w:eastAsia="Arial" w:hAnsi="Arial"/>
          <w:sz w:val="14"/>
          <w:szCs w:val="14"/>
          <w:color w:val="auto"/>
        </w:rPr>
        <w:t>2018, the Federal Department of Environment and Climate Change lowered the reporting threshold for all facilities from 50 thousand tonnes per year (“kt/y”) to 10 kt/y GHG emissions. This has resulted in one additional facility (for a total of four locations) being currently required to prepare annual reports of their emissions. The associated cost with this reporting requirement is not considered to be material.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In December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after 2020 to assess success among member nations in attaining objectives and targets under this agreement. The Government of Canada has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began at CAD$20 per tonne in 2019 and has risen by CAD$10 per year, reaching CAD$50 per tonne beginning in 2022) and an output based pricing system (“OBPS”) designed to address competitiveness risk for large emitters.</w:t>
      </w:r>
    </w:p>
    <w:p>
      <w:pPr>
        <w:spacing w:after="0" w:line="158" w:lineRule="exact"/>
        <w:rPr>
          <w:sz w:val="20"/>
          <w:szCs w:val="20"/>
          <w:color w:val="auto"/>
        </w:rPr>
      </w:pPr>
    </w:p>
    <w:p>
      <w:pPr>
        <w:ind w:right="120" w:firstLine="509"/>
        <w:spacing w:after="0" w:line="297" w:lineRule="auto"/>
        <w:rPr>
          <w:sz w:val="20"/>
          <w:szCs w:val="20"/>
          <w:color w:val="auto"/>
        </w:rPr>
      </w:pPr>
      <w:r>
        <w:rPr>
          <w:rFonts w:ascii="Arial" w:cs="Arial" w:eastAsia="Arial" w:hAnsi="Arial"/>
          <w:sz w:val="13"/>
          <w:szCs w:val="13"/>
          <w:color w:val="auto"/>
        </w:rPr>
        <w:t>In regards to the federal pricing on carbon pollution, in December 2021, the federal government published an update to the federal carbon pricing benchmark beyond 2022. Under the updated scheme, the minimum national carbon pollution price has been proposed for 2023 to 2030 with the carbon price set at CAD$65/tonne in 2023 with a further annual increase of CAD$15 per year up to $170/tonne in 2030. Costs for compliance in respect of the cost of carbon will be budgeted annually as part of ordinary operating cost processes.</w:t>
      </w:r>
    </w:p>
    <w:p>
      <w:pPr>
        <w:spacing w:after="0" w:line="145" w:lineRule="exact"/>
        <w:rPr>
          <w:sz w:val="20"/>
          <w:szCs w:val="20"/>
          <w:color w:val="auto"/>
        </w:rPr>
      </w:pPr>
    </w:p>
    <w:p>
      <w:pPr>
        <w:ind w:right="40" w:firstLine="509"/>
        <w:spacing w:after="0" w:line="172" w:lineRule="exact"/>
        <w:rPr>
          <w:sz w:val="20"/>
          <w:szCs w:val="20"/>
          <w:color w:val="auto"/>
        </w:rPr>
      </w:pPr>
      <w:r>
        <w:rPr>
          <w:rFonts w:ascii="Arial" w:cs="Arial" w:eastAsia="Arial" w:hAnsi="Arial"/>
          <w:sz w:val="14"/>
          <w:szCs w:val="14"/>
          <w:color w:val="auto"/>
        </w:rPr>
        <w:t>Canada passed the Canadian Net-Zero Emissions Accountability Act in June 2021 which formally establishes the country’s 2050 net zero target. The act requires the setting of legally-binding, five-year emissions reduction targets (2030, 2035, 2040 and 2045). Pursuant to this act, in July 2021, the federal government announced an enhanced NDC emissions reduction level for Canada of 40</w:t>
      </w:r>
      <w:r>
        <w:rPr>
          <w:rFonts w:ascii="MS PGothic" w:cs="MS PGothic" w:eastAsia="MS PGothic" w:hAnsi="MS PGothic"/>
          <w:sz w:val="14"/>
          <w:szCs w:val="14"/>
          <w:color w:val="auto"/>
        </w:rPr>
        <w:t>‑</w:t>
      </w:r>
      <w:r>
        <w:rPr>
          <w:rFonts w:ascii="Arial" w:cs="Arial" w:eastAsia="Arial" w:hAnsi="Arial"/>
          <w:sz w:val="14"/>
          <w:szCs w:val="14"/>
          <w:color w:val="auto"/>
        </w:rPr>
        <w:t>45 percent below 2005 levels by 2030. Moreover, in accord with this act, Canada must set the subsequent 2035, 2040 and 2045 targets at least 10 years in advance. The 2030 Emissions Reduction Plan has yet to be published. The deadline for the federal government to establish the plan is March 29, 2022. The impact of this legislation on our Canadian operations will be addressed and budgeted annually as part of ordinary operating costs processes.</w:t>
      </w:r>
    </w:p>
    <w:p>
      <w:pPr>
        <w:spacing w:after="0" w:line="181" w:lineRule="exact"/>
        <w:rPr>
          <w:sz w:val="20"/>
          <w:szCs w:val="20"/>
          <w:color w:val="auto"/>
        </w:rPr>
      </w:pPr>
    </w:p>
    <w:p>
      <w:pPr>
        <w:ind w:right="80" w:firstLine="509"/>
        <w:spacing w:after="0" w:line="282" w:lineRule="auto"/>
        <w:rPr>
          <w:sz w:val="20"/>
          <w:szCs w:val="20"/>
          <w:color w:val="auto"/>
        </w:rPr>
      </w:pPr>
      <w:r>
        <w:rPr>
          <w:rFonts w:ascii="Arial" w:cs="Arial" w:eastAsia="Arial" w:hAnsi="Arial"/>
          <w:sz w:val="13"/>
          <w:szCs w:val="13"/>
          <w:color w:val="auto"/>
        </w:rPr>
        <w:t>In April 2018, the Federal Department of Environment and Climate Change introduced regulations designed to reduce methane emissions by up to 45% by 2025 (from 2012 levels) from oil and natural gas facilities, with certain of those requirements becoming effective in January 2020 and the remainder by 2023. The scope and requirements of the proposed rule are similar to the EPA methane rules described above. Effective June 2017, the Federal Department of Environment and Climate Change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Provincial Regulations</w:t>
      </w:r>
    </w:p>
    <w:p>
      <w:pPr>
        <w:spacing w:after="0" w:line="204" w:lineRule="exact"/>
        <w:rPr>
          <w:sz w:val="20"/>
          <w:szCs w:val="20"/>
          <w:color w:val="auto"/>
        </w:rPr>
      </w:pPr>
    </w:p>
    <w:p>
      <w:pPr>
        <w:ind w:right="560" w:firstLine="509"/>
        <w:spacing w:after="0" w:line="281" w:lineRule="auto"/>
        <w:rPr>
          <w:sz w:val="20"/>
          <w:szCs w:val="20"/>
          <w:color w:val="auto"/>
        </w:rPr>
      </w:pPr>
      <w:r>
        <w:rPr>
          <w:rFonts w:ascii="Arial" w:cs="Arial" w:eastAsia="Arial" w:hAnsi="Arial"/>
          <w:sz w:val="14"/>
          <w:szCs w:val="14"/>
          <w:i w:val="1"/>
          <w:iCs w:val="1"/>
          <w:color w:val="auto"/>
        </w:rPr>
        <w:t>Ontario</w:t>
      </w:r>
      <w:r>
        <w:rPr>
          <w:rFonts w:ascii="Arial" w:cs="Arial" w:eastAsia="Arial" w:hAnsi="Arial"/>
          <w:sz w:val="14"/>
          <w:szCs w:val="14"/>
          <w:color w:val="auto"/>
        </w:rPr>
        <w:t>. In February 2015, the Ontario Ministry of Environment and Climate Change issued a discussion paper that identified carbon pricing as a critical action necessary to reduce</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emissions of GHGs.</w:t>
      </w:r>
    </w:p>
    <w:p>
      <w:pPr>
        <w:spacing w:after="0" w:line="153"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In July 2019, the Ontario government implemented the Emissions Performance Standards (“EPS”) regulation as a successor program to the repealed GHG cap and trade program. In September 2020, the Federal government accepted the EPS program as equivalent to the OBPS which allows Ontario to move forward with implementing the EPS. Ontario has specified January 1, 2022 as the start date of the EPS. Our Sarnia facility will be shifting to the EPS from the OBPS program. Costs for compliance with the OBPS or EPS are budgeted annually and are not expected to have a material effect on operations.</w:t>
      </w:r>
    </w:p>
    <w:p>
      <w:pPr>
        <w:spacing w:after="0" w:line="114" w:lineRule="exact"/>
        <w:rPr>
          <w:sz w:val="20"/>
          <w:szCs w:val="20"/>
          <w:color w:val="auto"/>
        </w:rPr>
      </w:pPr>
    </w:p>
    <w:p>
      <w:pPr>
        <w:ind w:right="300" w:firstLine="509"/>
        <w:spacing w:after="0" w:line="294" w:lineRule="auto"/>
        <w:rPr>
          <w:sz w:val="20"/>
          <w:szCs w:val="20"/>
          <w:color w:val="auto"/>
        </w:rPr>
      </w:pPr>
      <w:r>
        <w:rPr>
          <w:rFonts w:ascii="Arial" w:cs="Arial" w:eastAsia="Arial" w:hAnsi="Arial"/>
          <w:sz w:val="13"/>
          <w:szCs w:val="13"/>
          <w:color w:val="auto"/>
        </w:rPr>
        <w:t>In 2018, the Ontario government introduced an updated Sulphur Dioxide (“SO</w:t>
      </w:r>
      <w:r>
        <w:rPr>
          <w:rFonts w:ascii="Arial" w:cs="Arial" w:eastAsia="Arial" w:hAnsi="Arial"/>
          <w:sz w:val="17"/>
          <w:szCs w:val="17"/>
          <w:color w:val="auto"/>
          <w:vertAlign w:val="subscript"/>
        </w:rPr>
        <w:t>2</w:t>
      </w:r>
      <w:r>
        <w:rPr>
          <w:rFonts w:ascii="Arial" w:cs="Arial" w:eastAsia="Arial" w:hAnsi="Arial"/>
          <w:sz w:val="13"/>
          <w:szCs w:val="13"/>
          <w:color w:val="auto"/>
        </w:rPr>
        <w:t>”) standard which requires the reduction of SO</w:t>
      </w:r>
      <w:r>
        <w:rPr>
          <w:rFonts w:ascii="Arial" w:cs="Arial" w:eastAsia="Arial" w:hAnsi="Arial"/>
          <w:sz w:val="17"/>
          <w:szCs w:val="17"/>
          <w:color w:val="auto"/>
          <w:vertAlign w:val="subscript"/>
        </w:rPr>
        <w:t>2</w:t>
      </w:r>
      <w:r>
        <w:rPr>
          <w:rFonts w:ascii="Arial" w:cs="Arial" w:eastAsia="Arial" w:hAnsi="Arial"/>
          <w:sz w:val="13"/>
          <w:szCs w:val="13"/>
          <w:color w:val="auto"/>
        </w:rPr>
        <w:t xml:space="preserve"> from the current one hour average emission rate of 690 micrograms per cubic meter of air (“µg/m3”) to the new one hour standard of 100 µg/m3 by 2023 at industrial facilities. The introduction of this reduction measure requires evaluation of current emissions and may require equipment upgrades at our Sarnia facility. The evaluation process has not been concluded and the impact of the standard is still under review.</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1" w:name="page32"/>
    <w:bookmarkEnd w:id="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i w:val="1"/>
          <w:iCs w:val="1"/>
          <w:color w:val="auto"/>
        </w:rPr>
        <w:t xml:space="preserve">Alberta. </w:t>
      </w:r>
      <w:r>
        <w:rPr>
          <w:rFonts w:ascii="Arial" w:cs="Arial" w:eastAsia="Arial" w:hAnsi="Arial"/>
          <w:sz w:val="14"/>
          <w:szCs w:val="14"/>
          <w:color w:val="auto"/>
        </w:rPr>
        <w:t>The Alberta Climate Change and Emissions Management Act (2003) provided a framework for managing GHG emissions with the intent of reducing specified gas emissions to 50%</w:t>
      </w:r>
      <w:r>
        <w:rPr>
          <w:rFonts w:ascii="Arial" w:cs="Arial" w:eastAsia="Arial" w:hAnsi="Arial"/>
          <w:sz w:val="14"/>
          <w:szCs w:val="14"/>
          <w:i w:val="1"/>
          <w:iCs w:val="1"/>
          <w:color w:val="auto"/>
        </w:rPr>
        <w:t xml:space="preserve"> </w:t>
      </w:r>
      <w:r>
        <w:rPr>
          <w:rFonts w:ascii="Arial" w:cs="Arial" w:eastAsia="Arial" w:hAnsi="Arial"/>
          <w:sz w:val="14"/>
          <w:szCs w:val="14"/>
          <w:color w:val="auto"/>
        </w:rPr>
        <w:t>of 1990 levels by December 31, 2020. The Specified Gas Emitters Regulation (2007) (“SGER”) was the initial program introduced which imposed GHG emission limits on large emitters and required reduction in GHG emission intensity. In January 2018, the SGER was replaced with the Carbon Competitive Incentive Regulation (2018) (“CCIR”) for compliance years 2018 and 2019. In January 2020, Alberta implemented the newly adopted Technology Innovation and Emissions Reduction (“TIER”) regulation, which brought in yet another version of a GHG reduction program to replace the GHG program under CCIR. Compliance options under TIER are similar to those under the previous CCIR program such that a GHG fund credit purchase will be required if reduction targets identified under the program are not attained. As was the case under SGER and CCIR, our Fort Saskatchewan and Empress VI facilities are mandatory participants under TIER. For economic reasons, Empress I - V and five of our other Canadian facilities opted in to be part of the TIER program for 2021. Under TIER, Alberta’s price on carbon was initially set at $30/tonne and was subsequently increased to $50/tonne for 2022 through Alberta Minister of Environment and Park’s Ministerial Order 87/2021. The price increase aligns with the carbon pricing established by the federal Greenhouse Gas Pollution Pricing Act.</w:t>
      </w:r>
    </w:p>
    <w:p>
      <w:pPr>
        <w:spacing w:after="0" w:line="173"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Assets within the Alberta TIER program are also exempt from the federal fuel charge but other fuel consumption as part of Alberta operations is subject to the federal levies. The federal fuel charge cost increase has been captured as part of the annual budgeting cycle.</w:t>
      </w:r>
    </w:p>
    <w:p>
      <w:pPr>
        <w:spacing w:after="0" w:line="153" w:lineRule="exact"/>
        <w:rPr>
          <w:sz w:val="20"/>
          <w:szCs w:val="20"/>
          <w:color w:val="auto"/>
        </w:rPr>
      </w:pPr>
    </w:p>
    <w:p>
      <w:pPr>
        <w:jc w:val="both"/>
        <w:ind w:right="160" w:firstLine="509"/>
        <w:spacing w:after="0" w:line="267" w:lineRule="auto"/>
        <w:rPr>
          <w:sz w:val="20"/>
          <w:szCs w:val="20"/>
          <w:color w:val="auto"/>
        </w:rPr>
      </w:pPr>
      <w:r>
        <w:rPr>
          <w:rFonts w:ascii="Arial" w:cs="Arial" w:eastAsia="Arial" w:hAnsi="Arial"/>
          <w:sz w:val="14"/>
          <w:szCs w:val="14"/>
          <w:color w:val="auto"/>
        </w:rPr>
        <w:t>In association with the federal methane reduction targets, the Alberta Energy Regulator amended Directive 60 to outline reduction requirements. New reporting measures and requirements for fugitive emission surveys and methane emission reduction came into force in both January 2020 and January 2022. The cost for reporting and completing these requirements has been captured within the annual operational budgets.</w:t>
      </w:r>
    </w:p>
    <w:p>
      <w:pPr>
        <w:spacing w:after="0" w:line="163" w:lineRule="exact"/>
        <w:rPr>
          <w:sz w:val="20"/>
          <w:szCs w:val="20"/>
          <w:color w:val="auto"/>
        </w:rPr>
      </w:pPr>
    </w:p>
    <w:p>
      <w:pPr>
        <w:jc w:val="both"/>
        <w:ind w:right="240" w:firstLine="509"/>
        <w:spacing w:after="0" w:line="262" w:lineRule="auto"/>
        <w:rPr>
          <w:sz w:val="20"/>
          <w:szCs w:val="20"/>
          <w:color w:val="auto"/>
        </w:rPr>
      </w:pPr>
      <w:r>
        <w:rPr>
          <w:rFonts w:ascii="Arial" w:cs="Arial" w:eastAsia="Arial" w:hAnsi="Arial"/>
          <w:sz w:val="14"/>
          <w:szCs w:val="14"/>
          <w:i w:val="1"/>
          <w:iCs w:val="1"/>
          <w:color w:val="auto"/>
        </w:rPr>
        <w:t>Other Canadian Jurisdictions</w:t>
      </w:r>
      <w:r>
        <w:rPr>
          <w:rFonts w:ascii="Arial" w:cs="Arial" w:eastAsia="Arial" w:hAnsi="Arial"/>
          <w:sz w:val="14"/>
          <w:szCs w:val="14"/>
          <w:color w:val="auto"/>
        </w:rPr>
        <w:t>. Nova Scotia and Quebec cap and trade programs cover propane supplied by us to the Nova Scotia and Quebec markets. We are required to purchase GHG</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 credits and submit annual compliance reports under each province’s respective cap and trade program. Program compliance costs will be passed along to the purchaser. Effective April 1, 2019, the federal carbon pricing program came into effect for provinces that do not have a carbon pricing program in place. This includes Saskatchewan, Manitoba, Ontario and Alberta. Program compliance costs will be passed along to the purchaser.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Water</w:t>
      </w:r>
    </w:p>
    <w:p>
      <w:pPr>
        <w:spacing w:after="0" w:line="20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67"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2" w:name="page33"/>
    <w:bookmarkEnd w:id="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construction or expansion of pipelines often requires authorizations under the CWA, which authorizations may be subject to challenge. For over 35 years, the U.S. Army Corps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Engineers (the “Corps”) has authorized construction, maintenance and repair of pipelines under a streamlined nationwide permit program under the CWA known as Nationwide Permit 12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(“NWP”). The NWP program is supported by strong statutory and regulatory history and was originally approved by Congress in 1977. From time to time, environmental groups have challenged the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NWP program; however, to date, federal courts have upheld the validity of the NWP program under the CWA. In April 2020, the federal district court for the District of Montana vacated the Corps’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NWP 12 after determining that it failed to comply with consultation requirements under the Endangered Species Act. While the district court’s order has subsequently been limited pending appeal, we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cannot predict the ultimate outcome of this case and its impacts to the NWP program. In response to the vacatur, in January 2021, the Corps published a reissuance of a restructured NWP 12 for oil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and natural gas pipeline activities that separated certain utilities formerly covered under the permit into other NWPs. An October 2021 decision by the District Court for the Northern District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California resulted in a vacatur of a 2020 rule revising the Clean Water Act Section 401 certification process, following which the Corps announced that it had temporarily suspended finalization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certain permitting decisions, including under NWP 12, that rely on a Section 401 certification or waiver under the 2020 rule. However, in November 2021, after a temporary pause on permit decisions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reliant on a Section 401 water quality certification or waiver completed under the vacated regulations, Corps districts resumed making decisions on all permit applications and requests for nationwide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permit verifications; as part of that decision making process, districts will coordinate with certifying authorities on water quality certifications that are potentially impacted by the vacatur order. While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the full extent and impact of these recent developments is unclear at this time, any disruption in our ability to obtain coverage under NWP 12 or other general permits may result in increased costs 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project delays if we are forced to seek individual permits from the Corps.</w:t>
      </w:r>
    </w:p>
    <w:p>
      <w:pPr>
        <w:spacing w:after="0" w:line="189" w:lineRule="exact"/>
        <w:rPr>
          <w:sz w:val="20"/>
          <w:szCs w:val="20"/>
          <w:color w:val="auto"/>
        </w:rPr>
      </w:pPr>
    </w:p>
    <w:p>
      <w:pPr>
        <w:ind w:firstLine="509"/>
        <w:spacing w:after="0" w:line="301" w:lineRule="auto"/>
        <w:rPr>
          <w:sz w:val="20"/>
          <w:szCs w:val="20"/>
          <w:color w:val="auto"/>
        </w:rPr>
      </w:pPr>
      <w:r>
        <w:rPr>
          <w:rFonts w:ascii="Arial" w:cs="Arial" w:eastAsia="Arial" w:hAnsi="Arial"/>
          <w:sz w:val="12"/>
          <w:szCs w:val="12"/>
          <w:color w:val="auto"/>
        </w:rPr>
        <w:t>Also, there continues to be uncertainty on the federal government’s applicable jurisdictional reach under the Clean Water Act over waters of the United States, including wetlands, as the EPA and the Corps under the Obama, Trump and Biden Administrations have pursued multiple rulemakings since 2015 in an attempt to determine the scope of such reach. While the EPA and Corps under the Trump Administration issued a final rule in April 2020 narrowing federal jurisdictional reach over waters of the United States, President Biden issued an executive order in January 2021 to further review and assess these regulations consistent with the new administration’s policy objectives, following which the EPA and Corps announced plans in June 2021 to initiate a new rulemaking process that would repeal the 2020 rule and restore protections that were in place prior to 2015. Although the EPA and Corps did not seek to vacate the 2020 rule on an interim basis, two federal district courts in Arizona and New Mexico have vacated the 2020 rule in decisions announced during the third quarter of 2021. While these district court decisions may be appealed, it is clear that the EPA and Corps intend to adopt a more expansive definition for waters of the United States. As an initial step, the agencies published on December 7, 2021 a proposed rulemaking that would put back into place the pre-2015 definition of “waters of the United States” in effect prior to 2015 rule issued under the Obama Administration and updated to reflect consideration of Supreme Court decisions. The proposed rule, if adopted would serve as an interim approach to “waters of the United States” and provide the agency with time to develop a subsequent rule that builds upon the currently proposed rule based, in part, on additional stakeholder involvement. To the extent that the EPA and the Corps under the Biden Administration issues a final rule that expands the scope of the Clean Water Act’s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Endangered Species</w:t>
      </w:r>
    </w:p>
    <w:p>
      <w:pPr>
        <w:spacing w:after="0" w:line="200" w:lineRule="exact"/>
        <w:rPr>
          <w:sz w:val="20"/>
          <w:szCs w:val="20"/>
          <w:color w:val="auto"/>
        </w:rPr>
      </w:pPr>
    </w:p>
    <w:p>
      <w:pPr>
        <w:jc w:val="both"/>
        <w:ind w:right="20" w:firstLine="509"/>
        <w:spacing w:after="0" w:line="267" w:lineRule="auto"/>
        <w:rPr>
          <w:sz w:val="20"/>
          <w:szCs w:val="20"/>
          <w:color w:val="auto"/>
        </w:rPr>
      </w:pPr>
      <w:r>
        <w:rPr>
          <w:rFonts w:ascii="Arial" w:cs="Arial" w:eastAsia="Arial" w:hAnsi="Arial"/>
          <w:sz w:val="14"/>
          <w:szCs w:val="14"/>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Regulations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Transportation Regulation</w:t>
      </w:r>
    </w:p>
    <w:p>
      <w:pPr>
        <w:spacing w:after="0" w:line="200"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i w:val="1"/>
          <w:iCs w:val="1"/>
          <w:color w:val="auto"/>
        </w:rPr>
        <w:t xml:space="preserve">General Interstate Regulation in the United States. </w:t>
      </w:r>
      <w:r>
        <w:rPr>
          <w:rFonts w:ascii="Arial" w:cs="Arial" w:eastAsia="Arial" w:hAnsi="Arial"/>
          <w:sz w:val="13"/>
          <w:szCs w:val="13"/>
          <w:color w:val="auto"/>
        </w:rPr>
        <w:t>Our interstate common carrier liquids pipeline operations are subject to rate regulation by the U.S. Federal Energy Regulatory</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 (“FERC”) under the Interstate Commerce Act (“ICA”).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w:t>
      </w:r>
    </w:p>
    <w:p>
      <w:pPr>
        <w:spacing w:after="0" w:line="145" w:lineRule="exact"/>
        <w:rPr>
          <w:sz w:val="20"/>
          <w:szCs w:val="20"/>
          <w:color w:val="auto"/>
        </w:rPr>
      </w:pPr>
    </w:p>
    <w:p>
      <w:pPr>
        <w:jc w:val="both"/>
        <w:ind w:right="280" w:firstLine="509"/>
        <w:spacing w:after="0" w:line="267" w:lineRule="auto"/>
        <w:rPr>
          <w:sz w:val="20"/>
          <w:szCs w:val="20"/>
          <w:color w:val="auto"/>
        </w:rPr>
      </w:pPr>
      <w:r>
        <w:rPr>
          <w:rFonts w:ascii="Arial" w:cs="Arial" w:eastAsia="Arial" w:hAnsi="Arial"/>
          <w:sz w:val="14"/>
          <w:szCs w:val="14"/>
          <w:i w:val="1"/>
          <w:iCs w:val="1"/>
          <w:color w:val="auto"/>
        </w:rPr>
        <w:t xml:space="preserve">State Regulation in the United States. </w:t>
      </w:r>
      <w:r>
        <w:rPr>
          <w:rFonts w:ascii="Arial" w:cs="Arial" w:eastAsia="Arial" w:hAnsi="Arial"/>
          <w:sz w:val="14"/>
          <w:szCs w:val="14"/>
          <w:color w:val="auto"/>
        </w:rPr>
        <w:t>Our intrastate liquids pipeline transportation activities are subject to various state laws and regulations, as well as orders of state regulatory bodies,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the Railroad Commission of Texas (“TRRC”) and the California Public Utility Commission (“CPUC”). The CPUC prohibits certain of our subsidiaries from acting as guarantors of our senior notes and credit facilities.</w:t>
      </w:r>
    </w:p>
    <w:p>
      <w:pPr>
        <w:spacing w:after="0" w:line="163" w:lineRule="exact"/>
        <w:rPr>
          <w:sz w:val="20"/>
          <w:szCs w:val="20"/>
          <w:color w:val="auto"/>
        </w:rPr>
      </w:pPr>
    </w:p>
    <w:p>
      <w:pPr>
        <w:ind w:firstLine="509"/>
        <w:spacing w:after="0" w:line="275" w:lineRule="auto"/>
        <w:rPr>
          <w:sz w:val="20"/>
          <w:szCs w:val="20"/>
          <w:color w:val="auto"/>
        </w:rPr>
      </w:pPr>
      <w:r>
        <w:rPr>
          <w:rFonts w:ascii="Arial" w:cs="Arial" w:eastAsia="Arial" w:hAnsi="Arial"/>
          <w:sz w:val="13"/>
          <w:szCs w:val="13"/>
          <w:i w:val="1"/>
          <w:iCs w:val="1"/>
          <w:color w:val="auto"/>
        </w:rPr>
        <w:t xml:space="preserve">U.S. Energy Policy Act of 1992 and Subsequent Developments. </w:t>
      </w:r>
      <w:r>
        <w:rPr>
          <w:rFonts w:ascii="Arial" w:cs="Arial" w:eastAsia="Arial" w:hAnsi="Arial"/>
          <w:sz w:val="13"/>
          <w:szCs w:val="13"/>
          <w:color w:val="auto"/>
        </w:rPr>
        <w:t>In October 1992, Congress passed the Energy Policy Act of 1992 (“EPAct”), which, among other things, required the FERC</w:t>
      </w:r>
      <w:r>
        <w:rPr>
          <w:rFonts w:ascii="Arial" w:cs="Arial" w:eastAsia="Arial" w:hAnsi="Arial"/>
          <w:sz w:val="13"/>
          <w:szCs w:val="13"/>
          <w:i w:val="1"/>
          <w:iCs w:val="1"/>
          <w:color w:val="auto"/>
        </w:rPr>
        <w:t xml:space="preserve"> </w:t>
      </w:r>
      <w:r>
        <w:rPr>
          <w:rFonts w:ascii="Arial" w:cs="Arial" w:eastAsia="Arial" w:hAnsi="Arial"/>
          <w:sz w:val="13"/>
          <w:szCs w:val="13"/>
          <w:color w:val="auto"/>
        </w:rPr>
        <w:t>to issue rules to establish a simplified and generally applicable ratemaking methodology for liquids pipelines and to streamline procedures in liquids pipeline proceedings. The FERC responded to this mandate by establishing a formulaic methodology for petroleum pipelines to change their rates within prescribed ceiling levels that are tied to an inflation index. The FERC reviews the formula every five years. Pursuant to a December 2020 Order, commencing July 1, 2021, the annual index adjustment for the five-year period ending June 30, 2026 equals the producer price index for finished goods for the applicable year plus an adjustment factor of 0.78%. Rehearing of the December 2020 Order has been requested, and the requests remain pending before FERC. The Commission received requests for rehearing of its December 2020 order and on January 20, 2022, granted rehearing and modified the oil index. Specifically, FERC granted rehearing of its December 2020 order and ordered that for the five-year period commencing July 1, 2021 and ending June 30, 2026, common carriers charging indexed rates will be permitted to adjust their indexed ceilings annually by Producer Price Index minus 0.21%. FERC directed oil pipelines to recompute their ceiling levels for the five-year period ending June 30, 2022 based on the new index level. Where an oil pipeline’s filed rates exceed its ceiling levels, FERC ordered such oil pipelines to reduce the rate to bring it into compliance with the recomputed ceiling level to be effective March 1, 2022. We have filed to adjust our FERC-regulated rates where applicable. The January 20, 2022 FERC order adjusting the current five-year index is currently under appeal to the U.S.Court of Appeals for the Fifth Circuit.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liquids pipeline rates. The FERC, however, retained cost-of-service ratemaking, market-based rates and settlement rates as alternatives to the indexing approach that may be used in certain specified circumstances. Because the indexing methodology for the next five-year indexing period is tied in part to an inflation index and is not based on our specific costs, the indexing methodology could hamper our ability to recover cost increases.</w:t>
      </w:r>
    </w:p>
    <w:p>
      <w:pPr>
        <w:spacing w:after="0" w:line="166"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Under the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w:t>
      </w:r>
    </w:p>
    <w:p>
      <w:pPr>
        <w:spacing w:after="0" w:line="167" w:lineRule="exact"/>
        <w:rPr>
          <w:sz w:val="20"/>
          <w:szCs w:val="20"/>
          <w:color w:val="auto"/>
        </w:rPr>
      </w:pPr>
    </w:p>
    <w:p>
      <w:pPr>
        <w:ind w:right="40" w:firstLine="509"/>
        <w:spacing w:after="0" w:line="242" w:lineRule="auto"/>
        <w:rPr>
          <w:sz w:val="20"/>
          <w:szCs w:val="20"/>
          <w:color w:val="auto"/>
        </w:rPr>
      </w:pPr>
      <w:r>
        <w:rPr>
          <w:rFonts w:ascii="Arial" w:cs="Arial" w:eastAsia="Arial" w:hAnsi="Arial"/>
          <w:sz w:val="14"/>
          <w:szCs w:val="14"/>
          <w:i w:val="1"/>
          <w:iCs w:val="1"/>
          <w:color w:val="auto"/>
        </w:rPr>
        <w:t>Pipeline Rate Regulation in the United States</w:t>
      </w:r>
      <w:r>
        <w:rPr>
          <w:rFonts w:ascii="Arial" w:cs="Arial" w:eastAsia="Arial" w:hAnsi="Arial"/>
          <w:sz w:val="14"/>
          <w:szCs w:val="14"/>
          <w:color w:val="auto"/>
        </w:rPr>
        <w:t>. The FERC historically has not investigated rates of liquids pipelines on its own initiative when those rates have not been the subject of a</w:t>
      </w:r>
      <w:r>
        <w:rPr>
          <w:rFonts w:ascii="Arial" w:cs="Arial" w:eastAsia="Arial" w:hAnsi="Arial"/>
          <w:sz w:val="14"/>
          <w:szCs w:val="14"/>
          <w:i w:val="1"/>
          <w:iCs w:val="1"/>
          <w:color w:val="auto"/>
        </w:rPr>
        <w:t xml:space="preserve"> </w:t>
      </w:r>
      <w:r>
        <w:rPr>
          <w:rFonts w:ascii="Arial" w:cs="Arial" w:eastAsia="Arial" w:hAnsi="Arial"/>
          <w:sz w:val="14"/>
          <w:szCs w:val="14"/>
          <w:color w:val="auto"/>
        </w:rPr>
        <w:t>protest or complaint by a shipper. The majority of our pipeline profits in the United States are based on rates that are either grandfathered in part or set by agreement with one or more shippers. These rates remain regulated by FERC and are subject to challenge or review and modification by FERC under the ICA, which requires that tariff rates for liquids pipelines, which include both crude oil pipelines and petroleum products pipelines, be just and reasonable and not unduly discriminatory. See Item 1A. “Risk Factors—Risks Related to Laws and Regulations—Our assets are subject to federal, state and provincial regulation. Rate regulation or a successful challenge to the rates we charge on our U.S. and Canadian pipeline systems may reduce the amount of cash we generate.” for additional discussion on how our rates could be impacted by this policy change.</w:t>
      </w:r>
    </w:p>
    <w:p>
      <w:pPr>
        <w:spacing w:after="0" w:line="172"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i w:val="1"/>
          <w:iCs w:val="1"/>
          <w:color w:val="auto"/>
        </w:rPr>
        <w:t xml:space="preserve">Canadian Regulation. </w:t>
      </w:r>
      <w:r>
        <w:rPr>
          <w:rFonts w:ascii="Arial" w:cs="Arial" w:eastAsia="Arial" w:hAnsi="Arial"/>
          <w:sz w:val="14"/>
          <w:szCs w:val="14"/>
          <w:color w:val="auto"/>
        </w:rPr>
        <w:t>Our Canadian pipeline assets are subject to regulation by the CER and by provincial authorities. With respect to a pipeline over which it has jurisdiction, the relevant</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 w:name="page35"/>
    <w:bookmarkEnd w:id="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Trucking Regulation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jc w:val="both"/>
        <w:ind w:right="320" w:firstLine="509"/>
        <w:spacing w:after="0" w:line="304" w:lineRule="auto"/>
        <w:rPr>
          <w:sz w:val="20"/>
          <w:szCs w:val="20"/>
          <w:color w:val="auto"/>
        </w:rPr>
      </w:pPr>
      <w:r>
        <w:rPr>
          <w:rFonts w:ascii="Arial" w:cs="Arial" w:eastAsia="Arial" w:hAnsi="Arial"/>
          <w:sz w:val="12"/>
          <w:szCs w:val="12"/>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w:t>
      </w:r>
    </w:p>
    <w:p>
      <w:pPr>
        <w:ind w:right="180" w:firstLine="5"/>
        <w:spacing w:after="0" w:line="266" w:lineRule="auto"/>
        <w:tabs>
          <w:tab w:leader="none" w:pos="169" w:val="left"/>
        </w:tabs>
        <w:numPr>
          <w:ilvl w:val="0"/>
          <w:numId w:val="24"/>
        </w:numPr>
        <w:rPr>
          <w:rFonts w:ascii="Arial" w:cs="Arial" w:eastAsia="Arial" w:hAnsi="Arial"/>
          <w:sz w:val="14"/>
          <w:szCs w:val="14"/>
          <w:color w:val="auto"/>
        </w:rPr>
      </w:pPr>
      <w:r>
        <w:rPr>
          <w:rFonts w:ascii="Arial" w:cs="Arial" w:eastAsia="Arial" w:hAnsi="Arial"/>
          <w:sz w:val="14"/>
          <w:szCs w:val="14"/>
          <w:color w:val="auto"/>
        </w:rPr>
        <w:t>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Railcar Regulation</w:t>
      </w:r>
    </w:p>
    <w:p>
      <w:pPr>
        <w:spacing w:after="0" w:line="200"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w:t>
      </w:r>
    </w:p>
    <w:p>
      <w:pPr>
        <w:spacing w:after="0" w:line="163"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late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156"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late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35" w:name="page36"/>
    <w:bookmarkEnd w:id="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Indigenous Protections</w:t>
      </w:r>
    </w:p>
    <w:p>
      <w:pPr>
        <w:spacing w:after="0" w:line="200" w:lineRule="exact"/>
        <w:rPr>
          <w:sz w:val="20"/>
          <w:szCs w:val="20"/>
          <w:color w:val="auto"/>
        </w:rPr>
      </w:pPr>
    </w:p>
    <w:p>
      <w:pPr>
        <w:ind w:right="20" w:firstLine="509"/>
        <w:spacing w:after="0" w:line="307" w:lineRule="auto"/>
        <w:rPr>
          <w:sz w:val="20"/>
          <w:szCs w:val="20"/>
          <w:color w:val="auto"/>
        </w:rPr>
      </w:pPr>
      <w:r>
        <w:rPr>
          <w:rFonts w:ascii="Arial" w:cs="Arial" w:eastAsia="Arial" w:hAnsi="Arial"/>
          <w:sz w:val="12"/>
          <w:szCs w:val="12"/>
          <w:color w:val="auto"/>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Supreme Court ruled in </w:t>
      </w:r>
      <w:r>
        <w:rPr>
          <w:rFonts w:ascii="Arial" w:cs="Arial" w:eastAsia="Arial" w:hAnsi="Arial"/>
          <w:sz w:val="12"/>
          <w:szCs w:val="12"/>
          <w:i w:val="1"/>
          <w:iCs w:val="1"/>
          <w:color w:val="auto"/>
        </w:rPr>
        <w:t>McGirt v. Oklahoma</w:t>
      </w:r>
      <w:r>
        <w:rPr>
          <w:rFonts w:ascii="Arial" w:cs="Arial" w:eastAsia="Arial" w:hAnsi="Arial"/>
          <w:sz w:val="12"/>
          <w:szCs w:val="12"/>
          <w:color w:val="auto"/>
        </w:rPr>
        <w:t xml:space="preserve"> that the Muscogee (Creek) Nation reservation in Eastern Oklahoma has not been disestablished (i.e., officially unrecognized). Prior to the court’s ruling, the prevailing view was that all reservations within Oklahoma had been disestablished prior to statehood in 1907. Although the court’s ruling indicates that it is limited to criminal law as applied within the Muscogee (Creek) Nation reservation, the ruling has significant potential implications for civil law within the Muscogee (Creek) Nation reservation, as well as other reservations that may similarly be found to not have been disestablished. Later in 2020, state courts in Oklahoma, applying the analysis in </w:t>
      </w:r>
      <w:r>
        <w:rPr>
          <w:rFonts w:ascii="Arial" w:cs="Arial" w:eastAsia="Arial" w:hAnsi="Arial"/>
          <w:sz w:val="12"/>
          <w:szCs w:val="12"/>
          <w:i w:val="1"/>
          <w:iCs w:val="1"/>
          <w:color w:val="auto"/>
        </w:rPr>
        <w:t>McGirt</w:t>
      </w:r>
      <w:r>
        <w:rPr>
          <w:rFonts w:ascii="Arial" w:cs="Arial" w:eastAsia="Arial" w:hAnsi="Arial"/>
          <w:sz w:val="12"/>
          <w:szCs w:val="12"/>
          <w:color w:val="auto"/>
        </w:rPr>
        <w:t>, ruled that the Cherokee, Chickasaw, Seminole, and Choctaw reservations likewise had not been disestablished.</w:t>
      </w:r>
    </w:p>
    <w:p>
      <w:pPr>
        <w:spacing w:after="0" w:line="144"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regarding the Muscogee (Creek) Nation reservation. However, several Tribes have expressed dissatisfaction with the consultation process performed in relation to this approval, and it is possible that EPA’s approval under the SAFETE Act could be challenged.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Transportation Security Administration Security Directives</w:t>
      </w:r>
    </w:p>
    <w:p>
      <w:pPr>
        <w:spacing w:after="0" w:line="200"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In 2021, in response to the Colonial Pipeline cybersecurity incident, The United States Department of Homeland Security’s Transportation Security Administration (“TSA”) issued two comprehensive security directives with various cyber security and reporting requirements for critical infrastructure pipeline owners and/or operators. Compliance with these security directives may have a significant impact on our operations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Cross Border Regulation</w:t>
      </w:r>
    </w:p>
    <w:p>
      <w:pPr>
        <w:spacing w:after="0" w:line="200"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As a result of our cross border activities, including transportation and importation of crude oil and NGL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replacement, the United States-Mexico-Canada Agreement (“USMCA”) (July 1, 2020)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6" w:name="page37"/>
    <w:bookmarkEnd w:id="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Anti-Manipulation Regulation</w:t>
      </w:r>
    </w:p>
    <w:p>
      <w:pPr>
        <w:spacing w:after="0" w:line="200"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$1.3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Operational Hazards and Insurance</w:t>
      </w:r>
    </w:p>
    <w:p>
      <w:pPr>
        <w:spacing w:after="0" w:line="200"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71" w:lineRule="exact"/>
        <w:rPr>
          <w:sz w:val="20"/>
          <w:szCs w:val="20"/>
          <w:color w:val="auto"/>
        </w:rPr>
      </w:pPr>
    </w:p>
    <w:p>
      <w:pPr>
        <w:ind w:right="40" w:firstLine="509"/>
        <w:spacing w:after="0" w:line="280" w:lineRule="auto"/>
        <w:rPr>
          <w:sz w:val="20"/>
          <w:szCs w:val="20"/>
          <w:color w:val="auto"/>
        </w:rPr>
      </w:pPr>
      <w:r>
        <w:rPr>
          <w:rFonts w:ascii="Arial" w:cs="Arial" w:eastAsia="Arial" w:hAnsi="Arial"/>
          <w:sz w:val="13"/>
          <w:szCs w:val="13"/>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 to Properties and Rights-of-Way</w:t>
      </w:r>
    </w:p>
    <w:p>
      <w:pPr>
        <w:spacing w:after="0" w:line="20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Our primary human capital management objective is to attract, retain and develop a high quality workforce that will enable us to maintain and enhance a culture that is consistent with our core values of safety and environmental stewardship; ethics and integrity; accountability; and respect and fairness.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37" w:name="page38"/>
    <w:bookmarkEnd w:id="3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PMCULC). As of December 31, 2021, GP LLC and PMCULC employed approximately 4,100 people in North America, of which approximately 2,900 were employed in the U.S. and approximately 1,200 were employed in Canada. Approximately 69% of our workforce (approximately 2,800 employees) are field employees, which includes approximately 525 employees in our trucking division. Our employees are located in 23 states in the U.S. and in 5 provinces in Canada. Approximately 185 employees are covered by six separate collective bargaining agreements, one of which is currently being negotiated, while the remaining five are open for renegotiation in 2023 and 2024.</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 and Safety</w:t>
      </w:r>
    </w:p>
    <w:p>
      <w:pPr>
        <w:spacing w:after="0" w:line="200" w:lineRule="exact"/>
        <w:rPr>
          <w:sz w:val="20"/>
          <w:szCs w:val="20"/>
          <w:color w:val="auto"/>
        </w:rPr>
      </w:pPr>
    </w:p>
    <w:p>
      <w:pPr>
        <w:ind w:right="140" w:firstLine="509"/>
        <w:spacing w:after="0" w:line="278" w:lineRule="auto"/>
        <w:rPr>
          <w:sz w:val="20"/>
          <w:szCs w:val="20"/>
          <w:color w:val="auto"/>
        </w:rPr>
      </w:pPr>
      <w:r>
        <w:rPr>
          <w:rFonts w:ascii="Arial" w:cs="Arial" w:eastAsia="Arial" w:hAnsi="Arial"/>
          <w:sz w:val="13"/>
          <w:szCs w:val="13"/>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“Good Catch-Close Call”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safety component that is based on year-over-year reductions in our recordable injury rate, and an environmental responsibility component that is tied to year-over-year reductions in the number of federally reportable releases we experience. Although we failed to achieve our targeted reductions in these two areas in 2021, since 2017, for each of these metrics, we have achieved cumulative three-year reductions of more than 50%. In addition, in 2021 we established a new HSES Board Committee to provide additional oversight and perspectives with respect to HSES and ESG matters.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Diversity and Inclusion</w:t>
      </w:r>
    </w:p>
    <w:p>
      <w:pPr>
        <w:spacing w:after="0" w:line="200" w:lineRule="exact"/>
        <w:rPr>
          <w:sz w:val="20"/>
          <w:szCs w:val="20"/>
          <w:color w:val="auto"/>
        </w:rPr>
      </w:pPr>
    </w:p>
    <w:p>
      <w:pPr>
        <w:ind w:right="260" w:firstLine="509"/>
        <w:spacing w:after="0" w:line="262" w:lineRule="auto"/>
        <w:rPr>
          <w:sz w:val="20"/>
          <w:szCs w:val="20"/>
          <w:color w:val="auto"/>
        </w:rPr>
      </w:pPr>
      <w:r>
        <w:rPr>
          <w:rFonts w:ascii="Arial" w:cs="Arial" w:eastAsia="Arial" w:hAnsi="Arial"/>
          <w:sz w:val="14"/>
          <w:szCs w:val="14"/>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2021, approximately 21% of our overall workforce was female (45% exclusive of field employees), and minorities represented approximately 31% of our U.S. workforce (37% exclusive of field employees).</w:t>
      </w:r>
    </w:p>
    <w:p>
      <w:pPr>
        <w:spacing w:after="0" w:line="167" w:lineRule="exact"/>
        <w:rPr>
          <w:sz w:val="20"/>
          <w:szCs w:val="20"/>
          <w:color w:val="auto"/>
        </w:rPr>
      </w:pPr>
    </w:p>
    <w:p>
      <w:pPr>
        <w:ind w:right="200" w:firstLine="509"/>
        <w:spacing w:after="0" w:line="297" w:lineRule="auto"/>
        <w:rPr>
          <w:sz w:val="20"/>
          <w:szCs w:val="20"/>
          <w:color w:val="auto"/>
        </w:rPr>
      </w:pPr>
      <w:r>
        <w:rPr>
          <w:rFonts w:ascii="Arial" w:cs="Arial" w:eastAsia="Arial" w:hAnsi="Arial"/>
          <w:sz w:val="13"/>
          <w:szCs w:val="13"/>
          <w:color w:val="auto"/>
        </w:rPr>
        <w:t>To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Training and Leadership Development</w:t>
      </w:r>
    </w:p>
    <w:p>
      <w:pPr>
        <w:spacing w:after="0" w:line="200" w:lineRule="exact"/>
        <w:rPr>
          <w:sz w:val="20"/>
          <w:szCs w:val="20"/>
          <w:color w:val="auto"/>
        </w:rPr>
      </w:pPr>
    </w:p>
    <w:p>
      <w:pPr>
        <w:ind w:right="300" w:firstLine="509"/>
        <w:spacing w:after="0" w:line="262" w:lineRule="auto"/>
        <w:rPr>
          <w:sz w:val="20"/>
          <w:szCs w:val="20"/>
          <w:color w:val="auto"/>
        </w:rPr>
      </w:pPr>
      <w:r>
        <w:rPr>
          <w:rFonts w:ascii="Arial" w:cs="Arial" w:eastAsia="Arial" w:hAnsi="Arial"/>
          <w:sz w:val="14"/>
          <w:szCs w:val="14"/>
          <w:color w:val="auto"/>
        </w:rPr>
        <w:t>We are committed to the continued development of our people. We provide a multitude of training programs covering topics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Benefits</w:t>
      </w:r>
    </w:p>
    <w:p>
      <w:pPr>
        <w:spacing w:after="0" w:line="200"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8" w:name="page39"/>
    <w:bookmarkEnd w:id="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Tax Considerations</w:t>
      </w:r>
    </w:p>
    <w:p>
      <w:pPr>
        <w:spacing w:after="0" w:line="204"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i w:val="1"/>
          <w:iCs w:val="1"/>
          <w:color w:val="auto"/>
        </w:rPr>
        <w:t>The following is a brief summary of certain material tax considerations of owning and disposing of common units, however, the tax consequences of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Arial" w:cs="Arial" w:eastAsia="Arial" w:hAnsi="Arial"/>
          <w:sz w:val="13"/>
          <w:szCs w:val="13"/>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Partnership Status; Cash Distributions</w:t>
      </w:r>
    </w:p>
    <w:p>
      <w:pPr>
        <w:spacing w:after="0" w:line="200"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Partnership Allocations</w:t>
      </w:r>
    </w:p>
    <w:p>
      <w:pPr>
        <w:spacing w:after="0" w:line="200" w:lineRule="exact"/>
        <w:rPr>
          <w:sz w:val="20"/>
          <w:szCs w:val="20"/>
          <w:color w:val="auto"/>
        </w:rPr>
      </w:pPr>
    </w:p>
    <w:p>
      <w:pPr>
        <w:ind w:right="80" w:firstLine="509"/>
        <w:spacing w:after="0" w:line="257" w:lineRule="auto"/>
        <w:rPr>
          <w:sz w:val="20"/>
          <w:szCs w:val="20"/>
          <w:color w:val="auto"/>
        </w:rPr>
      </w:pPr>
      <w:r>
        <w:rPr>
          <w:rFonts w:ascii="Arial" w:cs="Arial" w:eastAsia="Arial" w:hAnsi="Arial"/>
          <w:sz w:val="14"/>
          <w:szCs w:val="14"/>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Common Units</w:t>
      </w:r>
    </w:p>
    <w:p>
      <w:pPr>
        <w:spacing w:after="0" w:line="200"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9" w:name="page40"/>
    <w:bookmarkEnd w:id="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on Deductibility of Partnership Losses</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72"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56"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For taxpayers other than corporations in taxable years beginning after December 31, 2020,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on Interest Deductions</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0" w:name="page41"/>
    <w:bookmarkEnd w:id="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754 Election</w:t>
      </w:r>
    </w:p>
    <w:p>
      <w:pPr>
        <w:spacing w:after="0" w:line="200"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Disposition of Common Units</w:t>
      </w:r>
    </w:p>
    <w:p>
      <w:pPr>
        <w:spacing w:after="0" w:line="200"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Local and Other Tax Considerations</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68"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Ownership of Common Units by Tax-Exempt Organizations and Certain Other Investors</w:t>
      </w:r>
    </w:p>
    <w:p>
      <w:pPr>
        <w:spacing w:after="0" w:line="200"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168"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Moreover, under Section 1446(f) of the Code,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provide that withholding on a transfer of an interest in a publicly traded partnership will not be imposed on a transfer that occurs prior to January 1, 2022, and administrative guidance from the IRS further provides that the applicability date under the Section 1446(f) withholding obligations has been deferred until January 1, 2023.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common units.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Procedures</w:t>
      </w:r>
    </w:p>
    <w:p>
      <w:pPr>
        <w:spacing w:after="0" w:line="179" w:lineRule="exact"/>
        <w:rPr>
          <w:sz w:val="20"/>
          <w:szCs w:val="20"/>
          <w:color w:val="auto"/>
        </w:rPr>
      </w:pPr>
    </w:p>
    <w:p>
      <w:pPr>
        <w:ind w:right="120" w:firstLine="509"/>
        <w:spacing w:after="0" w:line="309" w:lineRule="auto"/>
        <w:rPr>
          <w:sz w:val="20"/>
          <w:szCs w:val="20"/>
          <w:color w:val="auto"/>
        </w:rPr>
      </w:pPr>
      <w:r>
        <w:rPr>
          <w:rFonts w:ascii="Arial" w:cs="Arial" w:eastAsia="Arial" w:hAnsi="Arial"/>
          <w:sz w:val="12"/>
          <w:szCs w:val="12"/>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04"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 xml:space="preserve">We make available, free of charge on our Internet website at </w:t>
      </w:r>
      <w:r>
        <w:rPr>
          <w:rFonts w:ascii="Arial" w:cs="Arial" w:eastAsia="Arial" w:hAnsi="Arial"/>
          <w:sz w:val="14"/>
          <w:szCs w:val="14"/>
          <w:i w:val="1"/>
          <w:iCs w:val="1"/>
          <w:color w:val="auto"/>
        </w:rPr>
        <w:t>www.plains.com</w:t>
      </w:r>
      <w:r>
        <w:rPr>
          <w:rFonts w:ascii="Arial" w:cs="Arial" w:eastAsia="Arial" w:hAnsi="Arial"/>
          <w:sz w:val="14"/>
          <w:szCs w:val="14"/>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4"/>
          <w:szCs w:val="14"/>
          <w:i w:val="1"/>
          <w:iCs w:val="1"/>
          <w:color w:val="auto"/>
        </w:rPr>
        <w:t>http://www.sec.gov</w:t>
      </w:r>
      <w:r>
        <w:rPr>
          <w:rFonts w:ascii="Arial" w:cs="Arial" w:eastAsia="Arial" w:hAnsi="Arial"/>
          <w:sz w:val="14"/>
          <w:szCs w:val="14"/>
          <w:color w:val="auto"/>
        </w:rPr>
        <w:t>. Our website includes a significant amount of information about us, including financial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93"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business, results of operations, financial condition, cash flows and unit price can be adversely affected by many factors including but not limited to:</w:t>
      </w:r>
    </w:p>
    <w:p>
      <w:pPr>
        <w:spacing w:after="0" w:line="200" w:lineRule="exact"/>
        <w:rPr>
          <w:sz w:val="20"/>
          <w:szCs w:val="20"/>
          <w:color w:val="auto"/>
        </w:rPr>
      </w:pPr>
    </w:p>
    <w:p>
      <w:pPr>
        <w:ind w:left="5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volume of crude oil, natural gas and NGL shipped, processed, purchased, stored, fractionated and/or gathered at or through the use of our facilities, which can be negatively impacted by a variety of factors outside of our control;</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competition in our industry, including recontracting and other risks associated with the general capacity overbuild of midstream energy infrastructure in some of the areas where we operate;</w:t>
      </w:r>
    </w:p>
    <w:p>
      <w:pPr>
        <w:spacing w:after="0" w:line="74" w:lineRule="exact"/>
        <w:rPr>
          <w:rFonts w:ascii="Arial" w:cs="Arial" w:eastAsia="Arial" w:hAnsi="Arial"/>
          <w:sz w:val="12"/>
          <w:szCs w:val="12"/>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pandemics, epidemics or other public health emergencies, such as the COVID-19 pandemic;</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supply and demand for the products we handle, which can be caused by a variety of factors outside of our control;</w:t>
      </w:r>
    </w:p>
    <w:p>
      <w:pPr>
        <w:spacing w:after="0" w:line="51" w:lineRule="exact"/>
        <w:rPr>
          <w:rFonts w:ascii="Arial" w:cs="Arial" w:eastAsia="Arial" w:hAnsi="Arial"/>
          <w:sz w:val="14"/>
          <w:szCs w:val="14"/>
          <w:color w:val="auto"/>
        </w:rPr>
      </w:pPr>
    </w:p>
    <w:p>
      <w:pPr>
        <w:ind w:left="52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w:t>
      </w:r>
    </w:p>
    <w:p>
      <w:pPr>
        <w:spacing w:after="0" w:line="14" w:lineRule="exact"/>
        <w:rPr>
          <w:rFonts w:ascii="Arial" w:cs="Arial" w:eastAsia="Arial" w:hAnsi="Arial"/>
          <w:sz w:val="14"/>
          <w:szCs w:val="14"/>
          <w:color w:val="auto"/>
        </w:rPr>
      </w:pPr>
    </w:p>
    <w:p>
      <w:pPr>
        <w:ind w:left="520" w:right="4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cybersecurity attacks, data breaches and other disruptions affecting us, or our service providers, could materially and adversely affect our business, operations, reputation and financial results;</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societal and political pressures from various groups, including opposition to the development or operation of our pipelines and facilities;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increased scrutiny from institutional investors with respect to the perceived social and environmental cost of our industry and our governance structure;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overall forward market for crude oil and NGL, and certain market structures, the absence of pricing volatility and other market factors;</w:t>
      </w:r>
    </w:p>
    <w:p>
      <w:pPr>
        <w:spacing w:after="0" w:line="51" w:lineRule="exact"/>
        <w:rPr>
          <w:rFonts w:ascii="Arial" w:cs="Arial" w:eastAsia="Arial" w:hAnsi="Arial"/>
          <w:sz w:val="14"/>
          <w:szCs w:val="14"/>
          <w:color w:val="auto"/>
        </w:rPr>
      </w:pPr>
    </w:p>
    <w:p>
      <w:pPr>
        <w:ind w:left="520" w:right="24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 inability to fully implement or realize expected returns or other anticipated benefits associated with joint venture and joint ownership arrangements, divestitures, acquisitions and other projects;</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loss of our investment grade credit rating or the ability to receive open credit;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credit risk of our customers and other counterparties we transact with in the ordinary course of business activities;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tightened capital markets or other factors that increase our cost of capital or otherwise limit our access to capital;</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insufficiency of, or non-compliance with, our risk policies;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insurance coverage may not fully cover our losses and we may in the future encounter increased costs related to, and lack of availability of, insurance;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current or future debt levels, or inability to borrow additional funds or capitalize on business opportunities;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currency exchange rates;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difficulties recruiting and retaining our workforce;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 impairment of long-term assets;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significant under-utilization of certain assets due to fixed costs incurred to obtain the right to use such assets;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many of our assets have been in service for many years and require significant expenditures to maintain them. As a result, our maintenance or repair costs may increase in the future;</w:t>
      </w:r>
    </w:p>
    <w:p>
      <w:pPr>
        <w:spacing w:after="0" w:line="62"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do not own all of the land on which our pipelines and facilities are located, which could result in disruptions to our operations; and</w:t>
      </w:r>
    </w:p>
    <w:p>
      <w:pPr>
        <w:spacing w:after="0" w:line="51"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to obtain materials or commodities in the quantity and the quality we need, and at commercially acceptable prices, whether due to supply disruptions, inflation, tariffs, quotas or other factors.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3" w:name="page44"/>
    <w:bookmarkEnd w:id="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Laws and Regulations</w:t>
      </w:r>
    </w:p>
    <w:p>
      <w:pPr>
        <w:spacing w:after="0" w:line="20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Our business may be adversely impacted by existing or new laws, executive orders and regulations relating to protection of the environment and wildlife, operational safety, pandemics, cross-border import/export and tax matters, financial and hedging activities, climate change and related matters.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Inherent in an Investment in Us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partnership structure carries inherent risks, including but not limited to:</w:t>
      </w:r>
    </w:p>
    <w:p>
      <w:pPr>
        <w:spacing w:after="0" w:line="200"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cost reimbursements due to our general partner may be substantial and will reduce our cash available for distribution to unitholders;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distributions are not guaranteed and may fluctuate with our performance and the establishment of financial reserves;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preferred units have rights, preferences and privileges that are not held by, and are preferential to the rights of, holders of our common units;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unitholders may not be able to remove our general partner even if they wish to do so;</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may issue additional common units without unitholder approval, which would dilute a unitholder’s existing ownership interests;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conflicts of interest could arise among our general partner and us or the unitholders.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an Investment in Our Debt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Holders of our debt securities are subject to risks including but not limited to:</w:t>
      </w:r>
    </w:p>
    <w:p>
      <w:pPr>
        <w:spacing w:after="0" w:line="200" w:lineRule="exact"/>
        <w:rPr>
          <w:sz w:val="20"/>
          <w:szCs w:val="20"/>
          <w:color w:val="auto"/>
        </w:rPr>
      </w:pPr>
    </w:p>
    <w:p>
      <w:pPr>
        <w:ind w:left="520" w:right="300" w:hanging="260"/>
        <w:spacing w:after="0" w:line="304" w:lineRule="auto"/>
        <w:tabs>
          <w:tab w:leader="none" w:pos="516"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ind w:left="520" w:hanging="260"/>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do not have the same flexibility as other types of organizations to accumulate cash, which may limit cash available to service our debt securities or to repay them at maturity.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Risks to Common Unitholders and Series B Preferred Unitholders</w:t>
      </w:r>
    </w:p>
    <w:p>
      <w:pPr>
        <w:spacing w:after="0" w:line="204"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Our Common Units or Series B Preferred Units are subject to tax risks, which may adversely impact the value of or market for our units and may reduce our cash available for distribution or debt service, including but not limited to:</w:t>
      </w:r>
    </w:p>
    <w:p>
      <w:pPr>
        <w:spacing w:after="0" w:line="153"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status as a partnership for U.S. federal income tax purposes and not being subject to a material amount of entity-level taxation;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potential legislative, judicial or administrative changes or differing interpretations, possibly applied on a retroactive basis;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potential audit adjustments to our income tax returns for tax years beginning after December 31, 2017, by the IRS or state tax authorities;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IRS or Canada Revenue Agency (“CRA”) contests to the federal income tax positions or inter-country allocations we take;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unitholders may be required to pay taxes on their share of our income even if they do not receive any cash distributions from us;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tax-exempt entities and non-U.S. unitholders face unique tax issues from owning our units;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taxable gain or loss on the disposition of our common units could be more or less than expected;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unitholders may be subject to limitation on their ability to deduct interest expense incurred by us;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unitholders will likely be subject to state, local and non-U.S. taxes and return filing requirements in states and jurisdictions where they do not live as a result of investing in our units; and</w:t>
      </w:r>
    </w:p>
    <w:p>
      <w:pPr>
        <w:spacing w:after="0" w:line="74" w:lineRule="exact"/>
        <w:rPr>
          <w:rFonts w:ascii="Arial" w:cs="Arial" w:eastAsia="Arial" w:hAnsi="Arial"/>
          <w:sz w:val="12"/>
          <w:szCs w:val="12"/>
          <w:color w:val="auto"/>
        </w:rPr>
      </w:pPr>
    </w:p>
    <w:p>
      <w:pPr>
        <w:ind w:left="520" w:right="140" w:hanging="260"/>
        <w:spacing w:after="0" w:line="321" w:lineRule="auto"/>
        <w:tabs>
          <w:tab w:leader="none" w:pos="51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44" w:name="page45"/>
    <w:bookmarkEnd w:id="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204"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5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Drilling activity, crude oil production and benchmark crude oil prices can fluctuate significantly over time. For example, in early 2020, the onset of the COVID-19 pandemic resulted in a swift and material decline in global crude oil demand and crude oil prices, which led to a significant reduction of domestic crude oil, NGL and natural gas production. This had an adverse effect on the demand for the midstream services we offer and the commercial opportunities that are available to us. Future declines in demand, whether due to the continued pandemic or other factors, may have an adverse impact on our financial performance.</w:t>
      </w:r>
    </w:p>
    <w:p>
      <w:pPr>
        <w:spacing w:after="0" w:line="167"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for producers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spacing w:after="0" w:line="168"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Also, except with respect to some of our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53"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16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Our profitability can be negatively affected by a variety of factors stemming from competition in our industry, including risks associated with the general capacity overbuild of midstream energy infrastructure in some of the areas where we operate.</w:t>
      </w:r>
    </w:p>
    <w:p>
      <w:pPr>
        <w:spacing w:after="0" w:line="153"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w:t>
      </w:r>
    </w:p>
    <w:p>
      <w:pPr>
        <w:spacing w:after="0" w:line="171" w:lineRule="exact"/>
        <w:rPr>
          <w:sz w:val="20"/>
          <w:szCs w:val="20"/>
          <w:color w:val="auto"/>
        </w:rPr>
      </w:pPr>
    </w:p>
    <w:p>
      <w:pPr>
        <w:ind w:right="80" w:firstLine="509"/>
        <w:spacing w:after="0" w:line="279" w:lineRule="auto"/>
        <w:rPr>
          <w:sz w:val="20"/>
          <w:szCs w:val="20"/>
          <w:color w:val="auto"/>
        </w:rPr>
      </w:pPr>
      <w:r>
        <w:rPr>
          <w:rFonts w:ascii="Arial" w:cs="Arial" w:eastAsia="Arial" w:hAnsi="Arial"/>
          <w:sz w:val="13"/>
          <w:szCs w:val="13"/>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5" w:name="page46"/>
    <w:bookmarkEnd w:id="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6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6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Our business, results of operations, financial condition, cash flows and unit price can be adversely affected by pandemics, epidemics or other public health emergencies, such as the COVID-19 pandemic.</w:t>
      </w:r>
    </w:p>
    <w:p>
      <w:pPr>
        <w:spacing w:after="0" w:line="154"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4"/>
          <w:szCs w:val="14"/>
          <w:color w:val="auto"/>
        </w:rPr>
        <w:t>Our business, results of operations, financial condition, cash flows and unit price can be adversely affected by pandemics, epidemics or other public health emergencies. The current COVID-19 pandemic caused widespread economic disruption, and resulted in material reductions in demand for crude oil, NGL and other petroleum products, which in turn resulted in significant declines in the volume of crude oil and NGL shipped, processed, purchased, stored, fractionated and/or gathered at or through the use of many of our assets. Future developments in the COVID-19 pandemic or future pandemics, epidemics or other public health emergencies may have similar or greater economic impacts.</w:t>
      </w:r>
    </w:p>
    <w:p>
      <w:pPr>
        <w:spacing w:after="0" w:line="167" w:lineRule="exact"/>
        <w:rPr>
          <w:sz w:val="20"/>
          <w:szCs w:val="20"/>
          <w:color w:val="auto"/>
        </w:rPr>
      </w:pPr>
    </w:p>
    <w:p>
      <w:pPr>
        <w:ind w:right="220" w:firstLine="509"/>
        <w:spacing w:after="0" w:line="297" w:lineRule="auto"/>
        <w:rPr>
          <w:sz w:val="20"/>
          <w:szCs w:val="20"/>
          <w:color w:val="auto"/>
        </w:rPr>
      </w:pPr>
      <w:r>
        <w:rPr>
          <w:rFonts w:ascii="Arial" w:cs="Arial" w:eastAsia="Arial" w:hAnsi="Arial"/>
          <w:sz w:val="13"/>
          <w:szCs w:val="13"/>
          <w:color w:val="auto"/>
        </w:rPr>
        <w:t>Since the onset of the COVID-19 pandemic, many of our support functions have operated remotely for extended periods of time, which presents technical and communication challenges, including increased vulnerability to cybersecurity breaches, risk management oversights or delays in, or disruptions to, communications. In addition, pandemic-related restrictions may adversely impact our ability to operate and maintain our assets, and may adversely impact the supply chain to source goods and services required for our operating activities.</w:t>
      </w:r>
    </w:p>
    <w:p>
      <w:pPr>
        <w:spacing w:after="0" w:line="145"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The long-term impacts of the COVID-19 pandemic remain highly uncertain and depend on a wide variety of factors that are outside of our control, including the development, deployment and effectiveness of vaccines domestically and worldwide; treatments and testing protocols; mutations of the virus resulting in increased transmissibility or severity of the disease or reduced effectiveness of vaccines or treatments; the capacity of our healthcare systems and public health infrastructure to manage current and future outbreaks; and various political and economic considerations. It is unknown how new developments in the pandemic will impact future consumption of petroleum products. As a result, we are unable to predict how market conditions will impact future levels of drilling and production activities in the United States and Canada.</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supply and demand for the products we handle, which can be caused by a variety of factors outside of our control, can negatively affect our operating results.</w:t>
      </w:r>
    </w:p>
    <w:p>
      <w:pPr>
        <w:spacing w:after="0" w:line="211"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Supply and demand for crude oil and other hydrocarbon products we handle is dependent upon a variety of factors, including price, current and future economic conditions,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spacing w:after="0" w:line="170"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spacing w:after="0" w:line="145" w:lineRule="exact"/>
        <w:rPr>
          <w:sz w:val="20"/>
          <w:szCs w:val="20"/>
          <w:color w:val="auto"/>
        </w:rPr>
      </w:pPr>
    </w:p>
    <w:p>
      <w:pPr>
        <w:ind w:right="300" w:firstLine="509"/>
        <w:spacing w:after="0" w:line="262" w:lineRule="auto"/>
        <w:rPr>
          <w:sz w:val="20"/>
          <w:szCs w:val="20"/>
          <w:color w:val="auto"/>
        </w:rPr>
      </w:pPr>
      <w:r>
        <w:rPr>
          <w:rFonts w:ascii="Arial" w:cs="Arial" w:eastAsia="Arial" w:hAnsi="Arial"/>
          <w:sz w:val="14"/>
          <w:szCs w:val="14"/>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67"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63"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b w:val="1"/>
          <w:bCs w:val="1"/>
          <w:i w:val="1"/>
          <w:iCs w:val="1"/>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spacing w:after="0" w:line="145"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future targets of terrorist organizations. Terrorists may target our physical facilities and hackers may attack our electronic and computer systems.</w:t>
      </w:r>
    </w:p>
    <w:p>
      <w:pPr>
        <w:spacing w:after="0" w:line="155" w:lineRule="exact"/>
        <w:rPr>
          <w:sz w:val="20"/>
          <w:szCs w:val="20"/>
          <w:color w:val="auto"/>
        </w:rPr>
      </w:pPr>
    </w:p>
    <w:p>
      <w:pPr>
        <w:ind w:right="60" w:firstLine="509"/>
        <w:spacing w:after="0" w:line="307" w:lineRule="auto"/>
        <w:rPr>
          <w:sz w:val="20"/>
          <w:szCs w:val="20"/>
          <w:color w:val="auto"/>
        </w:rPr>
      </w:pPr>
      <w:r>
        <w:rPr>
          <w:rFonts w:ascii="Arial" w:cs="Arial" w:eastAsia="Arial" w:hAnsi="Arial"/>
          <w:sz w:val="12"/>
          <w:szCs w:val="12"/>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from a week or less for minor incidents to six months or more for major interruptions.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144" w:lineRule="exact"/>
        <w:rPr>
          <w:sz w:val="20"/>
          <w:szCs w:val="20"/>
          <w:color w:val="auto"/>
        </w:rPr>
      </w:pPr>
    </w:p>
    <w:p>
      <w:pPr>
        <w:jc w:val="both"/>
        <w:ind w:right="40" w:firstLine="509"/>
        <w:spacing w:after="0" w:line="297" w:lineRule="auto"/>
        <w:rPr>
          <w:sz w:val="20"/>
          <w:szCs w:val="20"/>
          <w:color w:val="auto"/>
        </w:rPr>
      </w:pPr>
      <w:r>
        <w:rPr>
          <w:rFonts w:ascii="Arial" w:cs="Arial" w:eastAsia="Arial" w:hAnsi="Arial"/>
          <w:sz w:val="13"/>
          <w:szCs w:val="13"/>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7" w:name="page48"/>
    <w:bookmarkEnd w:id="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Cybersecurity attacks, data breaches and other disruptions affecting us, or our service providers, could materially and adversely affect our business, operations, reputation and financial results.</w:t>
      </w:r>
    </w:p>
    <w:p>
      <w:pPr>
        <w:spacing w:after="0" w:line="223"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We are reliant on the continuous and uninterrupted operation of our various technology systems. User access to our sites and information technology systems are critical elements of our operations, as is cloud security and protection against cyber security incidents. In the ordinary course of our business, we collect and store sensitive data in our data centers and on our networks, including intellectual property, proprietary business information, critical operating information and data, information regarding our customers, suppliers, royalty owners and business partners, and personally identifiable information of our employees. We also engage third parties, such as service providers and vendors, who provide a broad array of software, technologies, tools and other products, services and functions that enable us to conduct, monitor and/or protect our business, operations systems and data assets. The secure processing, maintenance and transmission of this information is critical to our operations and business strategy. Despite our security measures, the information technology and infrastructure we rely on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160"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The information technology infrastructure we use is critical to the efficient operation of our business and essential to our ability to perform day-to-day operations. Risks to our information technology systems include: unauthorized or inadvertent extraction of business sensitive, confidential or personal information; denial of access extortion; corruption of information; or disruption of business processes. Breaches of our information technology infrastructure or physical facilities, or other disruptions, could result in damage to our assets, safety incidents, damage to the environment, remediation costs, liability, regulatory enforcement, violation of privacy or securities laws and regulations, the loss of contracts or the inability to fulfil our contractual obligations, any of which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spacing w:after="0" w:line="171" w:lineRule="exact"/>
        <w:rPr>
          <w:sz w:val="20"/>
          <w:szCs w:val="20"/>
          <w:color w:val="auto"/>
        </w:rPr>
      </w:pPr>
    </w:p>
    <w:p>
      <w:pPr>
        <w:jc w:val="both"/>
        <w:ind w:right="100" w:firstLine="509"/>
        <w:spacing w:after="0" w:line="267" w:lineRule="auto"/>
        <w:rPr>
          <w:sz w:val="20"/>
          <w:szCs w:val="20"/>
          <w:color w:val="auto"/>
        </w:rPr>
      </w:pPr>
      <w:r>
        <w:rPr>
          <w:rFonts w:ascii="Arial" w:cs="Arial" w:eastAsia="Arial" w:hAnsi="Arial"/>
          <w:sz w:val="14"/>
          <w:szCs w:val="14"/>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face opposition from various groups to the development or operation of our pipelines and facilities and our business may be subject to societal and political pressures.</w:t>
      </w:r>
    </w:p>
    <w:p>
      <w:pPr>
        <w:spacing w:after="0" w:line="211" w:lineRule="exact"/>
        <w:rPr>
          <w:sz w:val="20"/>
          <w:szCs w:val="20"/>
          <w:color w:val="auto"/>
        </w:rPr>
      </w:pPr>
    </w:p>
    <w:p>
      <w:pPr>
        <w:ind w:right="20" w:firstLine="509"/>
        <w:spacing w:after="0" w:line="307" w:lineRule="auto"/>
        <w:rPr>
          <w:sz w:val="20"/>
          <w:szCs w:val="20"/>
          <w:color w:val="auto"/>
        </w:rPr>
      </w:pPr>
      <w:r>
        <w:rPr>
          <w:rFonts w:ascii="Arial" w:cs="Arial" w:eastAsia="Arial" w:hAnsi="Arial"/>
          <w:sz w:val="12"/>
          <w:szCs w:val="12"/>
          <w:color w:val="auto"/>
        </w:rPr>
        <w:t>We may face opposition to the development or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44"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Recently, 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spacing w:after="0" w:line="167"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are subject to increased scrutiny from institutional investors with respect to the perceived social and environmental cost of our industry and our governance structure, which may adversely impact our ability to raise capital from such investors.</w:t>
      </w:r>
    </w:p>
    <w:p>
      <w:pPr>
        <w:spacing w:after="0" w:line="153" w:lineRule="exact"/>
        <w:rPr>
          <w:sz w:val="20"/>
          <w:szCs w:val="20"/>
          <w:color w:val="auto"/>
        </w:rPr>
      </w:pPr>
    </w:p>
    <w:p>
      <w:pPr>
        <w:jc w:val="both"/>
        <w:ind w:right="80" w:firstLine="509"/>
        <w:spacing w:after="0" w:line="267" w:lineRule="auto"/>
        <w:rPr>
          <w:sz w:val="20"/>
          <w:szCs w:val="20"/>
          <w:color w:val="auto"/>
        </w:rPr>
      </w:pPr>
      <w:r>
        <w:rPr>
          <w:rFonts w:ascii="Arial" w:cs="Arial" w:eastAsia="Arial" w:hAnsi="Arial"/>
          <w:sz w:val="14"/>
          <w:szCs w:val="14"/>
          <w:color w:val="auto"/>
        </w:rPr>
        <w:t>In recent years, certain institutional investors, including public pension funds, have placed increased importance on the implications and social cost of ESG matters. ESG factors are playing an increasingly important role in the investment decisions made by institutional investors, and companies involved in certain industries or with certain governance structures, such as master limited partnerships, are receiving increased scrutiny.</w:t>
      </w:r>
    </w:p>
    <w:p>
      <w:pPr>
        <w:spacing w:after="0" w:line="163" w:lineRule="exact"/>
        <w:rPr>
          <w:sz w:val="20"/>
          <w:szCs w:val="20"/>
          <w:color w:val="auto"/>
        </w:rPr>
      </w:pPr>
    </w:p>
    <w:p>
      <w:pPr>
        <w:ind w:right="180" w:firstLine="509"/>
        <w:spacing w:after="0" w:line="260" w:lineRule="auto"/>
        <w:rPr>
          <w:sz w:val="20"/>
          <w:szCs w:val="20"/>
          <w:color w:val="auto"/>
        </w:rPr>
      </w:pPr>
      <w:r>
        <w:rPr>
          <w:rFonts w:ascii="Arial" w:cs="Arial" w:eastAsia="Arial" w:hAnsi="Arial"/>
          <w:sz w:val="14"/>
          <w:szCs w:val="14"/>
          <w:color w:val="auto"/>
        </w:rPr>
        <w:t>Investors’ increased focus and activism related to ESG and similar matters could constrain our ability to raise capital. Any material limitations on our ability to access capital as a result of such scrutiny could limit our ability to</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obtain future financing on favorable terms, or at all, or could result in increased financing costs in the future. Similarly, such activism could negatively impact our unit price,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spacing w:after="0" w:line="16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Our crude oil and NGL merchant activities are influenced by the overall forward market for crude oil and NGL, and certain market structures, the absence of pricing volatility and other market factors may adversely impact our results.</w:t>
      </w:r>
    </w:p>
    <w:p>
      <w:pPr>
        <w:spacing w:after="0" w:line="153"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time length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172"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Joint ventures, joint ownership arrangements and other projects pose unique challenges and we may not be able to fully implement or realize synergies, expected returns or other anticipated benefits associated with such projects.</w:t>
      </w:r>
    </w:p>
    <w:p>
      <w:pPr>
        <w:spacing w:after="0" w:line="153"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156" w:lineRule="exact"/>
        <w:rPr>
          <w:sz w:val="20"/>
          <w:szCs w:val="20"/>
          <w:color w:val="auto"/>
        </w:rPr>
      </w:pPr>
    </w:p>
    <w:p>
      <w:pPr>
        <w:ind w:right="300" w:firstLine="509"/>
        <w:spacing w:after="0" w:line="267" w:lineRule="auto"/>
        <w:rPr>
          <w:sz w:val="20"/>
          <w:szCs w:val="20"/>
          <w:color w:val="auto"/>
        </w:rPr>
      </w:pPr>
      <w:r>
        <w:rPr>
          <w:rFonts w:ascii="Arial" w:cs="Arial" w:eastAsia="Arial" w:hAnsi="Arial"/>
          <w:sz w:val="14"/>
          <w:szCs w:val="14"/>
          <w:color w:val="auto"/>
        </w:rPr>
        <w:t>We are undertaking, or are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our control, including the following:</w:t>
      </w:r>
    </w:p>
    <w:p>
      <w:pPr>
        <w:spacing w:after="0" w:line="163" w:lineRule="exact"/>
        <w:rPr>
          <w:sz w:val="20"/>
          <w:szCs w:val="20"/>
          <w:color w:val="auto"/>
        </w:rPr>
      </w:pPr>
    </w:p>
    <w:p>
      <w:pPr>
        <w:ind w:left="760" w:right="180" w:hanging="246"/>
        <w:spacing w:after="0" w:line="281"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may be unable to realize our forecasted commercial, operational or administrative synergies in connection with our joint ventures and joint ownership arrangements, including the Plains Oryx Permian Basin LLC joint venture;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9" w:name="page50"/>
    <w:bookmarkEnd w:id="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hanging="246"/>
        <w:spacing w:after="0"/>
        <w:tabs>
          <w:tab w:leader="none" w:pos="7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Joint ventures and other joint ownership arrangements may demand substantial internal resources and may divert resources and attention from other areas of our business;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construct pipelines, facilities or other assets in anticipation of market demand that dissipates or market growth that never materializes;</w:t>
      </w:r>
    </w:p>
    <w:p>
      <w:pPr>
        <w:spacing w:after="0" w:line="93" w:lineRule="exact"/>
        <w:rPr>
          <w:rFonts w:ascii="Arial" w:cs="Arial" w:eastAsia="Arial" w:hAnsi="Arial"/>
          <w:sz w:val="14"/>
          <w:szCs w:val="14"/>
          <w:color w:val="auto"/>
        </w:rPr>
      </w:pPr>
    </w:p>
    <w:p>
      <w:pPr>
        <w:ind w:left="760" w:right="40" w:hanging="246"/>
        <w:spacing w:after="0" w:line="267"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6"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47" w:lineRule="exact"/>
        <w:rPr>
          <w:rFonts w:ascii="Arial" w:cs="Arial" w:eastAsia="Arial" w:hAnsi="Arial"/>
          <w:sz w:val="14"/>
          <w:szCs w:val="14"/>
          <w:color w:val="auto"/>
        </w:rPr>
      </w:pPr>
    </w:p>
    <w:p>
      <w:pPr>
        <w:ind w:left="760" w:right="28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face opposition to our planned projects from environmental groups, landowners, local groups and other advocates, including lawsuits or other actions designed to disrupt or delay our planned projects;</w:t>
      </w:r>
    </w:p>
    <w:p>
      <w:pPr>
        <w:spacing w:after="0" w:line="47"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47" w:lineRule="exact"/>
        <w:rPr>
          <w:rFonts w:ascii="Arial" w:cs="Arial" w:eastAsia="Arial" w:hAnsi="Arial"/>
          <w:sz w:val="14"/>
          <w:szCs w:val="14"/>
          <w:color w:val="auto"/>
        </w:rPr>
      </w:pPr>
    </w:p>
    <w:p>
      <w:pPr>
        <w:ind w:left="760" w:right="60" w:hanging="246"/>
        <w:spacing w:after="0" w:line="267"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5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completion or success of our projects may depend on the completion or success of third-party facilities over which we have no control.</w:t>
      </w:r>
    </w:p>
    <w:p>
      <w:pPr>
        <w:spacing w:after="0" w:line="200"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As a result of these uncertainties, the anticipated benefits associated with our joint ventures and joint ownership arrangements may not be achieved or could be delayed. In turn, this could negatively impact our cash flow and our ability to make or increase cash distributions to our partners.</w:t>
      </w:r>
    </w:p>
    <w:p>
      <w:pPr>
        <w:spacing w:after="0" w:line="153"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53"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the credit risk of our customers and other counterparties we transact with in the ordinary course of our business activities.</w:t>
      </w:r>
    </w:p>
    <w:p>
      <w:pPr>
        <w:spacing w:after="0" w:line="20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Risks of nonpayment and nonperformance by customers or other counterparties are a significant consideration in our business, and the economic fallout of the COVID-19 pandemic has had an adverse impact on the creditworthiness of many companies in the energy sector.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68"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We have a number of minimum volume commitment contracts that support our pipelines. In addition, certain of the pipelines in which we own a joint venture interest have minimum volume commitment contracts. Pursuant to such contracts,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0" w:name="page51"/>
    <w:bookmarkEnd w:id="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68"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63"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6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63"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231F20"/>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commodity and/or foreign currency derivatives could expose us to additional interest rate, commodity price and/or foreign currency risk.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 and acquisitions involve risks that may adversely affect our business.</w:t>
      </w:r>
    </w:p>
    <w:p>
      <w:pPr>
        <w:spacing w:after="0" w:line="200"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Our ability to execute our financial strategy is in part dependent on our ability to complete strategic transactions, including acquisitions, divestitures or sales of interests to strategic partners. For example, if we are unable to successfully complete planned divestitures (due to reduced investment in the energy sector, governmental action, litigation, counterparty non-performance or other factors), it may be more difficult for us to achieve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Acquisitions also involve potential risks, including:</w:t>
      </w:r>
    </w:p>
    <w:p>
      <w:pPr>
        <w:spacing w:after="0" w:line="200" w:lineRule="exact"/>
        <w:rPr>
          <w:sz w:val="20"/>
          <w:szCs w:val="20"/>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performance from the acquired businesses or assets that is below the forecasts we used in evaluating the acquisition;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significant increase in our indebtedness and working capital requirements;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inability to timely and effectively integrate the operations of recently acquired businesses or assets;</w:t>
      </w:r>
    </w:p>
    <w:p>
      <w:pPr>
        <w:spacing w:after="0" w:line="93" w:lineRule="exact"/>
        <w:rPr>
          <w:rFonts w:ascii="Arial" w:cs="Arial" w:eastAsia="Arial" w:hAnsi="Arial"/>
          <w:sz w:val="14"/>
          <w:szCs w:val="14"/>
          <w:color w:val="auto"/>
        </w:rPr>
      </w:pPr>
    </w:p>
    <w:p>
      <w:pPr>
        <w:ind w:left="760" w:right="38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risks associated with operating in lines of business that are distinct and separate from our historical operations;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customer or key employee loss from the acquired businesses;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diversion of management’s attention from other business concerns.</w:t>
      </w:r>
    </w:p>
    <w:p>
      <w:pPr>
        <w:spacing w:after="0" w:line="200"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Any of these factors could adversely affect our ability to achieve anticipated levels of cash flows or other benefits from our acquisitions, pay distributions to our partners or meet our debt service requirements.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1" w:name="page52"/>
    <w:bookmarkEnd w:id="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211" w:lineRule="exact"/>
        <w:rPr>
          <w:sz w:val="20"/>
          <w:szCs w:val="20"/>
          <w:color w:val="auto"/>
        </w:rPr>
      </w:pPr>
    </w:p>
    <w:p>
      <w:pPr>
        <w:ind w:right="260" w:firstLine="509"/>
        <w:spacing w:after="0" w:line="262" w:lineRule="auto"/>
        <w:rPr>
          <w:sz w:val="20"/>
          <w:szCs w:val="20"/>
          <w:color w:val="auto"/>
        </w:rPr>
      </w:pPr>
      <w:r>
        <w:rPr>
          <w:rFonts w:ascii="Arial" w:cs="Arial" w:eastAsia="Arial" w:hAnsi="Arial"/>
          <w:sz w:val="14"/>
          <w:szCs w:val="14"/>
          <w:color w:val="auto"/>
        </w:rPr>
        <w:t>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67" w:lineRule="exact"/>
        <w:rPr>
          <w:sz w:val="20"/>
          <w:szCs w:val="20"/>
          <w:color w:val="auto"/>
        </w:rPr>
      </w:pPr>
    </w:p>
    <w:p>
      <w:pPr>
        <w:ind w:right="80" w:firstLine="509"/>
        <w:spacing w:after="0" w:line="331" w:lineRule="auto"/>
        <w:rPr>
          <w:sz w:val="20"/>
          <w:szCs w:val="20"/>
          <w:color w:val="auto"/>
        </w:rPr>
      </w:pPr>
      <w:r>
        <w:rPr>
          <w:rFonts w:ascii="Arial" w:cs="Arial" w:eastAsia="Arial" w:hAnsi="Arial"/>
          <w:sz w:val="12"/>
          <w:szCs w:val="12"/>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risk policies cannot eliminate all risks and the insufficiency of, or non-compliance with our risk policies could result in significant financial losses.</w:t>
      </w:r>
    </w:p>
    <w:p>
      <w:pPr>
        <w:spacing w:after="0" w:line="200" w:lineRule="exact"/>
        <w:rPr>
          <w:sz w:val="20"/>
          <w:szCs w:val="20"/>
          <w:color w:val="auto"/>
        </w:rPr>
      </w:pPr>
    </w:p>
    <w:p>
      <w:pPr>
        <w:ind w:firstLine="509"/>
        <w:spacing w:after="0" w:line="304" w:lineRule="auto"/>
        <w:rPr>
          <w:sz w:val="20"/>
          <w:szCs w:val="20"/>
          <w:color w:val="auto"/>
        </w:rPr>
      </w:pPr>
      <w:r>
        <w:rPr>
          <w:rFonts w:ascii="Arial" w:cs="Arial" w:eastAsia="Arial" w:hAnsi="Arial"/>
          <w:sz w:val="12"/>
          <w:szCs w:val="12"/>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146"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coverage may not fully cover our losses and we may in the future encounter increased costs related to, and lack of availability of, insurance.</w:t>
      </w:r>
    </w:p>
    <w:p>
      <w:pPr>
        <w:spacing w:after="0" w:line="200" w:lineRule="exact"/>
        <w:rPr>
          <w:sz w:val="20"/>
          <w:szCs w:val="20"/>
          <w:color w:val="auto"/>
        </w:rPr>
      </w:pPr>
    </w:p>
    <w:p>
      <w:pPr>
        <w:ind w:right="60" w:firstLine="509"/>
        <w:spacing w:after="0" w:line="279" w:lineRule="auto"/>
        <w:rPr>
          <w:sz w:val="20"/>
          <w:szCs w:val="20"/>
          <w:color w:val="auto"/>
        </w:rPr>
      </w:pPr>
      <w:r>
        <w:rPr>
          <w:rFonts w:ascii="Arial" w:cs="Arial" w:eastAsia="Arial" w:hAnsi="Arial"/>
          <w:sz w:val="13"/>
          <w:szCs w:val="13"/>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153"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As of December 31, 2021, the face value of our consolidated debt outstanding was approximately $9.3 billion (excluding unamortized discounts and debt issuance costs of approximately $54 million), consisting of approximately $8.5 billion face value of long-term debt (including senior notes and finance lease obligations) and approximately $0.8 billion of short-term borrowings. As of December 31, 2021, we had over $3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amount of our current or future indebtedness could have significant effects on our operations, including, among other things:</w:t>
      </w:r>
    </w:p>
    <w:p>
      <w:pPr>
        <w:spacing w:after="0" w:line="200" w:lineRule="exact"/>
        <w:rPr>
          <w:sz w:val="20"/>
          <w:szCs w:val="20"/>
          <w:color w:val="auto"/>
        </w:rPr>
      </w:pPr>
    </w:p>
    <w:p>
      <w:pPr>
        <w:ind w:left="760" w:right="14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credit rating agencies may view our debt level negatively;</w:t>
      </w:r>
    </w:p>
    <w:p>
      <w:pPr>
        <w:spacing w:after="0" w:line="93" w:lineRule="exact"/>
        <w:rPr>
          <w:rFonts w:ascii="Arial" w:cs="Arial" w:eastAsia="Arial" w:hAnsi="Arial"/>
          <w:sz w:val="14"/>
          <w:szCs w:val="14"/>
          <w:color w:val="auto"/>
        </w:rPr>
      </w:pPr>
    </w:p>
    <w:p>
      <w:pPr>
        <w:ind w:left="760" w:right="18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covenants contained in our existing debt arrangements will require us to continue to meet financial tests that may adversely affect our flexibility to plan for and react to changes in our business;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obtain additional financing for working capital, capital expenditures, acquisitions and general partnership purposes may be limited;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be at a competitive disadvantage relative to similar companies that have less debt;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be more vulnerable to adverse economic and industry conditions as a result of our significant debt level.</w:t>
      </w:r>
    </w:p>
    <w:p>
      <w:pPr>
        <w:spacing w:after="0" w:line="200"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55" w:lineRule="exact"/>
        <w:rPr>
          <w:sz w:val="20"/>
          <w:szCs w:val="20"/>
          <w:color w:val="auto"/>
        </w:rPr>
      </w:pPr>
    </w:p>
    <w:p>
      <w:pPr>
        <w:ind w:right="120" w:firstLine="509"/>
        <w:spacing w:after="0" w:line="279" w:lineRule="auto"/>
        <w:rPr>
          <w:sz w:val="20"/>
          <w:szCs w:val="20"/>
          <w:color w:val="auto"/>
        </w:rPr>
      </w:pPr>
      <w:r>
        <w:rPr>
          <w:rFonts w:ascii="Arial" w:cs="Arial" w:eastAsia="Arial" w:hAnsi="Arial"/>
          <w:sz w:val="13"/>
          <w:szCs w:val="13"/>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interest rates could adversely affect our business and the trading price of our units.</w:t>
      </w:r>
    </w:p>
    <w:p>
      <w:pPr>
        <w:spacing w:after="0" w:line="200" w:lineRule="exact"/>
        <w:rPr>
          <w:sz w:val="20"/>
          <w:szCs w:val="20"/>
          <w:color w:val="auto"/>
        </w:rPr>
      </w:pPr>
    </w:p>
    <w:p>
      <w:pPr>
        <w:ind w:right="80" w:firstLine="509"/>
        <w:spacing w:after="0" w:line="284" w:lineRule="auto"/>
        <w:rPr>
          <w:sz w:val="20"/>
          <w:szCs w:val="20"/>
          <w:color w:val="auto"/>
        </w:rPr>
      </w:pPr>
      <w:r>
        <w:rPr>
          <w:rFonts w:ascii="Arial" w:cs="Arial" w:eastAsia="Arial" w:hAnsi="Arial"/>
          <w:sz w:val="13"/>
          <w:szCs w:val="13"/>
          <w:color w:val="auto"/>
        </w:rPr>
        <w:t>As of December 31, 2021, the face value of our consolidated debt was approximately $9.3 billion (excluding unamortized discounts and debt issuance costs of approximately $54 million), substantially all of which was at fixed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merchant activities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currency exchange rates could adversely affect our operating results.</w:t>
      </w:r>
    </w:p>
    <w:p>
      <w:pPr>
        <w:spacing w:after="0" w:line="200"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requires the retention and recruitment of a skilled workforce, and difficulties recruiting and retaining our workforce could result in a failure to implement our business plans.</w:t>
      </w:r>
    </w:p>
    <w:p>
      <w:pPr>
        <w:spacing w:after="0" w:line="223"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The COVID-19 pandemic and associated restrictions may also place additional demands on our employees, which may in turn make it more challenging to retain or recruit talented labor. If we are unable to (i) retain current employees; and/or (ii) recruit new employees of comparable knowledge and experience, our business could be negatively impacted. In addition, we could experience increased costs to retain current employees and recruit new employees.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impairment of long-term assets could reduce our earnings.</w:t>
      </w:r>
    </w:p>
    <w:p>
      <w:pPr>
        <w:spacing w:after="0" w:line="200" w:lineRule="exact"/>
        <w:rPr>
          <w:sz w:val="20"/>
          <w:szCs w:val="20"/>
          <w:color w:val="auto"/>
        </w:rPr>
      </w:pPr>
    </w:p>
    <w:p>
      <w:pPr>
        <w:ind w:right="60" w:firstLine="509"/>
        <w:spacing w:after="0" w:line="279" w:lineRule="auto"/>
        <w:rPr>
          <w:sz w:val="20"/>
          <w:szCs w:val="20"/>
          <w:color w:val="auto"/>
        </w:rPr>
      </w:pPr>
      <w:r>
        <w:rPr>
          <w:rFonts w:ascii="Arial" w:cs="Arial" w:eastAsia="Arial" w:hAnsi="Arial"/>
          <w:sz w:val="13"/>
          <w:szCs w:val="13"/>
          <w:color w:val="auto"/>
        </w:rPr>
        <w:t>At December 31, 2021, we had approximately $14.9 billion of net property and equipment, $907 million of linefill, $3.8 billion of investments accounted for under the equity method of accounting and approximately $2.0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2021, we recognized non-cash impairment charges of approximately $695 million related to the write-down of (i) certain pipeline and other long-lived assets and (ii) certain assets upon classification as held for sale. See Note 6 and Note 7 to our Consolidated Financial Statements for additional information regarding these impairments.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use or availability of third-party assets for certain of our operations.</w:t>
      </w:r>
    </w:p>
    <w:p>
      <w:pPr>
        <w:spacing w:after="0" w:line="200"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4" w:name="page55"/>
    <w:bookmarkEnd w:id="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under-utilization of certain assets could significantly reduce our profitability due to fixed costs incurred to obtain the right to use such assets.</w:t>
      </w:r>
    </w:p>
    <w:p>
      <w:pPr>
        <w:spacing w:after="0" w:line="200"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211"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Our pipelines, terminals, storage and processing and fractionation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own all of the land on which our pipelines and facilities are located, which could result in disruptions to our operations.</w:t>
      </w:r>
    </w:p>
    <w:p>
      <w:pPr>
        <w:spacing w:after="0" w:line="200"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73"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If we fail to obtain materials or commodities in the quantity and the quality we need, and at commercially acceptable prices, whether due to supply disruptions, inflation, tariffs, quotas or other factors, our results of operations, financial condition and cash flows could be materially and adversely affected.</w:t>
      </w:r>
    </w:p>
    <w:p>
      <w:pPr>
        <w:spacing w:after="0" w:line="153"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63"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spacing w:after="0" w:line="153"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The COVID-19 pandemic has caused or contributed to widespread macroeconomic impacts, including supply chain disruptions and inflation of prices for commodities, materials, products and shipping, which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spacing w:after="0" w:line="163" w:lineRule="exact"/>
        <w:rPr>
          <w:sz w:val="20"/>
          <w:szCs w:val="20"/>
          <w:color w:val="auto"/>
        </w:rPr>
      </w:pPr>
    </w:p>
    <w:p>
      <w:pPr>
        <w:ind w:right="80" w:firstLine="509"/>
        <w:spacing w:after="0" w:line="321" w:lineRule="auto"/>
        <w:rPr>
          <w:sz w:val="20"/>
          <w:szCs w:val="20"/>
          <w:color w:val="auto"/>
        </w:rPr>
      </w:pPr>
      <w:r>
        <w:rPr>
          <w:rFonts w:ascii="Arial" w:cs="Arial" w:eastAsia="Arial" w:hAnsi="Arial"/>
          <w:sz w:val="13"/>
          <w:szCs w:val="13"/>
          <w:color w:val="auto"/>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maintenance or any significant delays in our ability to complete our infrastructure projects could have a material adverse effect on our financial position, results of operations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Laws and Regulations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Our operations are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163" w:lineRule="exact"/>
        <w:rPr>
          <w:sz w:val="20"/>
          <w:szCs w:val="20"/>
          <w:color w:val="auto"/>
        </w:rPr>
      </w:pPr>
    </w:p>
    <w:p>
      <w:pPr>
        <w:ind w:firstLine="509"/>
        <w:spacing w:after="0" w:line="275" w:lineRule="auto"/>
        <w:rPr>
          <w:sz w:val="20"/>
          <w:szCs w:val="20"/>
          <w:color w:val="auto"/>
        </w:rPr>
      </w:pPr>
      <w:r>
        <w:rPr>
          <w:rFonts w:ascii="Arial" w:cs="Arial" w:eastAsia="Arial" w:hAnsi="Arial"/>
          <w:sz w:val="13"/>
          <w:szCs w:val="13"/>
          <w:color w:val="auto"/>
        </w:rPr>
        <w:t>Our operations involving the storage, treatment, processing, and transportation of liquid hydrocarbons, including crude oil, NGL and refined products,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In addition, criminal violations of certain environmental laws, or in some cases even the allegation of criminal violations, may result in the temporary suspension or outright debarment from participating in government contracts.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operations, revenues, expenses and profitability.</w:t>
      </w:r>
    </w:p>
    <w:p>
      <w:pPr>
        <w:spacing w:after="0" w:line="166" w:lineRule="exact"/>
        <w:rPr>
          <w:sz w:val="20"/>
          <w:szCs w:val="20"/>
          <w:color w:val="auto"/>
        </w:rPr>
      </w:pPr>
    </w:p>
    <w:p>
      <w:pPr>
        <w:ind w:right="60" w:firstLine="509"/>
        <w:spacing w:after="0" w:line="305" w:lineRule="auto"/>
        <w:rPr>
          <w:sz w:val="20"/>
          <w:szCs w:val="20"/>
          <w:color w:val="auto"/>
        </w:rPr>
      </w:pPr>
      <w:r>
        <w:rPr>
          <w:rFonts w:ascii="Arial" w:cs="Arial" w:eastAsia="Arial" w:hAnsi="Arial"/>
          <w:sz w:val="12"/>
          <w:szCs w:val="12"/>
          <w:color w:val="auto"/>
        </w:rPr>
        <w:t>We have a history of making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146" w:lineRule="exact"/>
        <w:rPr>
          <w:sz w:val="20"/>
          <w:szCs w:val="20"/>
          <w:color w:val="auto"/>
        </w:rPr>
      </w:pPr>
    </w:p>
    <w:p>
      <w:pPr>
        <w:ind w:right="160" w:firstLine="509"/>
        <w:spacing w:after="0" w:line="284" w:lineRule="auto"/>
        <w:rPr>
          <w:sz w:val="20"/>
          <w:szCs w:val="20"/>
          <w:color w:val="auto"/>
        </w:rPr>
      </w:pPr>
      <w:r>
        <w:rPr>
          <w:rFonts w:ascii="Arial" w:cs="Arial" w:eastAsia="Arial" w:hAnsi="Arial"/>
          <w:sz w:val="13"/>
          <w:szCs w:val="13"/>
          <w:color w:val="auto"/>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example, Congress, through the PIPES Act of 2020, directed PHMSA to move forward with several regulatory actions.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firstLine="509"/>
        <w:spacing w:after="0" w:line="277" w:lineRule="auto"/>
        <w:rPr>
          <w:sz w:val="20"/>
          <w:szCs w:val="20"/>
          <w:color w:val="auto"/>
        </w:rPr>
      </w:pPr>
      <w:r>
        <w:rPr>
          <w:rFonts w:ascii="Arial" w:cs="Arial" w:eastAsia="Arial" w:hAnsi="Arial"/>
          <w:sz w:val="13"/>
          <w:szCs w:val="13"/>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63"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spacing w:after="0" w:line="163" w:lineRule="exact"/>
        <w:rPr>
          <w:sz w:val="20"/>
          <w:szCs w:val="20"/>
          <w:color w:val="auto"/>
        </w:rPr>
      </w:pPr>
    </w:p>
    <w:p>
      <w:pPr>
        <w:jc w:val="both"/>
        <w:ind w:right="40" w:firstLine="509"/>
        <w:spacing w:after="0" w:line="297" w:lineRule="auto"/>
        <w:rPr>
          <w:sz w:val="20"/>
          <w:szCs w:val="20"/>
          <w:color w:val="auto"/>
        </w:rPr>
      </w:pPr>
      <w:r>
        <w:rPr>
          <w:rFonts w:ascii="Arial" w:cs="Arial" w:eastAsia="Arial" w:hAnsi="Arial"/>
          <w:sz w:val="13"/>
          <w:szCs w:val="13"/>
          <w:color w:val="auto"/>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spacing w:after="0" w:line="145" w:lineRule="exact"/>
        <w:rPr>
          <w:sz w:val="20"/>
          <w:szCs w:val="20"/>
          <w:color w:val="auto"/>
        </w:rPr>
      </w:pPr>
    </w:p>
    <w:p>
      <w:pPr>
        <w:jc w:val="both"/>
        <w:ind w:right="100" w:firstLine="509"/>
        <w:spacing w:after="0" w:line="284" w:lineRule="auto"/>
        <w:rPr>
          <w:sz w:val="20"/>
          <w:szCs w:val="20"/>
          <w:color w:val="auto"/>
        </w:rPr>
      </w:pPr>
      <w:r>
        <w:rPr>
          <w:rFonts w:ascii="Arial" w:cs="Arial" w:eastAsia="Arial" w:hAnsi="Arial"/>
          <w:sz w:val="13"/>
          <w:szCs w:val="13"/>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155"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operations cross the U.S./Canada border and are subject to cross-border regulation.</w:t>
      </w:r>
    </w:p>
    <w:p>
      <w:pPr>
        <w:spacing w:after="0" w:line="200" w:lineRule="exact"/>
        <w:rPr>
          <w:sz w:val="20"/>
          <w:szCs w:val="20"/>
          <w:color w:val="auto"/>
        </w:rPr>
      </w:pPr>
    </w:p>
    <w:p>
      <w:pPr>
        <w:jc w:val="both"/>
        <w:ind w:right="140" w:firstLine="509"/>
        <w:spacing w:after="0" w:line="297" w:lineRule="auto"/>
        <w:rPr>
          <w:sz w:val="20"/>
          <w:szCs w:val="20"/>
          <w:color w:val="auto"/>
        </w:rPr>
      </w:pPr>
      <w:r>
        <w:rPr>
          <w:rFonts w:ascii="Arial" w:cs="Arial" w:eastAsia="Arial" w:hAnsi="Arial"/>
          <w:sz w:val="13"/>
          <w:szCs w:val="13"/>
          <w:color w:val="auto"/>
        </w:rPr>
        <w:t>Our cross border activities subject us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purchases and sales of crude oil, natural gas and NGL, and hedging activities, expose us to potential regulatory risks.</w:t>
      </w:r>
    </w:p>
    <w:p>
      <w:pPr>
        <w:spacing w:after="0" w:line="200"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72"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53" w:lineRule="exact"/>
        <w:rPr>
          <w:sz w:val="20"/>
          <w:szCs w:val="20"/>
          <w:color w:val="auto"/>
        </w:rPr>
      </w:pPr>
    </w:p>
    <w:p>
      <w:pPr>
        <w:jc w:val="both"/>
        <w:ind w:right="20" w:firstLine="509"/>
        <w:spacing w:after="0" w:line="297" w:lineRule="auto"/>
        <w:rPr>
          <w:sz w:val="20"/>
          <w:szCs w:val="20"/>
          <w:color w:val="auto"/>
        </w:rPr>
      </w:pPr>
      <w:r>
        <w:rPr>
          <w:rFonts w:ascii="Arial" w:cs="Arial" w:eastAsia="Arial" w:hAnsi="Arial"/>
          <w:sz w:val="13"/>
          <w:szCs w:val="13"/>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45" w:lineRule="exact"/>
        <w:rPr>
          <w:sz w:val="20"/>
          <w:szCs w:val="20"/>
          <w:color w:val="auto"/>
        </w:rPr>
      </w:pPr>
    </w:p>
    <w:p>
      <w:pPr>
        <w:ind w:right="300" w:firstLine="509"/>
        <w:spacing w:after="0" w:line="321" w:lineRule="auto"/>
        <w:rPr>
          <w:sz w:val="20"/>
          <w:szCs w:val="20"/>
          <w:color w:val="auto"/>
        </w:rPr>
      </w:pPr>
      <w:r>
        <w:rPr>
          <w:rFonts w:ascii="Arial" w:cs="Arial" w:eastAsia="Arial" w:hAnsi="Arial"/>
          <w:sz w:val="13"/>
          <w:szCs w:val="13"/>
          <w:color w:val="auto"/>
        </w:rPr>
        <w:t>In January 2020,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31"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2" w:lineRule="exact"/>
        <w:rPr>
          <w:sz w:val="20"/>
          <w:szCs w:val="20"/>
          <w:color w:val="auto"/>
        </w:rPr>
      </w:pPr>
    </w:p>
    <w:p>
      <w:pPr>
        <w:jc w:val="both"/>
        <w:ind w:right="220" w:firstLine="509"/>
        <w:spacing w:after="0" w:line="319" w:lineRule="auto"/>
        <w:rPr>
          <w:sz w:val="20"/>
          <w:szCs w:val="20"/>
          <w:color w:val="auto"/>
        </w:rPr>
      </w:pPr>
      <w:r>
        <w:rPr>
          <w:rFonts w:ascii="Arial" w:cs="Arial" w:eastAsia="Arial" w:hAnsi="Arial"/>
          <w:sz w:val="12"/>
          <w:szCs w:val="12"/>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136"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other derivatives we utilize in connection with our business, which could expose us to additional risks or limit the opportunities we are able to capture by limiting the extent to which we are able to execute our hedging strategies.</w:t>
      </w:r>
    </w:p>
    <w:p>
      <w:pPr>
        <w:spacing w:after="0" w:line="153" w:lineRule="exact"/>
        <w:rPr>
          <w:sz w:val="20"/>
          <w:szCs w:val="20"/>
          <w:color w:val="auto"/>
        </w:rPr>
      </w:pPr>
    </w:p>
    <w:p>
      <w:pPr>
        <w:ind w:right="520" w:firstLine="509"/>
        <w:spacing w:after="0" w:line="368" w:lineRule="auto"/>
        <w:rPr>
          <w:sz w:val="20"/>
          <w:szCs w:val="20"/>
          <w:color w:val="auto"/>
        </w:rPr>
      </w:pPr>
      <w:r>
        <w:rPr>
          <w:rFonts w:ascii="Arial" w:cs="Arial" w:eastAsia="Arial" w:hAnsi="Arial"/>
          <w:sz w:val="12"/>
          <w:szCs w:val="12"/>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107"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168"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53"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and there have been a variety of legislative and regulatory proposals to prohibit, restrict, or more closely regulate various forms of hydraulic fracturing; for example, the Governor of California issued an order in April 2021 directing the Department of Conservation’s Geologic Energy Management Division to initiate regulatory action to end the issuance of new permits for hydraulic fracturing by January 2024. Moreover, President Biden issued an executive order in January 2021 suspending new oil and gas operations on federal lands and waters. The suspension of the federal leasing activities prompted legal action by several states against the Biden Administration, resulting in issuance of a nationwide preliminary injunction by a federal district judge in Louisiana in June 2021, effectively halting implementation of the leasing suspension but the federal government is appealing the district court decision.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reduce demand for our transportation, terminalling and storage services as well as our merchant activities.</w:t>
      </w:r>
    </w:p>
    <w:p>
      <w:pPr>
        <w:spacing w:after="0" w:line="160" w:lineRule="exact"/>
        <w:rPr>
          <w:sz w:val="20"/>
          <w:szCs w:val="20"/>
          <w:color w:val="auto"/>
        </w:rPr>
      </w:pPr>
    </w:p>
    <w:p>
      <w:pPr>
        <w:ind w:right="320"/>
        <w:spacing w:after="0" w:line="321" w:lineRule="auto"/>
        <w:rPr>
          <w:sz w:val="20"/>
          <w:szCs w:val="20"/>
          <w:color w:val="auto"/>
        </w:rPr>
      </w:pPr>
      <w:r>
        <w:rPr>
          <w:rFonts w:ascii="Arial" w:cs="Arial" w:eastAsia="Arial" w:hAnsi="Arial"/>
          <w:sz w:val="13"/>
          <w:szCs w:val="13"/>
          <w:b w:val="1"/>
          <w:bCs w:val="1"/>
          <w:i w:val="1"/>
          <w:iCs w:val="1"/>
          <w:color w:val="auto"/>
        </w:rPr>
        <w:t>Our and our customers’ operations are subject to various risks arising out of the threat of climate change, energy conservation measures, or initiatives that stimulate demand for alternative forms of energy that could result in increased costs, limits on the areas in which oil and natural gas production may occur and reduced demand for our services.</w:t>
      </w:r>
    </w:p>
    <w:p>
      <w:pPr>
        <w:spacing w:after="0" w:line="131" w:lineRule="exact"/>
        <w:rPr>
          <w:sz w:val="20"/>
          <w:szCs w:val="20"/>
          <w:color w:val="auto"/>
        </w:rPr>
      </w:pPr>
    </w:p>
    <w:p>
      <w:pPr>
        <w:ind w:right="20" w:firstLine="509"/>
        <w:spacing w:after="0" w:line="279" w:lineRule="auto"/>
        <w:rPr>
          <w:sz w:val="20"/>
          <w:szCs w:val="20"/>
          <w:color w:val="auto"/>
        </w:rPr>
      </w:pPr>
      <w:r>
        <w:rPr>
          <w:rFonts w:ascii="Arial" w:cs="Arial" w:eastAsia="Arial" w:hAnsi="Arial"/>
          <w:sz w:val="13"/>
          <w:szCs w:val="13"/>
          <w:color w:val="auto"/>
        </w:rPr>
        <w:t>Our and our customers’ operations are subject to a number of risks arising out of the threat of climate change, energy conservation measures, or initiatives that stimulate demand for alternative forms of energy that could result in increased operating costs, limits on the areas in which oil and natural gas production may occur, and reduced demand for the crude oil and natural gas. Risks arising out of the threat of climate change, fuel conservation measures, governmental requirements for renewable energy resources, increasing consumer demand for alternative forms of energy, and technological advances in fuel economy and energy generation devices may create new competitive conditions that result in reduced demand for the crude oil and natural gas our customers produce and, in turn, the services we provide. The potential impact of changing demand for crude oil and natural gas services and products may have a material adverse effect on our business, financial condition, results of operations and cash flows. See Item 1. Business, “Regulation—Health, Safety and Environmental Regulation—Climate Change Initiatives” for further discussion relating to risks arising out of the threat of climate change and emission of GHGs, climate change activism, energy conservation measures or initiatives that stimulate demand for alternative forms of energy, and physical effects of climate change. One or more of these developments could have an adverse effect on our business, financial condition and results of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Inherent in an Investment in Us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reimbursements due to our general partner may be substantial and will reduce our cash available for distribution to unitholders.</w:t>
      </w:r>
    </w:p>
    <w:p>
      <w:pPr>
        <w:spacing w:after="0" w:line="200"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distributions are not guaranteed and may fluctuate with our performance and the establishment of financial reserves.</w:t>
      </w:r>
    </w:p>
    <w:p>
      <w:pPr>
        <w:spacing w:after="0" w:line="200" w:lineRule="exact"/>
        <w:rPr>
          <w:sz w:val="20"/>
          <w:szCs w:val="20"/>
          <w:color w:val="auto"/>
        </w:rPr>
      </w:pPr>
    </w:p>
    <w:p>
      <w:pPr>
        <w:ind w:right="160" w:firstLine="509"/>
        <w:spacing w:after="0" w:line="258" w:lineRule="auto"/>
        <w:rPr>
          <w:sz w:val="20"/>
          <w:szCs w:val="20"/>
          <w:color w:val="auto"/>
        </w:rPr>
      </w:pPr>
      <w:r>
        <w:rPr>
          <w:rFonts w:ascii="Arial" w:cs="Arial" w:eastAsia="Arial" w:hAnsi="Arial"/>
          <w:sz w:val="14"/>
          <w:szCs w:val="14"/>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preferred units have rights, preferences and privileges that are not held by, and are preferential to the rights of, holders of our common units.</w:t>
      </w:r>
    </w:p>
    <w:p>
      <w:pPr>
        <w:spacing w:after="0" w:line="200" w:lineRule="exact"/>
        <w:rPr>
          <w:sz w:val="20"/>
          <w:szCs w:val="20"/>
          <w:color w:val="auto"/>
        </w:rPr>
      </w:pPr>
    </w:p>
    <w:p>
      <w:pPr>
        <w:ind w:right="40" w:firstLine="509"/>
        <w:spacing w:after="0" w:line="321" w:lineRule="auto"/>
        <w:rPr>
          <w:sz w:val="20"/>
          <w:szCs w:val="20"/>
          <w:color w:val="auto"/>
        </w:rPr>
      </w:pPr>
      <w:r>
        <w:rPr>
          <w:rFonts w:ascii="Arial" w:cs="Arial" w:eastAsia="Arial" w:hAnsi="Arial"/>
          <w:sz w:val="13"/>
          <w:szCs w:val="13"/>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31"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In addition, distributions on the preferred units accrue and are cumulative, at the rate of 8% per annum with respect to our Series A preferred units and 6.125% with respect to our Series B preferred units on the original issue price.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Unitholders may not be able to remove our general partner even if they wish to do so.</w:t>
      </w:r>
    </w:p>
    <w:p>
      <w:pPr>
        <w:spacing w:after="0" w:line="200" w:lineRule="exact"/>
        <w:rPr>
          <w:sz w:val="20"/>
          <w:szCs w:val="20"/>
          <w:color w:val="auto"/>
        </w:rPr>
      </w:pPr>
    </w:p>
    <w:p>
      <w:pPr>
        <w:ind w:right="60" w:firstLine="509"/>
        <w:spacing w:after="0" w:line="262" w:lineRule="auto"/>
        <w:rPr>
          <w:sz w:val="20"/>
          <w:szCs w:val="20"/>
          <w:color w:val="auto"/>
        </w:rPr>
      </w:pPr>
      <w:r>
        <w:rPr>
          <w:rFonts w:ascii="Arial" w:cs="Arial" w:eastAsia="Arial" w:hAnsi="Arial"/>
          <w:sz w:val="13"/>
          <w:szCs w:val="13"/>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17"/>
          <w:szCs w:val="17"/>
          <w:color w:val="auto"/>
          <w:vertAlign w:val="superscript"/>
        </w:rPr>
        <w:t>2</w:t>
      </w:r>
      <w:r>
        <w:rPr>
          <w:rFonts w:ascii="Arial" w:cs="Arial" w:eastAsia="Arial" w:hAnsi="Arial"/>
          <w:sz w:val="13"/>
          <w:szCs w:val="13"/>
          <w:color w:val="auto"/>
        </w:rPr>
        <w:t>/</w:t>
      </w:r>
      <w:r>
        <w:rPr>
          <w:rFonts w:ascii="Arial" w:cs="Arial" w:eastAsia="Arial" w:hAnsi="Arial"/>
          <w:sz w:val="17"/>
          <w:szCs w:val="17"/>
          <w:color w:val="auto"/>
          <w:vertAlign w:val="subscript"/>
        </w:rPr>
        <w:t>3</w:t>
      </w:r>
      <w:r>
        <w:rPr>
          <w:rFonts w:ascii="Arial" w:cs="Arial" w:eastAsia="Arial" w:hAnsi="Arial"/>
          <w:sz w:val="13"/>
          <w:szCs w:val="13"/>
          <w:color w:val="auto"/>
        </w:rPr>
        <w:t>% of our outstanding units (including units held by our general partner or its affiliates). Because AAP owns approximately 31%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the following provisions of our partnership agreement may discourage a person or group from attempting to remove our general partner or otherwise change our management:</w:t>
      </w:r>
    </w:p>
    <w:p>
      <w:pPr>
        <w:spacing w:after="0" w:line="211" w:lineRule="exact"/>
        <w:rPr>
          <w:sz w:val="20"/>
          <w:szCs w:val="20"/>
          <w:color w:val="auto"/>
        </w:rPr>
      </w:pPr>
    </w:p>
    <w:p>
      <w:pPr>
        <w:ind w:left="760" w:right="6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0" w:name="page61"/>
    <w:bookmarkEnd w:id="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PAGP GP Board is composed of three classes of directors, which limits our unitholders’ ability to make significant changes to the board in any given year; and</w:t>
      </w:r>
    </w:p>
    <w:p>
      <w:pPr>
        <w:spacing w:after="0" w:line="93" w:lineRule="exact"/>
        <w:rPr>
          <w:rFonts w:ascii="Arial" w:cs="Arial" w:eastAsia="Arial" w:hAnsi="Arial"/>
          <w:sz w:val="14"/>
          <w:szCs w:val="14"/>
          <w:color w:val="auto"/>
        </w:rPr>
      </w:pPr>
    </w:p>
    <w:p>
      <w:pPr>
        <w:ind w:left="760" w:right="440" w:hanging="246"/>
        <w:spacing w:after="0" w:line="281"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a result of these provisions, the price at which our common units will trade may be lower because of the absence or reduction of a takeover premium in the trading price.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issue additional common units without unitholder approval, which would dilute a unitholder’s existing ownership interests.</w:t>
      </w:r>
    </w:p>
    <w:p>
      <w:pPr>
        <w:spacing w:after="0" w:line="20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63"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existing unitholder’s proportionate ownership interest in the Partnership will decrease;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of cash available for distribution on each unit may decrease;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ratio of taxable income to distributions may increase;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relative voting strength of each previously outstanding unit may be diminished;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market price of the common units may decline.</w:t>
      </w:r>
    </w:p>
    <w:p>
      <w:pPr>
        <w:spacing w:after="0" w:line="200"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general partner has a limited call right that may require unitholders to sell their units at an undesirable time or price.</w:t>
      </w:r>
    </w:p>
    <w:p>
      <w:pPr>
        <w:spacing w:after="0" w:line="200"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67"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53"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53" w:lineRule="exact"/>
        <w:rPr>
          <w:sz w:val="20"/>
          <w:szCs w:val="20"/>
          <w:color w:val="auto"/>
        </w:rPr>
      </w:pPr>
    </w:p>
    <w:p>
      <w:pPr>
        <w:ind w:right="300" w:firstLine="509"/>
        <w:spacing w:after="0" w:line="267" w:lineRule="auto"/>
        <w:rPr>
          <w:sz w:val="20"/>
          <w:szCs w:val="20"/>
          <w:color w:val="auto"/>
        </w:rPr>
      </w:pPr>
      <w:r>
        <w:rPr>
          <w:rFonts w:ascii="Arial" w:cs="Arial" w:eastAsia="Arial" w:hAnsi="Arial"/>
          <w:sz w:val="14"/>
          <w:szCs w:val="14"/>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63"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4"/>
          <w:szCs w:val="14"/>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Conflicts of interest could arise among our general partner and us or the unitholders.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conflicts may include the following:</w:t>
      </w:r>
    </w:p>
    <w:p>
      <w:pPr>
        <w:spacing w:after="0" w:line="200" w:lineRule="exact"/>
        <w:rPr>
          <w:sz w:val="20"/>
          <w:szCs w:val="20"/>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under our partnership agreement, we reimburse the general partner for the costs of managing and for operating the partnership;</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of cash expenditures, borrowings and reserves in any quarter may affect available cash to pay quarterly distributions to unitholders;</w:t>
      </w:r>
    </w:p>
    <w:p>
      <w:pPr>
        <w:spacing w:after="0" w:line="93" w:lineRule="exact"/>
        <w:rPr>
          <w:rFonts w:ascii="Arial" w:cs="Arial" w:eastAsia="Arial" w:hAnsi="Arial"/>
          <w:sz w:val="14"/>
          <w:szCs w:val="14"/>
          <w:color w:val="auto"/>
        </w:rPr>
      </w:pPr>
    </w:p>
    <w:p>
      <w:pPr>
        <w:ind w:left="760" w:right="220" w:hanging="246"/>
        <w:spacing w:after="0" w:line="260"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61"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general partner would not breach our partnership agreement by exercising its call rights to purchase limited partnership interests or by assigning its call rights to one of its affiliates or to us.</w:t>
      </w:r>
    </w:p>
    <w:p>
      <w:pPr>
        <w:spacing w:after="0" w:line="153"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53"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167" w:lineRule="exact"/>
        <w:rPr>
          <w:sz w:val="20"/>
          <w:szCs w:val="20"/>
          <w:color w:val="auto"/>
        </w:rPr>
      </w:pPr>
    </w:p>
    <w:p>
      <w:pPr>
        <w:ind w:right="300" w:firstLine="509"/>
        <w:spacing w:after="0" w:line="297" w:lineRule="auto"/>
        <w:rPr>
          <w:sz w:val="20"/>
          <w:szCs w:val="20"/>
          <w:color w:val="auto"/>
        </w:rPr>
      </w:pPr>
      <w:r>
        <w:rPr>
          <w:rFonts w:ascii="Arial" w:cs="Arial" w:eastAsia="Arial" w:hAnsi="Arial"/>
          <w:sz w:val="13"/>
          <w:szCs w:val="13"/>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an Investment in Our Debt Securities</w:t>
      </w:r>
    </w:p>
    <w:p>
      <w:pPr>
        <w:spacing w:after="0" w:line="204" w:lineRule="exact"/>
        <w:rPr>
          <w:sz w:val="20"/>
          <w:szCs w:val="20"/>
          <w:color w:val="auto"/>
        </w:rPr>
      </w:pPr>
    </w:p>
    <w:p>
      <w:pPr>
        <w:ind w:right="500"/>
        <w:spacing w:after="0" w:line="368" w:lineRule="auto"/>
        <w:rPr>
          <w:sz w:val="20"/>
          <w:szCs w:val="20"/>
          <w:color w:val="auto"/>
        </w:rPr>
      </w:pPr>
      <w:r>
        <w:rPr>
          <w:rFonts w:ascii="Arial" w:cs="Arial" w:eastAsia="Arial" w:hAnsi="Arial"/>
          <w:sz w:val="12"/>
          <w:szCs w:val="12"/>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07"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leverage may limit our ability to borrow additional funds, comply with the terms of our indebtedness or capitalize on business opportunities.</w:t>
      </w:r>
    </w:p>
    <w:p>
      <w:pPr>
        <w:spacing w:after="0" w:line="20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leverage is significant in relation to our partners’ capital. At December 31, 2021, the face value of our total outstanding long-term debt was approximately $8.5 billion, and the face value of our total outstanding short-term debt was approximately $0.8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67"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58"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transfer our debt securities may be limited by the absence of an organized trading market.</w:t>
      </w:r>
    </w:p>
    <w:p>
      <w:pPr>
        <w:spacing w:after="0" w:line="200"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63"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53"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21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Unlike a corporation, our partnership agreement requires us to distribute, on a quarterly basis, 100% of our available cash to our unitholders of record.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3" w:name="page64"/>
    <w:bookmarkEnd w:id="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of our operating partnerships in amounts the general partner determines in its reasonable discretion to be necessary or appropriate:</w:t>
      </w:r>
    </w:p>
    <w:p>
      <w:pPr>
        <w:spacing w:after="0" w:line="200" w:lineRule="exact"/>
        <w:rPr>
          <w:sz w:val="20"/>
          <w:szCs w:val="20"/>
          <w:color w:val="auto"/>
        </w:rPr>
      </w:pPr>
    </w:p>
    <w:p>
      <w:pPr>
        <w:ind w:left="760" w:right="8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provide for the proper conduct of our business and the businesses of our operating partnerships (including reserves for future capital expenditures and for our anticipated future credit needs);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comply with applicable law or any loan agreement, security agreement, mortgage, debt instrument or other agreement or obligation;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provide funds to make payments on the preferred units;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provide funds for distributions to our common unitholders for any one or more of the next four calendar quarters.</w:t>
      </w:r>
    </w:p>
    <w:p>
      <w:pPr>
        <w:spacing w:after="0" w:line="94"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Risks to Unitholders</w:t>
      </w:r>
    </w:p>
    <w:p>
      <w:pPr>
        <w:spacing w:after="0" w:line="20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Our tax treatment depends on our status as a partnership for U.S. federal income tax purposes and not being subject to a material amount of entity-level taxation. If the IRS were to treat us as a corporation for federal income tax purposes, or we become subject to entity-level taxation for state or foreign tax purposes, our cash available for distributions to our unitholders would be substantially reduced.</w:t>
      </w:r>
    </w:p>
    <w:p>
      <w:pPr>
        <w:spacing w:after="0" w:line="163" w:lineRule="exact"/>
        <w:rPr>
          <w:sz w:val="20"/>
          <w:szCs w:val="20"/>
          <w:color w:val="auto"/>
        </w:rPr>
      </w:pPr>
    </w:p>
    <w:p>
      <w:pPr>
        <w:jc w:val="both"/>
        <w:ind w:right="40" w:firstLine="509"/>
        <w:spacing w:after="0" w:line="260" w:lineRule="auto"/>
        <w:rPr>
          <w:sz w:val="20"/>
          <w:szCs w:val="20"/>
          <w:color w:val="auto"/>
        </w:rPr>
      </w:pPr>
      <w:r>
        <w:rPr>
          <w:rFonts w:ascii="Arial" w:cs="Arial" w:eastAsia="Arial" w:hAnsi="Arial"/>
          <w:sz w:val="14"/>
          <w:szCs w:val="14"/>
          <w:color w:val="auto"/>
        </w:rPr>
        <w:t>The anticipated after-tax economic benefit of an investment in our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46"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If we were treated as a corporation for federal income tax purposes, we would pay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pacing w:after="0" w:line="15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In addition, several states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spacing w:after="0" w:line="163"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53"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w:t>
      </w:r>
    </w:p>
    <w:p>
      <w:pPr>
        <w:spacing w:after="0" w:line="163"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63" w:lineRule="exact"/>
        <w:rPr>
          <w:sz w:val="20"/>
          <w:szCs w:val="20"/>
          <w:color w:val="auto"/>
        </w:rPr>
      </w:pPr>
    </w:p>
    <w:p>
      <w:pPr>
        <w:ind w:right="160" w:firstLine="573"/>
        <w:spacing w:after="0" w:line="321" w:lineRule="auto"/>
        <w:rPr>
          <w:sz w:val="20"/>
          <w:szCs w:val="20"/>
          <w:color w:val="auto"/>
        </w:rPr>
      </w:pPr>
      <w:r>
        <w:rPr>
          <w:rFonts w:ascii="Arial" w:cs="Arial" w:eastAsia="Arial" w:hAnsi="Arial"/>
          <w:sz w:val="13"/>
          <w:szCs w:val="13"/>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Non-U.S. unitholders will be subject to U.S. taxes and withholding with respect to their income and gain from owning our units.</w:t>
      </w:r>
    </w:p>
    <w:p>
      <w:pPr>
        <w:spacing w:after="0" w:line="200" w:lineRule="exact"/>
        <w:rPr>
          <w:sz w:val="20"/>
          <w:szCs w:val="20"/>
          <w:color w:val="auto"/>
        </w:rPr>
      </w:pPr>
    </w:p>
    <w:p>
      <w:pPr>
        <w:ind w:right="40" w:firstLine="509"/>
        <w:spacing w:after="0" w:line="319" w:lineRule="auto"/>
        <w:rPr>
          <w:sz w:val="20"/>
          <w:szCs w:val="20"/>
          <w:color w:val="auto"/>
        </w:rPr>
      </w:pPr>
      <w:r>
        <w:rPr>
          <w:rFonts w:ascii="Arial" w:cs="Arial" w:eastAsia="Arial" w:hAnsi="Arial"/>
          <w:sz w:val="12"/>
          <w:szCs w:val="12"/>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w:t>
      </w:r>
    </w:p>
    <w:p>
      <w:pPr>
        <w:spacing w:after="0" w:line="136" w:lineRule="exact"/>
        <w:rPr>
          <w:sz w:val="20"/>
          <w:szCs w:val="20"/>
          <w:color w:val="auto"/>
        </w:rPr>
      </w:pPr>
    </w:p>
    <w:p>
      <w:pPr>
        <w:ind w:right="40" w:firstLine="509"/>
        <w:spacing w:after="0" w:line="279" w:lineRule="auto"/>
        <w:rPr>
          <w:sz w:val="20"/>
          <w:szCs w:val="20"/>
          <w:color w:val="auto"/>
        </w:rPr>
      </w:pPr>
      <w:r>
        <w:rPr>
          <w:rFonts w:ascii="Arial" w:cs="Arial" w:eastAsia="Arial" w:hAnsi="Arial"/>
          <w:sz w:val="13"/>
          <w:szCs w:val="13"/>
          <w:color w:val="auto"/>
        </w:rPr>
        <w:t>Moreover, under Section 1446(f) of the Code,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further provide that withholding on a transfer of an interest in a publicly traded partnership will not be imposed on a transfer that occurs prior to January 1, 2022, and administrative guidance from the IRS further provides that the applicability date under the Section 1446(f) withholding obligation has been deferred until January 1, 2023. For a transfer of interest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Risks to Common Unitholders</w:t>
      </w:r>
    </w:p>
    <w:p>
      <w:pPr>
        <w:spacing w:after="0" w:line="204" w:lineRule="exact"/>
        <w:rPr>
          <w:sz w:val="20"/>
          <w:szCs w:val="20"/>
          <w:color w:val="auto"/>
        </w:rPr>
      </w:pPr>
    </w:p>
    <w:p>
      <w:pPr>
        <w:ind w:right="220"/>
        <w:spacing w:after="0" w:line="368" w:lineRule="auto"/>
        <w:rPr>
          <w:sz w:val="20"/>
          <w:szCs w:val="20"/>
          <w:color w:val="auto"/>
        </w:rPr>
      </w:pPr>
      <w:r>
        <w:rPr>
          <w:rFonts w:ascii="Arial" w:cs="Arial" w:eastAsia="Arial" w:hAnsi="Arial"/>
          <w:sz w:val="12"/>
          <w:szCs w:val="12"/>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107"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159"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53" w:lineRule="exact"/>
        <w:rPr>
          <w:sz w:val="20"/>
          <w:szCs w:val="20"/>
          <w:color w:val="auto"/>
        </w:rPr>
      </w:pPr>
    </w:p>
    <w:p>
      <w:pPr>
        <w:jc w:val="both"/>
        <w:ind w:right="200" w:firstLine="509"/>
        <w:spacing w:after="0" w:line="288" w:lineRule="auto"/>
        <w:rPr>
          <w:sz w:val="20"/>
          <w:szCs w:val="20"/>
          <w:color w:val="auto"/>
        </w:rPr>
      </w:pPr>
      <w:r>
        <w:rPr>
          <w:rFonts w:ascii="Arial" w:cs="Arial" w:eastAsia="Arial" w:hAnsi="Arial"/>
          <w:sz w:val="13"/>
          <w:szCs w:val="13"/>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5" w:name="page66"/>
    <w:bookmarkEnd w:id="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partner because the costs will reduce our cash available for distribution or debt service. See Note 15 for additional information regarding CRA challenge of intercompany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unitholders may be required to pay taxes on their share of our income even if they do not receive any cash distributions from us.</w:t>
      </w:r>
    </w:p>
    <w:p>
      <w:pPr>
        <w:spacing w:after="0" w:line="200"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Taxable gain or loss on the disposition of our common units could be more or less than expected.</w:t>
      </w:r>
    </w:p>
    <w:p>
      <w:pPr>
        <w:spacing w:after="0" w:line="200" w:lineRule="exact"/>
        <w:rPr>
          <w:sz w:val="20"/>
          <w:szCs w:val="20"/>
          <w:color w:val="auto"/>
        </w:rPr>
      </w:pPr>
    </w:p>
    <w:p>
      <w:pPr>
        <w:ind w:right="220" w:firstLine="509"/>
        <w:spacing w:after="0" w:line="260" w:lineRule="auto"/>
        <w:rPr>
          <w:sz w:val="20"/>
          <w:szCs w:val="20"/>
          <w:color w:val="auto"/>
        </w:rPr>
      </w:pPr>
      <w:r>
        <w:rPr>
          <w:rFonts w:ascii="Arial" w:cs="Arial" w:eastAsia="Arial" w:hAnsi="Arial"/>
          <w:sz w:val="14"/>
          <w:szCs w:val="14"/>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68"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Unitholders may be subject to limitation on their ability to deduct interest expense incurred by us.</w:t>
      </w:r>
    </w:p>
    <w:p>
      <w:pPr>
        <w:spacing w:after="0" w:line="200"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In general, we are entitled to a deduction for interest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our “business interest” is subject to limitation under these rules, our unitholders will be limited in their ability to deduct their share of any interest expense that has been allocated to them.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As a result, unitholders may be subject to limitation on their ability to deduct interest expense incurred by us.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Tax-exempt entities face unique tax issues from owning our common units that may result in adverse tax consequences to them.</w:t>
      </w:r>
    </w:p>
    <w:p>
      <w:pPr>
        <w:spacing w:after="0" w:line="200"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Tax-exempt entities should consult a tax advisor before investing in our common units.</w:t>
      </w:r>
    </w:p>
    <w:p>
      <w:pPr>
        <w:spacing w:after="0" w:line="163"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53" w:lineRule="exact"/>
        <w:rPr>
          <w:sz w:val="20"/>
          <w:szCs w:val="20"/>
          <w:color w:val="auto"/>
        </w:rPr>
      </w:pPr>
    </w:p>
    <w:p>
      <w:pPr>
        <w:ind w:right="40" w:firstLine="509"/>
        <w:spacing w:after="0" w:line="321" w:lineRule="auto"/>
        <w:rPr>
          <w:sz w:val="20"/>
          <w:szCs w:val="20"/>
          <w:color w:val="auto"/>
        </w:rPr>
      </w:pPr>
      <w:r>
        <w:rPr>
          <w:rFonts w:ascii="Arial" w:cs="Arial" w:eastAsia="Arial" w:hAnsi="Arial"/>
          <w:sz w:val="13"/>
          <w:szCs w:val="13"/>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66" w:name="page67"/>
    <w:bookmarkEnd w:id="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could affect the timing of these tax benefits or the amount of gain from the sale of common units and could have a negative impact on the value of our common units or result in audit adjustments to our unitholders’ tax returns.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223"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spacing w:after="0" w:line="156"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53" w:lineRule="exact"/>
        <w:rPr>
          <w:sz w:val="20"/>
          <w:szCs w:val="20"/>
          <w:color w:val="auto"/>
        </w:rPr>
      </w:pPr>
    </w:p>
    <w:p>
      <w:pPr>
        <w:ind w:right="20" w:firstLine="573"/>
        <w:spacing w:after="0" w:line="297" w:lineRule="auto"/>
        <w:rPr>
          <w:sz w:val="20"/>
          <w:szCs w:val="20"/>
          <w:color w:val="auto"/>
        </w:rPr>
      </w:pPr>
      <w:r>
        <w:rPr>
          <w:rFonts w:ascii="Arial" w:cs="Arial" w:eastAsia="Arial" w:hAnsi="Arial"/>
          <w:sz w:val="13"/>
          <w:szCs w:val="13"/>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45"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6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63"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Because there are no specific rules governing the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7" w:name="page68"/>
    <w:bookmarkEnd w:id="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right="120"/>
        <w:spacing w:after="0" w:line="267" w:lineRule="auto"/>
        <w:rPr>
          <w:sz w:val="20"/>
          <w:szCs w:val="20"/>
          <w:color w:val="auto"/>
        </w:rPr>
      </w:pPr>
      <w:r>
        <w:rPr>
          <w:rFonts w:ascii="Arial" w:cs="Arial" w:eastAsia="Arial" w:hAnsi="Arial"/>
          <w:sz w:val="14"/>
          <w:szCs w:val="14"/>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63"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Taxable income from our non-U.S. businesses is not eligible for the 20% deduction for qualified publicly traded partnership income.</w:t>
      </w:r>
    </w:p>
    <w:p>
      <w:pPr>
        <w:spacing w:after="0" w:line="200"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Risks to Series B Preferred Unitholders</w:t>
      </w:r>
    </w:p>
    <w:p>
      <w:pPr>
        <w:spacing w:after="0" w:line="204" w:lineRule="exact"/>
        <w:rPr>
          <w:sz w:val="20"/>
          <w:szCs w:val="20"/>
          <w:color w:val="auto"/>
        </w:rPr>
      </w:pPr>
    </w:p>
    <w:p>
      <w:pPr>
        <w:ind w:right="180"/>
        <w:spacing w:after="0" w:line="321" w:lineRule="auto"/>
        <w:rPr>
          <w:sz w:val="20"/>
          <w:szCs w:val="20"/>
          <w:color w:val="auto"/>
        </w:rPr>
      </w:pPr>
      <w:r>
        <w:rPr>
          <w:rFonts w:ascii="Arial" w:cs="Arial" w:eastAsia="Arial" w:hAnsi="Arial"/>
          <w:sz w:val="13"/>
          <w:szCs w:val="13"/>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131" w:lineRule="exact"/>
        <w:rPr>
          <w:sz w:val="20"/>
          <w:szCs w:val="20"/>
          <w:color w:val="auto"/>
        </w:rPr>
      </w:pPr>
    </w:p>
    <w:p>
      <w:pPr>
        <w:ind w:right="20" w:firstLine="509"/>
        <w:spacing w:after="0" w:line="277" w:lineRule="auto"/>
        <w:rPr>
          <w:sz w:val="20"/>
          <w:szCs w:val="20"/>
          <w:color w:val="auto"/>
        </w:rPr>
      </w:pPr>
      <w:r>
        <w:rPr>
          <w:rFonts w:ascii="Arial" w:cs="Arial" w:eastAsia="Arial" w:hAnsi="Arial"/>
          <w:sz w:val="13"/>
          <w:szCs w:val="13"/>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semi-annual guaranteed payment distributions on May 15th, 2022 and November 15th, 2022, and thereafter quarterly on February 15th, May 15th, August 15th and November 15th.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60"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Although we expect that a substantial portion of the income we earn will be eligible for the 20% deduction for qualified publicly traded partnership income,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16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8" w:name="page69"/>
    <w:bookmarkEnd w:id="6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163"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holders of our Series B Preferred Units are urged to consult a tax advisor with respect to the consequences of owning our Series B Preferred Units.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1B. </w:t>
      </w:r>
      <w:r>
        <w:rPr>
          <w:rFonts w:ascii="Arial" w:cs="Arial" w:eastAsia="Arial" w:hAnsi="Arial"/>
          <w:sz w:val="14"/>
          <w:szCs w:val="14"/>
          <w:b w:val="1"/>
          <w:bCs w:val="1"/>
          <w:i w:val="1"/>
          <w:iCs w:val="1"/>
          <w:color w:val="auto"/>
        </w:rPr>
        <w:t>Unresolved Staff Comments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required by this item is included in Note 19 to our Consolidated Financial Statements, and is incorporated herein by reference thereto.</w:t>
      </w:r>
    </w:p>
    <w:p>
      <w:pPr>
        <w:spacing w:after="0" w:line="196" w:lineRule="exact"/>
        <w:rPr>
          <w:sz w:val="20"/>
          <w:szCs w:val="20"/>
          <w:color w:val="auto"/>
        </w:rPr>
      </w:pPr>
    </w:p>
    <w:p>
      <w:pPr>
        <w:jc w:val="center"/>
        <w:ind w:right="9380"/>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9" w:name="page70"/>
    <w:bookmarkEnd w:id="6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Market for Registrant’s Common Units, Related Unitholder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Holders and Distributions</w:t>
      </w:r>
    </w:p>
    <w:p>
      <w:pPr>
        <w:spacing w:after="0" w:line="204"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Our common units are listed and traded on The Nasdaq Global Select Market under the symbol “PAA.” As of February 22, 2022, there were 705,043,477 common units outstanding and approximately 95,000 record holders and beneficial owners (held in street name).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cash distributions per common unit pertaining to the quarter presented, which were declared and paid in the following calendar quarter (see the “Cash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Distribution Policy” section below for a discussion of our policy regarding distribution payments):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300" w:type="dxa"/>
            <w:vAlign w:val="bottom"/>
          </w:tcPr>
          <w:p>
            <w:pPr>
              <w:spacing w:after="0"/>
              <w:rPr>
                <w:sz w:val="13"/>
                <w:szCs w:val="13"/>
                <w:color w:val="auto"/>
              </w:rPr>
            </w:pPr>
          </w:p>
        </w:tc>
        <w:tc>
          <w:tcPr>
            <w:tcW w:w="1260" w:type="dxa"/>
            <w:vAlign w:val="bottom"/>
          </w:tcPr>
          <w:p>
            <w:pPr>
              <w:jc w:val="right"/>
              <w:ind w:right="34"/>
              <w:spacing w:after="0"/>
              <w:rPr>
                <w:sz w:val="20"/>
                <w:szCs w:val="20"/>
                <w:color w:val="auto"/>
              </w:rPr>
            </w:pPr>
            <w:r>
              <w:rPr>
                <w:rFonts w:ascii="Arial" w:cs="Arial" w:eastAsia="Arial" w:hAnsi="Arial"/>
                <w:sz w:val="11"/>
                <w:szCs w:val="11"/>
                <w:b w:val="1"/>
                <w:bCs w:val="1"/>
                <w:color w:val="auto"/>
              </w:rPr>
              <w:t>First Quarter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Second Quarter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Arial" w:cs="Arial" w:eastAsia="Arial" w:hAnsi="Arial"/>
                <w:sz w:val="11"/>
                <w:szCs w:val="11"/>
                <w:b w:val="1"/>
                <w:bCs w:val="1"/>
                <w:color w:val="auto"/>
              </w:rPr>
              <w:t>Third Quarter</w:t>
            </w:r>
          </w:p>
        </w:tc>
        <w:tc>
          <w:tcPr>
            <w:tcW w:w="260" w:type="dxa"/>
            <w:vAlign w:val="bottom"/>
          </w:tcPr>
          <w:p>
            <w:pPr>
              <w:spacing w:after="0"/>
              <w:rPr>
                <w:sz w:val="13"/>
                <w:szCs w:val="13"/>
                <w:color w:val="auto"/>
              </w:rPr>
            </w:pPr>
          </w:p>
        </w:tc>
        <w:tc>
          <w:tcPr>
            <w:tcW w:w="1400" w:type="dxa"/>
            <w:vAlign w:val="bottom"/>
          </w:tcPr>
          <w:p>
            <w:pPr>
              <w:jc w:val="right"/>
              <w:ind w:right="374"/>
              <w:spacing w:after="0"/>
              <w:rPr>
                <w:sz w:val="20"/>
                <w:szCs w:val="20"/>
                <w:color w:val="auto"/>
              </w:rPr>
            </w:pPr>
            <w:r>
              <w:rPr>
                <w:rFonts w:ascii="Arial" w:cs="Arial" w:eastAsia="Arial" w:hAnsi="Arial"/>
                <w:sz w:val="11"/>
                <w:szCs w:val="11"/>
                <w:b w:val="1"/>
                <w:bCs w:val="1"/>
                <w:color w:val="auto"/>
              </w:rPr>
              <w:t>Fourth Quarter</w:t>
            </w:r>
          </w:p>
        </w:tc>
      </w:tr>
      <w:tr>
        <w:trPr>
          <w:trHeight w:val="175"/>
        </w:trPr>
        <w:tc>
          <w:tcPr>
            <w:tcW w:w="4300" w:type="dxa"/>
            <w:vAlign w:val="bottom"/>
            <w:tcBorders>
              <w:top w:val="single" w:sz="8" w:color="CCEEFF"/>
            </w:tcBorders>
            <w:shd w:val="clear" w:color="auto" w:fill="CCEEFF"/>
          </w:tcPr>
          <w:p>
            <w:pPr>
              <w:jc w:val="right"/>
              <w:ind w:right="3929"/>
              <w:spacing w:after="0"/>
              <w:rPr>
                <w:sz w:val="20"/>
                <w:szCs w:val="20"/>
                <w:color w:val="auto"/>
              </w:rPr>
            </w:pPr>
            <w:r>
              <w:rPr>
                <w:rFonts w:ascii="Arial" w:cs="Arial" w:eastAsia="Arial" w:hAnsi="Arial"/>
                <w:sz w:val="14"/>
                <w:szCs w:val="14"/>
                <w:b w:val="1"/>
                <w:bCs w:val="1"/>
                <w:color w:val="auto"/>
                <w:w w:val="89"/>
              </w:rPr>
              <w:t>2021</w:t>
            </w:r>
          </w:p>
        </w:tc>
        <w:tc>
          <w:tcPr>
            <w:tcW w:w="1260" w:type="dxa"/>
            <w:vAlign w:val="bottom"/>
            <w:tcBorders>
              <w:top w:val="single" w:sz="8" w:color="auto"/>
            </w:tcBorders>
            <w:shd w:val="clear" w:color="auto" w:fill="CCEEFF"/>
          </w:tcPr>
          <w:p>
            <w:pPr>
              <w:jc w:val="right"/>
              <w:ind w:right="111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113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r>
      <w:tr>
        <w:trPr>
          <w:trHeight w:val="184"/>
        </w:trPr>
        <w:tc>
          <w:tcPr>
            <w:tcW w:w="4300" w:type="dxa"/>
            <w:vAlign w:val="bottom"/>
          </w:tcPr>
          <w:p>
            <w:pPr>
              <w:jc w:val="right"/>
              <w:ind w:right="3929"/>
              <w:spacing w:after="0"/>
              <w:rPr>
                <w:sz w:val="20"/>
                <w:szCs w:val="20"/>
                <w:color w:val="auto"/>
              </w:rPr>
            </w:pPr>
            <w:r>
              <w:rPr>
                <w:rFonts w:ascii="Arial" w:cs="Arial" w:eastAsia="Arial" w:hAnsi="Arial"/>
                <w:sz w:val="14"/>
                <w:szCs w:val="14"/>
                <w:b w:val="1"/>
                <w:bCs w:val="1"/>
                <w:color w:val="auto"/>
                <w:w w:val="89"/>
              </w:rPr>
              <w:t>2020</w:t>
            </w:r>
          </w:p>
        </w:tc>
        <w:tc>
          <w:tcPr>
            <w:tcW w:w="1260" w:type="dxa"/>
            <w:vAlign w:val="bottom"/>
          </w:tcPr>
          <w:p>
            <w:pPr>
              <w:jc w:val="right"/>
              <w:ind w:right="1114"/>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1280" w:type="dxa"/>
            <w:vAlign w:val="bottom"/>
          </w:tcPr>
          <w:p>
            <w:pPr>
              <w:jc w:val="right"/>
              <w:ind w:right="1134"/>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0.18</w:t>
            </w:r>
          </w:p>
        </w:tc>
      </w:tr>
    </w:tbl>
    <w:p>
      <w:pPr>
        <w:spacing w:after="0" w:line="251" w:lineRule="exact"/>
        <w:rPr>
          <w:sz w:val="20"/>
          <w:szCs w:val="20"/>
          <w:color w:val="auto"/>
        </w:rPr>
      </w:pPr>
    </w:p>
    <w:p>
      <w:pPr>
        <w:ind w:right="380" w:firstLine="509"/>
        <w:spacing w:after="0" w:line="281" w:lineRule="auto"/>
        <w:rPr>
          <w:sz w:val="20"/>
          <w:szCs w:val="20"/>
          <w:color w:val="auto"/>
        </w:rPr>
      </w:pPr>
      <w:r>
        <w:rPr>
          <w:rFonts w:ascii="Arial" w:cs="Arial" w:eastAsia="Arial" w:hAnsi="Arial"/>
          <w:sz w:val="14"/>
          <w:szCs w:val="14"/>
          <w:color w:val="auto"/>
        </w:rPr>
        <w:t>Our common units are also used as a form of compensation to our employees and PAGP GP directors. See Note 18 to our Consolidated Financial Statements for additional information regarding our equity-indexed compensation plans.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2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The following graph compares the total unitholder return performance of our common units with the performance of: (i) the Standard &amp; Poor’s 500 Stock Index (“S&amp;P 500”), (ii) the Alerian MLP Index (“AMZX”) and (iii) the Alerian Midstream Energy Index (“AMNA”). The AMZX is a composite of the most prominent energy master limited partnerships that provides investors with a comprehensive benchmark for this asset class. The AMNA is a broad-based composite of North American energy infrastructure companies that provides investors with a comprehensive benchmark for this asset class. We have elected to include the AMNA in addition to the AMZX in this year’s performance graph because we believe that a comparison of our performance to each of these industry indices is useful to investors. The graph assumes that $100 was invested in our common units and each comparison index beginning on December 31, 2016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115570</wp:posOffset>
            </wp:positionV>
            <wp:extent cx="4594860" cy="2290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94860" cy="229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0" w:name="page71"/>
    <w:bookmarkEnd w:id="7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12/31/2019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12/31/2020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12/31/2021</w:t>
            </w:r>
          </w:p>
        </w:tc>
      </w:tr>
      <w:tr>
        <w:trPr>
          <w:trHeight w:val="175"/>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PAA</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w:t>
            </w:r>
          </w:p>
        </w:tc>
      </w:tr>
      <w:tr>
        <w:trPr>
          <w:trHeight w:val="180"/>
        </w:trPr>
        <w:tc>
          <w:tcPr>
            <w:tcW w:w="3260" w:type="dxa"/>
            <w:vAlign w:val="bottom"/>
          </w:tcPr>
          <w:p>
            <w:pPr>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121.83</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116.49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153.17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181.35</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233.41</w:t>
            </w:r>
          </w:p>
        </w:tc>
      </w:tr>
      <w:tr>
        <w:trPr>
          <w:trHeight w:val="181"/>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AMZX</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87.20</w:t>
            </w:r>
          </w:p>
        </w:tc>
      </w:tr>
      <w:tr>
        <w:trPr>
          <w:trHeight w:val="180"/>
        </w:trPr>
        <w:tc>
          <w:tcPr>
            <w:tcW w:w="3260" w:type="dxa"/>
            <w:vAlign w:val="bottom"/>
          </w:tcPr>
          <w:p>
            <w:pPr>
              <w:spacing w:after="0"/>
              <w:rPr>
                <w:sz w:val="20"/>
                <w:szCs w:val="20"/>
                <w:color w:val="auto"/>
              </w:rPr>
            </w:pPr>
            <w:r>
              <w:rPr>
                <w:rFonts w:ascii="Arial" w:cs="Arial" w:eastAsia="Arial" w:hAnsi="Arial"/>
                <w:sz w:val="14"/>
                <w:szCs w:val="14"/>
                <w:color w:val="auto"/>
              </w:rPr>
              <w:t>AMNA</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97.59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84.62</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104.97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80.45</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111.35</w:t>
            </w:r>
          </w:p>
        </w:tc>
      </w:tr>
    </w:tbl>
    <w:p>
      <w:pPr>
        <w:spacing w:after="0" w:line="255"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equity repurchase activity during the fourth quarter of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0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4"/>
              </w:rPr>
              <w:t>Total Number of Common</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1"/>
              </w:rPr>
              <w:t>Average Price Paid per</w:t>
            </w:r>
          </w:p>
        </w:tc>
        <w:tc>
          <w:tcPr>
            <w:tcW w:w="2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Total Number of Common Units</w:t>
            </w:r>
          </w:p>
        </w:tc>
        <w:tc>
          <w:tcPr>
            <w:tcW w:w="100" w:type="dxa"/>
            <w:vAlign w:val="bottom"/>
          </w:tcPr>
          <w:p>
            <w:pPr>
              <w:spacing w:after="0"/>
              <w:rPr>
                <w:sz w:val="10"/>
                <w:szCs w:val="10"/>
                <w:color w:val="auto"/>
              </w:rPr>
            </w:pPr>
          </w:p>
        </w:tc>
        <w:tc>
          <w:tcPr>
            <w:tcW w:w="1980" w:type="dxa"/>
            <w:vAlign w:val="bottom"/>
          </w:tcPr>
          <w:p>
            <w:pPr>
              <w:jc w:val="right"/>
              <w:ind w:right="36"/>
              <w:spacing w:after="0"/>
              <w:rPr>
                <w:sz w:val="20"/>
                <w:szCs w:val="20"/>
                <w:color w:val="auto"/>
              </w:rPr>
            </w:pPr>
            <w:r>
              <w:rPr>
                <w:rFonts w:ascii="Arial" w:cs="Arial" w:eastAsia="Arial" w:hAnsi="Arial"/>
                <w:sz w:val="11"/>
                <w:szCs w:val="11"/>
                <w:b w:val="1"/>
                <w:bCs w:val="1"/>
                <w:color w:val="auto"/>
                <w:w w:val="93"/>
              </w:rPr>
              <w:t>Approximate Dollar Value of Common</w:t>
            </w:r>
          </w:p>
        </w:tc>
        <w:tc>
          <w:tcPr>
            <w:tcW w:w="0" w:type="dxa"/>
            <w:vAlign w:val="bottom"/>
          </w:tcPr>
          <w:p>
            <w:pPr>
              <w:spacing w:after="0"/>
              <w:rPr>
                <w:sz w:val="1"/>
                <w:szCs w:val="1"/>
                <w:color w:val="auto"/>
              </w:rPr>
            </w:pPr>
          </w:p>
        </w:tc>
      </w:tr>
      <w:tr>
        <w:trPr>
          <w:trHeight w:val="106"/>
        </w:trPr>
        <w:tc>
          <w:tcPr>
            <w:tcW w:w="4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06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3"/>
              </w:rPr>
              <w:t>Purchased as Part of Publicly</w:t>
            </w:r>
          </w:p>
        </w:tc>
        <w:tc>
          <w:tcPr>
            <w:tcW w:w="2080" w:type="dxa"/>
            <w:vAlign w:val="bottom"/>
            <w:gridSpan w:val="2"/>
          </w:tcPr>
          <w:p>
            <w:pPr>
              <w:ind w:left="20"/>
              <w:spacing w:after="0" w:line="106" w:lineRule="exact"/>
              <w:rPr>
                <w:sz w:val="20"/>
                <w:szCs w:val="20"/>
                <w:color w:val="auto"/>
              </w:rPr>
            </w:pPr>
            <w:r>
              <w:rPr>
                <w:rFonts w:ascii="Arial" w:cs="Arial" w:eastAsia="Arial" w:hAnsi="Arial"/>
                <w:sz w:val="11"/>
                <w:szCs w:val="11"/>
                <w:b w:val="1"/>
                <w:bCs w:val="1"/>
                <w:color w:val="auto"/>
                <w:w w:val="91"/>
              </w:rPr>
              <w:t>Units that may yet be purchased under the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Units Purchased</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1"/>
                <w:szCs w:val="11"/>
                <w:b w:val="1"/>
                <w:bCs w:val="1"/>
                <w:color w:val="auto"/>
                <w:w w:val="92"/>
              </w:rPr>
              <w:t xml:space="preserve">Common Unit </w:t>
            </w:r>
            <w:r>
              <w:rPr>
                <w:rFonts w:ascii="Arial" w:cs="Arial" w:eastAsia="Arial" w:hAnsi="Arial"/>
                <w:sz w:val="14"/>
                <w:szCs w:val="14"/>
                <w:b w:val="1"/>
                <w:bCs w:val="1"/>
                <w:color w:val="auto"/>
                <w:w w:val="92"/>
                <w:vertAlign w:val="superscript"/>
              </w:rPr>
              <w:t>(1)</w:t>
            </w: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w w:val="90"/>
              </w:rPr>
              <w:t xml:space="preserve">Announced Program </w:t>
            </w:r>
            <w:r>
              <w:rPr>
                <w:rFonts w:ascii="Arial" w:cs="Arial" w:eastAsia="Arial" w:hAnsi="Arial"/>
                <w:sz w:val="14"/>
                <w:szCs w:val="14"/>
                <w:b w:val="1"/>
                <w:bCs w:val="1"/>
                <w:color w:val="auto"/>
                <w:w w:val="90"/>
                <w:vertAlign w:val="superscript"/>
              </w:rPr>
              <w:t>(2)</w:t>
            </w:r>
          </w:p>
        </w:tc>
        <w:tc>
          <w:tcPr>
            <w:tcW w:w="100" w:type="dxa"/>
            <w:vAlign w:val="bottom"/>
          </w:tcPr>
          <w:p>
            <w:pPr>
              <w:spacing w:after="0"/>
              <w:rPr>
                <w:sz w:val="12"/>
                <w:szCs w:val="12"/>
                <w:color w:val="auto"/>
              </w:rPr>
            </w:pPr>
          </w:p>
        </w:tc>
        <w:tc>
          <w:tcPr>
            <w:tcW w:w="1980" w:type="dxa"/>
            <w:vAlign w:val="bottom"/>
          </w:tcPr>
          <w:p>
            <w:pPr>
              <w:jc w:val="right"/>
              <w:ind w:right="696"/>
              <w:spacing w:after="0" w:line="149" w:lineRule="exact"/>
              <w:rPr>
                <w:sz w:val="20"/>
                <w:szCs w:val="20"/>
                <w:color w:val="auto"/>
              </w:rPr>
            </w:pPr>
            <w:r>
              <w:rPr>
                <w:rFonts w:ascii="Arial" w:cs="Arial" w:eastAsia="Arial" w:hAnsi="Arial"/>
                <w:sz w:val="11"/>
                <w:szCs w:val="11"/>
                <w:b w:val="1"/>
                <w:bCs w:val="1"/>
                <w:color w:val="auto"/>
              </w:rPr>
              <w:t xml:space="preserve">Program </w:t>
            </w:r>
            <w:r>
              <w:rPr>
                <w:rFonts w:ascii="Arial" w:cs="Arial" w:eastAsia="Arial" w:hAnsi="Arial"/>
                <w:sz w:val="14"/>
                <w:szCs w:val="14"/>
                <w:color w:val="auto"/>
                <w:vertAlign w:val="superscript"/>
              </w:rPr>
              <w:t>(</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November 1, 2021 - November 30,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3,384,873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3,384,873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296,769,608</w:t>
            </w: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Arial" w:cs="Arial" w:eastAsia="Arial" w:hAnsi="Arial"/>
                <w:sz w:val="14"/>
                <w:szCs w:val="14"/>
                <w:color w:val="auto"/>
              </w:rPr>
              <w:t>December 1, 2021 - December 31, 2021</w:t>
            </w:r>
          </w:p>
        </w:tc>
        <w:tc>
          <w:tcPr>
            <w:tcW w:w="1440" w:type="dxa"/>
            <w:vAlign w:val="bottom"/>
          </w:tcPr>
          <w:p>
            <w:pPr>
              <w:jc w:val="right"/>
              <w:spacing w:after="0"/>
              <w:rPr>
                <w:sz w:val="20"/>
                <w:szCs w:val="20"/>
                <w:color w:val="auto"/>
              </w:rPr>
            </w:pPr>
            <w:r>
              <w:rPr>
                <w:rFonts w:ascii="Arial" w:cs="Arial" w:eastAsia="Arial" w:hAnsi="Arial"/>
                <w:sz w:val="14"/>
                <w:szCs w:val="14"/>
                <w:color w:val="auto"/>
              </w:rPr>
              <w:t>2,759,407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2,759,407</w:t>
            </w:r>
          </w:p>
        </w:tc>
        <w:tc>
          <w:tcPr>
            <w:tcW w:w="1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271,824,798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46570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40" w:lineRule="exact"/>
        <w:rPr>
          <w:sz w:val="20"/>
          <w:szCs w:val="20"/>
          <w:color w:val="auto"/>
        </w:rPr>
      </w:pPr>
    </w:p>
    <w:p>
      <w:pPr>
        <w:ind w:left="500" w:hanging="495"/>
        <w:spacing w:after="0"/>
        <w:tabs>
          <w:tab w:leader="none" w:pos="50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common unit includes costs associated with the repurchases.</w:t>
      </w:r>
    </w:p>
    <w:p>
      <w:pPr>
        <w:spacing w:after="0" w:line="74" w:lineRule="exact"/>
        <w:rPr>
          <w:rFonts w:ascii="Arial" w:cs="Arial" w:eastAsia="Arial" w:hAnsi="Arial"/>
          <w:sz w:val="18"/>
          <w:szCs w:val="18"/>
          <w:color w:val="auto"/>
          <w:vertAlign w:val="superscript"/>
        </w:rPr>
      </w:pPr>
    </w:p>
    <w:p>
      <w:pPr>
        <w:ind w:left="520" w:right="20" w:hanging="515"/>
        <w:spacing w:after="0" w:line="295" w:lineRule="auto"/>
        <w:tabs>
          <w:tab w:leader="none" w:pos="510" w:val="left"/>
        </w:tabs>
        <w:numPr>
          <w:ilvl w:val="0"/>
          <w:numId w:val="38"/>
        </w:numPr>
        <w:rPr>
          <w:rFonts w:ascii="Arial" w:cs="Arial" w:eastAsia="Arial" w:hAnsi="Arial"/>
          <w:sz w:val="15"/>
          <w:szCs w:val="15"/>
          <w:color w:val="auto"/>
          <w:vertAlign w:val="superscript"/>
        </w:rPr>
      </w:pPr>
      <w:r>
        <w:rPr>
          <w:rFonts w:ascii="Arial" w:cs="Arial" w:eastAsia="Arial" w:hAnsi="Arial"/>
          <w:sz w:val="12"/>
          <w:szCs w:val="12"/>
          <w:color w:val="auto"/>
        </w:rPr>
        <w:t>In November 2020, the board of directors of PAA GP Holdings LLC (“PAGP GP”)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Distribution Policy</w:t>
      </w:r>
    </w:p>
    <w:p>
      <w:pPr>
        <w:spacing w:after="0" w:line="204"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for future requirements to:</w:t>
      </w:r>
    </w:p>
    <w:p>
      <w:pPr>
        <w:spacing w:after="0" w:line="163" w:lineRule="exact"/>
        <w:rPr>
          <w:sz w:val="20"/>
          <w:szCs w:val="20"/>
          <w:color w:val="auto"/>
        </w:rPr>
      </w:pPr>
    </w:p>
    <w:p>
      <w:pPr>
        <w:ind w:left="760" w:right="360" w:hanging="246"/>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provide for the proper conduct of our business and the business of our operating partnerships (including reserves for future capital expenditures and for our anticipated future credit needs);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comply with applicable law or any loan agreement, security agreement, mortgage, debt instrument or other agreement or obligation;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provide funds for distributions to our Series A and Series B preferred unitholders or distributions to our common unitholders for any one or more of the next four calendar quarters.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1" w:name="page72"/>
    <w:bookmarkEnd w:id="7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63" w:lineRule="exact"/>
        <w:rPr>
          <w:sz w:val="20"/>
          <w:szCs w:val="20"/>
          <w:color w:val="auto"/>
        </w:rPr>
      </w:pPr>
    </w:p>
    <w:p>
      <w:pPr>
        <w:ind w:right="440" w:firstLine="509"/>
        <w:spacing w:after="0" w:line="281" w:lineRule="auto"/>
        <w:rPr>
          <w:sz w:val="20"/>
          <w:szCs w:val="20"/>
          <w:color w:val="auto"/>
        </w:rPr>
      </w:pPr>
      <w:r>
        <w:rPr>
          <w:rFonts w:ascii="Arial" w:cs="Arial" w:eastAsia="Arial" w:hAnsi="Arial"/>
          <w:sz w:val="14"/>
          <w:szCs w:val="14"/>
          <w:color w:val="auto"/>
        </w:rPr>
        <w:t>Under the terms of our partnership agreement, our Series A preferred units and our Series B preferred units rank senior to all classes or series of equity securities in us with respect to distribution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183"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discussion and analysis includes the following:</w:t>
      </w:r>
    </w:p>
    <w:p>
      <w:pPr>
        <w:spacing w:after="0" w:line="200" w:lineRule="exact"/>
        <w:rPr>
          <w:sz w:val="20"/>
          <w:szCs w:val="20"/>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Executive Summary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Results of Operations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Liquidity and Capital Resources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Critical Accounting Policies and Estimates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Recent Accounting Pronouncements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Overview</w:t>
      </w:r>
    </w:p>
    <w:p>
      <w:pPr>
        <w:spacing w:after="0" w:line="20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Changes</w:t>
      </w:r>
    </w:p>
    <w:p>
      <w:pPr>
        <w:spacing w:after="0" w:line="200"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During the fourth quarter of 2021, we reorganized our historical operating segments: Transportation, Facilities and Supply and Logistics into two operating segments: Crude Oil and Natural Gas Liquids (“NGL”). The change in our segments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w:t>
      </w:r>
    </w:p>
    <w:p>
      <w:pPr>
        <w:spacing w:after="0" w:line="167"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Additionally, 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See Note 7 to our Consolidated Financial Statements for additional information regarding the Permian JV.</w:t>
      </w:r>
    </w:p>
    <w:p>
      <w:pPr>
        <w:spacing w:after="0" w:line="163"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All segment data and related disclosures for earlier periods presented herein have been recast to reflect the new segment reporting structure and the modification to our definition of Segment Adjusted EBITDA. See Note 20 to our Consolidated Financial Statements for additional information.</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72" w:name="page73"/>
    <w:bookmarkEnd w:id="7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Overview and Outlook</w:t>
      </w:r>
    </w:p>
    <w:p>
      <w:pPr>
        <w:spacing w:after="0" w:line="200"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Crude oil and other petroleum liquids are supplied by producers around the world, including the Organization of Petroleum Exporting Countries (“OPEC”) and North American producers, among others. The chart below depicts the relationship between global supply of crude oil and other petroleum liquids and demand since the beginning of 2017 and the U.S. Energy Information Administration’s (“EIA”) Short-Term Energy Outlook as of February 2022:</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World Liquid Fuels Production and Consumption Balance </w:t>
      </w:r>
      <w:r>
        <w:rPr>
          <w:rFonts w:ascii="Arial" w:cs="Arial" w:eastAsia="Arial" w:hAnsi="Arial"/>
          <w:sz w:val="18"/>
          <w:szCs w:val="18"/>
          <w:b w:val="1"/>
          <w:bCs w:val="1"/>
          <w:color w:val="auto"/>
          <w:vertAlign w:val="superscript"/>
        </w:rPr>
        <w:t>(1)</w:t>
      </w:r>
    </w:p>
    <w:p>
      <w:pPr>
        <w:jc w:val="center"/>
        <w:ind w:right="-19"/>
        <w:spacing w:after="0"/>
        <w:rPr>
          <w:sz w:val="20"/>
          <w:szCs w:val="20"/>
          <w:color w:val="auto"/>
        </w:rPr>
      </w:pPr>
      <w:r>
        <w:rPr>
          <w:rFonts w:ascii="Arial" w:cs="Arial" w:eastAsia="Arial" w:hAnsi="Arial"/>
          <w:sz w:val="14"/>
          <w:szCs w:val="14"/>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5490845" cy="2331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90845"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hanging="495"/>
        <w:spacing w:after="0"/>
        <w:tabs>
          <w:tab w:leader="none" w:pos="50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Barrels produced and consumed per quarter.</w:t>
      </w:r>
    </w:p>
    <w:p>
      <w:pPr>
        <w:spacing w:after="0" w:line="266"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Global crude oil demand at the end of 2021 was near pre-COVID levels, with the EIA and other third parties forecasting demand to exceed 2019 levels by late 2022 and continue to grow for the foreseeable future. We believe this demand growth combined with the multi-year backdrop of reduced upstream investment and a continuation of OPEC discipline could further exacerbate many of the supply concerns that emerged in 2021. This includes tight global markets and continued commodity price volatility. As a result, we expect North American energy supply to play a critical long-term role in meeting global demand and the Permian Basin to drive the vast majority of U.S. production growth in the coming years. It is against this macro backdrop that we expect to generate significant positive free cash flow on a multi-year basis, supported by our existing base and integrated business model.</w:t>
      </w:r>
    </w:p>
    <w:p>
      <w:pPr>
        <w:spacing w:after="0" w:line="155" w:lineRule="exact"/>
        <w:rPr>
          <w:sz w:val="20"/>
          <w:szCs w:val="20"/>
          <w:color w:val="auto"/>
        </w:rPr>
      </w:pPr>
    </w:p>
    <w:p>
      <w:pPr>
        <w:ind w:right="140" w:firstLine="509"/>
        <w:spacing w:after="0" w:line="288" w:lineRule="auto"/>
        <w:rPr>
          <w:sz w:val="20"/>
          <w:szCs w:val="20"/>
          <w:color w:val="auto"/>
        </w:rPr>
      </w:pPr>
      <w:r>
        <w:rPr>
          <w:rFonts w:ascii="Arial" w:cs="Arial" w:eastAsia="Arial" w:hAnsi="Arial"/>
          <w:sz w:val="13"/>
          <w:szCs w:val="13"/>
          <w:color w:val="auto"/>
        </w:rPr>
        <w:t>Building on the actions we took in 2020 to ensure that we were well positioned to manage through the pandemic, in 2021 we continued to build momentum and reinforce our long-term positioning. This included further optimizing our asset portfolio including, but not limited to, exceeding our asset sales target, substantially completing our multi-year capital program, and closing a highly strategic joint venture in the Permian Basin through a cashless and debt-free transaction. Additionally, we reduced debt by $1 billion, meaningfully reduced capital expenditures by $230 million versus our initial 2021 guidance, and further streamlined our U.S. and Canadian operations and organizational cost structure.</w:t>
      </w:r>
    </w:p>
    <w:p>
      <w:pPr>
        <w:spacing w:after="0" w:line="15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 See “Risk Factors—Risks Related to Our Business” in Item 1A.</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3" w:name="page74"/>
    <w:bookmarkEnd w:id="7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While some modifications in our operations continue to be necessary to deal with risks associated with the COVID-19 pandemic, we have not experienced any material constraints on our ability to continue our essential business functions and have not incurred any significant additional operating costs as a result of the pandemic.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67"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Many governments have enacted or are contemplating measures to provide aid and economic stimulus in response to the COVID-19 pandemic. These measures include actions by both the United States federal government and the government of Canada. There has been no material direct impact to our financial position, results of operations or cash flows resulting from these measures. However, our Canadian subsidiary participated in a wage subsidy program during 2021 and 2020 for subsidies totaling approximately $7 million and $23 million, respectively. The impact of such subsidies and incremental COVID-19 costs is included in the line items “Field operating costs” and “General and administrative expenses”. See “—Results of Operations” for further discussion.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 of Operating Results</w:t>
      </w:r>
    </w:p>
    <w:p>
      <w:pPr>
        <w:spacing w:after="0" w:line="200"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We recognized net income attributable to PAA of $593 million for the year ended December 31, 2021 compared to a net loss attributable to PAA of $2.590 billion for the year ended December 31, 2020 and net income attributable to PAA of $2.171 billion for the year ended December 31, 2019. The net loss for the 2020 period was primarily driven by the macroeconomic and industry specific challenges discussed above which resulted in goodwill impairment losses and non-cash impairment charges related to the write-down of certain pipeline and other long-lived assets, certain of our investments in unconsolidated entities, and assets upon classification as held for sale totaling approximately $3.4 billion. In addition, we recognized approximately $233 million of inventory valuation adjustments due to declines in commodity prices during the first quarter of 2020. The 2021 period includes a net loss on asset sales and asset impairments of $592 million, a majority of which was related to the write-down of our natural gas storage facilities, which were classified as held for sale in the second quarter and sold in the third quarter.</w:t>
      </w:r>
    </w:p>
    <w:p>
      <w:pPr>
        <w:spacing w:after="0" w:line="156"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Results from our reporting segments were lower for the year ended December 31, 2021 compared to the year ended December 31, 2020 primarily due to less favorable crude oil market conditions.</w:t>
      </w:r>
    </w:p>
    <w:p>
      <w:pPr>
        <w:spacing w:after="0" w:line="153"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Results from our reporting segments were lower for the year ended December 31, 2020 compared to the year ended December 31, 2019 primarily due to less favorable crude oil differentials and NGL sales margins and lower volumes, partially offset by the favorable impact of contango market conditions.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the “—Results of Operations” section below for further discussion.</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74" w:name="page75"/>
    <w:bookmarkEnd w:id="7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Results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an overview of our consolidated financial results calculated in accordance with GAAP (in millions, except per unit amounts):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Variance</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7"/>
        </w:trPr>
        <w:tc>
          <w:tcPr>
            <w:tcW w:w="3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2"/>
                <w:szCs w:val="12"/>
                <w:color w:val="auto"/>
              </w:rPr>
            </w:pPr>
          </w:p>
        </w:tc>
      </w:tr>
      <w:tr>
        <w:trPr>
          <w:trHeight w:val="139"/>
        </w:trPr>
        <w:tc>
          <w:tcPr>
            <w:tcW w:w="39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w:t>
            </w:r>
          </w:p>
        </w:tc>
      </w:tr>
      <w:tr>
        <w:trPr>
          <w:trHeight w:val="172"/>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sales revenues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Services revenues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and related costs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Field operating costs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Goodwill impairment losses</w:t>
            </w: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w w:val="94"/>
              </w:rPr>
              <w:t>Gain on/(impairment of) investments in unconsolidated entities, net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(expense)/benefit</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129 %</w:t>
            </w:r>
          </w:p>
        </w:tc>
      </w:tr>
      <w:tr>
        <w:trPr>
          <w:trHeight w:val="171"/>
        </w:trPr>
        <w:tc>
          <w:tcPr>
            <w:tcW w:w="3960" w:type="dxa"/>
            <w:vAlign w:val="bottom"/>
          </w:tcPr>
          <w:p>
            <w:pPr>
              <w:ind w:left="20"/>
              <w:spacing w:after="0"/>
              <w:rPr>
                <w:sz w:val="20"/>
                <w:szCs w:val="20"/>
                <w:color w:val="auto"/>
              </w:rPr>
            </w:pPr>
            <w:r>
              <w:rPr>
                <w:rFonts w:ascii="Arial" w:cs="Arial" w:eastAsia="Arial" w:hAnsi="Arial"/>
                <w:sz w:val="14"/>
                <w:szCs w:val="14"/>
                <w:color w:val="auto"/>
              </w:rPr>
              <w:t>Net income/(loss)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2,180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180"/>
        </w:trPr>
        <w:tc>
          <w:tcPr>
            <w:tcW w:w="3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attributable to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3960" w:type="dxa"/>
            <w:vAlign w:val="bottom"/>
          </w:tcPr>
          <w:p>
            <w:pPr>
              <w:ind w:left="20"/>
              <w:spacing w:after="0"/>
              <w:rPr>
                <w:sz w:val="20"/>
                <w:szCs w:val="20"/>
                <w:color w:val="auto"/>
              </w:rPr>
            </w:pPr>
            <w:r>
              <w:rPr>
                <w:rFonts w:ascii="Arial" w:cs="Arial" w:eastAsia="Arial" w:hAnsi="Arial"/>
                <w:sz w:val="14"/>
                <w:szCs w:val="14"/>
                <w:color w:val="auto"/>
              </w:rPr>
              <w:t>Net income/(loss) attributable to PAA</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3"/>
        </w:trPr>
        <w:tc>
          <w:tcPr>
            <w:tcW w:w="3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Basic net income/(loss) per common unit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income/(loss) per common unit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Basic weighted average common units outstanding</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weighted average common units outstanding</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46570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tab/>
        <w:t>Indicates that variance as a percentage is not meaningful.</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Revenues and Purchases</w:t>
      </w:r>
    </w:p>
    <w:p>
      <w:pPr>
        <w:spacing w:after="0" w:line="20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5" w:name="page76"/>
    <w:bookmarkEnd w:id="7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A majority of our sales and purchases are indexed to West Texas Intermediate (“WTI”). The following table presents the range of the NYMEX WTI benchmark price of crude oil over the last three years (in dollars per barrel):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NYMEX WTI</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7"/>
        </w:trPr>
        <w:tc>
          <w:tcPr>
            <w:tcW w:w="7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5"/>
              </w:rPr>
              <w:t>Crude Oil Price</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40"/>
        </w:trPr>
        <w:tc>
          <w:tcPr>
            <w:tcW w:w="7500" w:type="dxa"/>
            <w:vAlign w:val="bottom"/>
            <w:gridSpan w:val="2"/>
          </w:tcPr>
          <w:p>
            <w:pPr>
              <w:ind w:left="20"/>
              <w:spacing w:after="0"/>
              <w:rPr>
                <w:sz w:val="20"/>
                <w:szCs w:val="20"/>
                <w:color w:val="auto"/>
              </w:rPr>
            </w:pPr>
            <w:r>
              <w:rPr>
                <w:rFonts w:ascii="Arial" w:cs="Arial" w:eastAsia="Arial" w:hAnsi="Arial"/>
                <w:sz w:val="11"/>
                <w:szCs w:val="11"/>
                <w:b w:val="1"/>
                <w:bCs w:val="1"/>
                <w:color w:val="auto"/>
              </w:rPr>
              <w:t>During the Year Ended December 31,</w:t>
            </w:r>
          </w:p>
        </w:tc>
        <w:tc>
          <w:tcPr>
            <w:tcW w:w="300" w:type="dxa"/>
            <w:vAlign w:val="bottom"/>
          </w:tcPr>
          <w:p>
            <w:pPr>
              <w:spacing w:after="0"/>
              <w:rPr>
                <w:sz w:val="12"/>
                <w:szCs w:val="12"/>
                <w:color w:val="auto"/>
              </w:rPr>
            </w:pPr>
          </w:p>
        </w:tc>
        <w:tc>
          <w:tcPr>
            <w:tcW w:w="1000" w:type="dxa"/>
            <w:vAlign w:val="bottom"/>
            <w:gridSpan w:val="2"/>
          </w:tcPr>
          <w:p>
            <w:pPr>
              <w:ind w:left="200"/>
              <w:spacing w:after="0"/>
              <w:rPr>
                <w:sz w:val="20"/>
                <w:szCs w:val="20"/>
                <w:color w:val="auto"/>
              </w:rPr>
            </w:pPr>
            <w:r>
              <w:rPr>
                <w:rFonts w:ascii="Arial" w:cs="Arial" w:eastAsia="Arial" w:hAnsi="Arial"/>
                <w:sz w:val="11"/>
                <w:szCs w:val="11"/>
                <w:b w:val="1"/>
                <w:bCs w:val="1"/>
                <w:color w:val="auto"/>
              </w:rPr>
              <w:t>Low</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High</w:t>
            </w:r>
          </w:p>
        </w:tc>
        <w:tc>
          <w:tcPr>
            <w:tcW w:w="240" w:type="dxa"/>
            <w:vAlign w:val="bottom"/>
          </w:tcPr>
          <w:p>
            <w:pPr>
              <w:spacing w:after="0"/>
              <w:rPr>
                <w:sz w:val="12"/>
                <w:szCs w:val="12"/>
                <w:color w:val="auto"/>
              </w:rPr>
            </w:pPr>
          </w:p>
        </w:tc>
        <w:tc>
          <w:tcPr>
            <w:tcW w:w="960" w:type="dxa"/>
            <w:vAlign w:val="bottom"/>
          </w:tcPr>
          <w:p>
            <w:pPr>
              <w:jc w:val="right"/>
              <w:ind w:right="333"/>
              <w:spacing w:after="0"/>
              <w:rPr>
                <w:sz w:val="20"/>
                <w:szCs w:val="20"/>
                <w:color w:val="auto"/>
              </w:rPr>
            </w:pPr>
            <w:r>
              <w:rPr>
                <w:rFonts w:ascii="Arial" w:cs="Arial" w:eastAsia="Arial" w:hAnsi="Arial"/>
                <w:sz w:val="11"/>
                <w:szCs w:val="11"/>
                <w:b w:val="1"/>
                <w:bCs w:val="1"/>
                <w:color w:val="auto"/>
              </w:rPr>
              <w:t>Average</w:t>
            </w:r>
          </w:p>
        </w:tc>
      </w:tr>
      <w:tr>
        <w:trPr>
          <w:trHeight w:val="172"/>
        </w:trPr>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center"/>
              <w:ind w:left="573"/>
              <w:spacing w:after="0"/>
              <w:rPr>
                <w:sz w:val="20"/>
                <w:szCs w:val="20"/>
                <w:color w:val="auto"/>
              </w:rPr>
            </w:pPr>
            <w:r>
              <w:rPr>
                <w:rFonts w:ascii="Arial" w:cs="Arial" w:eastAsia="Arial" w:hAnsi="Arial"/>
                <w:sz w:val="14"/>
                <w:szCs w:val="14"/>
                <w:color w:val="auto"/>
                <w:w w:val="89"/>
              </w:rPr>
              <w:t>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7420" w:type="dxa"/>
            <w:vAlign w:val="bottom"/>
          </w:tcPr>
          <w:p>
            <w:pPr>
              <w:ind w:left="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553"/>
              <w:spacing w:after="0"/>
              <w:rPr>
                <w:sz w:val="20"/>
                <w:szCs w:val="20"/>
                <w:color w:val="auto"/>
              </w:rPr>
            </w:pPr>
            <w:r>
              <w:rPr>
                <w:rFonts w:ascii="Arial" w:cs="Arial" w:eastAsia="Arial" w:hAnsi="Arial"/>
                <w:sz w:val="14"/>
                <w:szCs w:val="14"/>
                <w:color w:val="auto"/>
                <w:w w:val="96"/>
              </w:rPr>
              <w:t>(38)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center"/>
              <w:ind w:left="573"/>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bl>
    <w:p>
      <w:pPr>
        <w:spacing w:after="0" w:line="255"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Product sales revenues and purchases increased for the year ended December 31, 2021 compared to the year ended December 31, 2020 primarily due to higher prices and volumes in the 2021 period.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Product sales revenues and purchases decreased for the year ended December 31, 2020 compared to the year ended December 31, 2019 primarily due to lower prices and volumes in the 2020</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period.</w:t>
      </w:r>
    </w:p>
    <w:p>
      <w:pPr>
        <w:spacing w:after="0" w:line="177" w:lineRule="exact"/>
        <w:rPr>
          <w:sz w:val="20"/>
          <w:szCs w:val="20"/>
          <w:color w:val="auto"/>
        </w:rPr>
      </w:pPr>
    </w:p>
    <w:p>
      <w:pPr>
        <w:ind w:right="660" w:firstLine="509"/>
        <w:spacing w:after="0" w:line="281" w:lineRule="auto"/>
        <w:rPr>
          <w:sz w:val="20"/>
          <w:szCs w:val="20"/>
          <w:color w:val="auto"/>
        </w:rPr>
      </w:pPr>
      <w:r>
        <w:rPr>
          <w:rFonts w:ascii="Arial" w:cs="Arial" w:eastAsia="Arial" w:hAnsi="Arial"/>
          <w:sz w:val="14"/>
          <w:szCs w:val="14"/>
          <w:color w:val="auto"/>
        </w:rPr>
        <w:t>Revenues from services decreased for the year ended December 31, 2021 compared to the year ended December 31, 2020 primarily due to the sale of assets, partially offset by the recognition of revenues associated with deficiencies under minimum volume commitments in 2020.</w:t>
      </w:r>
    </w:p>
    <w:p>
      <w:pPr>
        <w:spacing w:after="0" w:line="153"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Revenues from services decreased for the year ended December 31, 2020 compared to the year ended December 31, 2019 primarily due to lower pipeline volumes, a portion of which were covered by minimum volume commitments for which the associated revenue was deferred to future periods.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further discussion of our net revenues in the “—Analysis of Operating Segments” section below.</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Field Operating Costs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discussion of field operating costs in the “—Analysis of Operating Segments” section below.</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General and Administrative Expenses</w:t>
      </w:r>
    </w:p>
    <w:p>
      <w:pPr>
        <w:spacing w:after="0" w:line="20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The increase in general and administrative expenses for the year the year ended December 31, 2021 compared to the year ended December 31, 2020 was primarily due to (i) transaction-related costs incurred in connection with the formation of the Permian JV (which impacts our general and administrative expenses but are excluded in the calculation of Adjusted EBITDA and Segment Adjusted EBITDA), (ii) increased information systems costs and (iii) reduced wage subsidies received by our Canadian subsidiary, partially offset by other lower employee-compensation related items during the 2021 period.</w:t>
      </w:r>
    </w:p>
    <w:p>
      <w:pPr>
        <w:spacing w:after="0" w:line="167" w:lineRule="exact"/>
        <w:rPr>
          <w:sz w:val="20"/>
          <w:szCs w:val="20"/>
          <w:color w:val="auto"/>
        </w:rPr>
      </w:pPr>
    </w:p>
    <w:p>
      <w:pPr>
        <w:ind w:right="100" w:firstLine="509"/>
        <w:spacing w:after="0" w:line="304" w:lineRule="auto"/>
        <w:rPr>
          <w:sz w:val="20"/>
          <w:szCs w:val="20"/>
          <w:color w:val="auto"/>
        </w:rPr>
      </w:pPr>
      <w:r>
        <w:rPr>
          <w:rFonts w:ascii="Arial" w:cs="Arial" w:eastAsia="Arial" w:hAnsi="Arial"/>
          <w:sz w:val="12"/>
          <w:szCs w:val="12"/>
          <w:color w:val="auto"/>
        </w:rPr>
        <w:t>The decrease in general and administrative expenses for the year the year ended December 31, 2020 compared to the year ended December 31, 2019 was primarily due to (i) lower equity-based compensation costs on liability-classified awards (which is not excluded in the calculation of Adjusted EBITDA and Segment Adjusted EBITDA), due to a decrease in our common unit price,</w:t>
      </w:r>
    </w:p>
    <w:p>
      <w:pPr>
        <w:ind w:right="220" w:firstLine="5"/>
        <w:spacing w:after="0" w:line="259" w:lineRule="auto"/>
        <w:tabs>
          <w:tab w:leader="none" w:pos="208"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decreased travel and entertainment costs, (iii) lower compensation costs including the benefit of wage subsidies received by our Canadian subsidiary and (iv) general cost reductions associated with exiting low margin, high administrative cost businesses. Such items were partially offset by an overall increase in compensation costs related to severance costs associated with our efforts to streamline our organization.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Depreciation and Amortization</w:t>
      </w:r>
    </w:p>
    <w:p>
      <w:pPr>
        <w:spacing w:after="0" w:line="204"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Depreciation and amortization expense increased for the year ended December 31, 2021 compared to the year ended December 31, 2020 largely driven by (i) a reduction in the useful lives of certain assets and (ii) additional depreciation expense associated with acquired assets, partially offset by a reduction in depreciation expense associated with assets sold. See Note 6 to our Consolidated Financial Statements for additional information.</w:t>
      </w:r>
    </w:p>
    <w:p>
      <w:pPr>
        <w:spacing w:after="0" w:line="163"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Depreciation and amortization expense increased for the year ended December 31, 2020 compared to the year ended December 31, 2019 largely driven by additional depreciation expense associated with acquired assets, the completion of various investment capital projects and a reduction in the useful lives of certain assets, partially offset by a reduction in depreciation expense associated with assets sold.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Gains/Losses on Asset Sales and Asset Impairments, Net</w:t>
      </w:r>
    </w:p>
    <w:p>
      <w:pPr>
        <w:spacing w:after="0" w:line="20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net losses on asset sales and asset impairments for 2021 primarily included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during the second quarter (these assets were sold in August 2021), and (iii) a gain of $106 million recognized in the second quarter related to the asset exchange agreement (the “Asset Exchange”) involving the sale of our Milk River crude oil pipeline in exchange for additional interests in certain of the Empress gas processing plants.</w:t>
      </w:r>
    </w:p>
    <w:p>
      <w:pPr>
        <w:spacing w:after="0" w:line="168"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The net loss on asset sales and asset impairments for the year ended December 31, 2020 included (i) non-cash impairment losses on held and used assets of approximately $541 million related to the write-down of (a)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(b) idled or underutilized assets for which is it has been determined that it is unlikely that opportunities will exist in the future to recover our investment in these assets and (ii) net losses of approximately $178 million related to the sale of assets, including non-cash impairments recognized upon classification as assets held for sale.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net loss on asset sales and asset impairments for the year ended December 31, 2019 was largely driven by a loss on the sale of a storage terminal in North Dakota.</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6 and Note 7 to our Consolidated Financial Statements for additional information regarding these asset sales and asset impairments.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Goodwill Impairment Losses</w:t>
      </w:r>
    </w:p>
    <w:p>
      <w:pPr>
        <w:spacing w:after="0" w:line="204"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During the first quarter of 2020, we recognized a goodwill impairment charge of $2.5 billion, representing the entire balance of goodwill. See Note 8 to our Consolidated Financial Statements for additional information.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Gain on/(Impairment of) Investments in Unconsolidated Entities, Net</w:t>
      </w:r>
    </w:p>
    <w:p>
      <w:pPr>
        <w:spacing w:after="0" w:line="204"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During the year ended December 31, 2020, we recognized losses of $202 million related to the write-down of certain of our investments in unconsolidated entities. Additionally, we recognized a gain of $21 million related to our sale of a 10% interest in Saddlehorn Pipeline Company, LLC.</w:t>
      </w:r>
    </w:p>
    <w:p>
      <w:pPr>
        <w:spacing w:after="0" w:line="153" w:lineRule="exact"/>
        <w:rPr>
          <w:sz w:val="20"/>
          <w:szCs w:val="20"/>
          <w:color w:val="auto"/>
        </w:rPr>
      </w:pPr>
    </w:p>
    <w:p>
      <w:pPr>
        <w:ind w:right="280" w:firstLine="509"/>
        <w:spacing w:after="0" w:line="267" w:lineRule="auto"/>
        <w:rPr>
          <w:sz w:val="20"/>
          <w:szCs w:val="20"/>
          <w:color w:val="auto"/>
        </w:rPr>
      </w:pPr>
      <w:r>
        <w:rPr>
          <w:rFonts w:ascii="Arial" w:cs="Arial" w:eastAsia="Arial" w:hAnsi="Arial"/>
          <w:sz w:val="14"/>
          <w:szCs w:val="14"/>
          <w:color w:val="auto"/>
        </w:rPr>
        <w:t>During the year ended December 31, 2019, we recognized a non-cash gain of $269 million related to a fair value adjustment resulting from the accounting for the contribution of our undivided joint interest in the Capline pipeline system for an equity interest in Capline Pipeline Company LLC. See Note 9 to our Consolidated Financial Statements for additional information regarding our unconsolidated entities.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Interest Expense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expense is primarily impacted by:</w:t>
      </w:r>
    </w:p>
    <w:p>
      <w:pPr>
        <w:spacing w:after="0" w:line="200" w:lineRule="exact"/>
        <w:rPr>
          <w:sz w:val="20"/>
          <w:szCs w:val="20"/>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weighted average debt balances;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level and maturity of fixed rate debt and interest rates associated therewith;</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market interest rates and our interest rate hedging activities;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interest capitalized on capital projects.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77" w:name="page78"/>
    <w:bookmarkEnd w:id="7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components impacting the interest expense variance (in millions, except percentages):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ind w:left="440"/>
              <w:spacing w:after="0"/>
              <w:rPr>
                <w:sz w:val="20"/>
                <w:szCs w:val="20"/>
                <w:color w:val="auto"/>
              </w:rPr>
            </w:pPr>
            <w:r>
              <w:rPr>
                <w:rFonts w:ascii="Arial" w:cs="Arial" w:eastAsia="Arial" w:hAnsi="Arial"/>
                <w:sz w:val="11"/>
                <w:szCs w:val="11"/>
                <w:b w:val="1"/>
                <w:bCs w:val="1"/>
                <w:color w:val="auto"/>
              </w:rPr>
              <w:t>Average</w:t>
            </w:r>
          </w:p>
        </w:tc>
        <w:tc>
          <w:tcPr>
            <w:tcW w:w="1640" w:type="dxa"/>
            <w:vAlign w:val="bottom"/>
          </w:tcPr>
          <w:p>
            <w:pPr>
              <w:jc w:val="right"/>
              <w:ind w:right="315"/>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LIBOR</w:t>
            </w:r>
          </w:p>
        </w:tc>
        <w:tc>
          <w:tcPr>
            <w:tcW w:w="8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ind w:right="375"/>
              <w:spacing w:after="0" w:line="149" w:lineRule="exact"/>
              <w:rPr>
                <w:sz w:val="20"/>
                <w:szCs w:val="20"/>
                <w:color w:val="auto"/>
              </w:rPr>
            </w:pPr>
            <w:r>
              <w:rPr>
                <w:rFonts w:ascii="Arial" w:cs="Arial" w:eastAsia="Arial" w:hAnsi="Arial"/>
                <w:sz w:val="11"/>
                <w:szCs w:val="11"/>
                <w:b w:val="1"/>
                <w:bCs w:val="1"/>
                <w:color w:val="auto"/>
              </w:rPr>
              <w:t xml:space="preserve">Interest Rate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5"/>
                <w:szCs w:val="15"/>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the year ended December 31, 2019</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4"/>
                <w:szCs w:val="14"/>
                <w:color w:val="auto"/>
              </w:rPr>
              <w:t>Impact of lower capitalized interest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6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Impact of borrowings under credit facilities and commercial paper program</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tcPr>
          <w:p>
            <w:pPr>
              <w:ind w:left="100"/>
              <w:spacing w:after="0"/>
              <w:rPr>
                <w:sz w:val="20"/>
                <w:szCs w:val="20"/>
                <w:color w:val="auto"/>
              </w:rPr>
            </w:pPr>
            <w:r>
              <w:rPr>
                <w:rFonts w:ascii="Arial" w:cs="Arial" w:eastAsia="Arial" w:hAnsi="Arial"/>
                <w:sz w:val="14"/>
                <w:szCs w:val="14"/>
                <w:color w:val="auto"/>
              </w:rPr>
              <w:t>Impact of issuance and retirement of senior notes</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color w:val="auto"/>
              </w:rPr>
              <w:t>Interest expense for the year ended December 31, 2020</w:t>
            </w: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Impact of issuance and retirement of senior notes</w:t>
            </w: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tcPr>
          <w:p>
            <w:pPr>
              <w:ind w:left="100"/>
              <w:spacing w:after="0"/>
              <w:rPr>
                <w:sz w:val="20"/>
                <w:szCs w:val="20"/>
                <w:color w:val="auto"/>
              </w:rPr>
            </w:pPr>
            <w:r>
              <w:rPr>
                <w:rFonts w:ascii="Arial" w:cs="Arial" w:eastAsia="Arial" w:hAnsi="Arial"/>
                <w:sz w:val="14"/>
                <w:szCs w:val="14"/>
                <w:color w:val="auto"/>
              </w:rPr>
              <w:t>Impact of borrowings under credit facilities and commercial paper program</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Impact of lower capitalized interest</w:t>
            </w: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color w:val="auto"/>
              </w:rPr>
              <w:t>Interest expense for the year ended December 31, 2021</w:t>
            </w: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Excludes commitment and other fees.</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See Note 11 to our Consolidated Financial Statements for additional information regarding our debt and related activities during the periods presented.</w:t>
      </w:r>
    </w:p>
    <w:p>
      <w:pPr>
        <w:spacing w:after="0" w:line="195"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Other Income, Net</w:t>
      </w:r>
    </w:p>
    <w:p>
      <w:pPr>
        <w:spacing w:after="0" w:line="203"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The following table summarizes the components impacting Other income, net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7"/>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2019</w:t>
            </w:r>
          </w:p>
        </w:tc>
      </w:tr>
      <w:tr>
        <w:trPr>
          <w:trHeight w:val="172"/>
        </w:trPr>
        <w:tc>
          <w:tcPr>
            <w:tcW w:w="74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Gain related to mark-to-market adjustment of our Preferred Distribution Rate Reset Option </w:t>
            </w:r>
            <w:r>
              <w:rPr>
                <w:rFonts w:ascii="Arial" w:cs="Arial" w:eastAsia="Arial" w:hAnsi="Arial"/>
                <w:sz w:val="18"/>
                <w:szCs w:val="18"/>
                <w:color w:val="auto"/>
                <w:vertAlign w:val="superscript"/>
              </w:rPr>
              <w:t>(1)</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744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Net gain on foreign currency revaluation </w:t>
            </w:r>
            <w:r>
              <w:rPr>
                <w:rFonts w:ascii="Arial" w:cs="Arial" w:eastAsia="Arial" w:hAnsi="Arial"/>
                <w:sz w:val="18"/>
                <w:szCs w:val="18"/>
                <w:color w:val="auto"/>
                <w:vertAlign w:val="superscript"/>
              </w:rPr>
              <w:t>(2)</w:t>
            </w: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3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3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121" w:lineRule="exact"/>
        <w:rPr>
          <w:sz w:val="20"/>
          <w:szCs w:val="20"/>
          <w:color w:val="auto"/>
        </w:rPr>
      </w:pPr>
    </w:p>
    <w:p>
      <w:pPr>
        <w:ind w:left="500" w:hanging="495"/>
        <w:spacing w:after="0"/>
        <w:tabs>
          <w:tab w:leader="none" w:pos="50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See Note 13 to our Consolidated Financial Statements for additional information.</w:t>
      </w:r>
    </w:p>
    <w:p>
      <w:pPr>
        <w:spacing w:after="0" w:line="74" w:lineRule="exact"/>
        <w:rPr>
          <w:rFonts w:ascii="Arial" w:cs="Arial" w:eastAsia="Arial" w:hAnsi="Arial"/>
          <w:sz w:val="18"/>
          <w:szCs w:val="18"/>
          <w:color w:val="auto"/>
          <w:vertAlign w:val="superscript"/>
        </w:rPr>
      </w:pPr>
    </w:p>
    <w:p>
      <w:pPr>
        <w:ind w:left="520" w:right="160" w:hanging="515"/>
        <w:spacing w:after="0" w:line="228" w:lineRule="auto"/>
        <w:tabs>
          <w:tab w:leader="none" w:pos="51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The activity during the years presented was primarily related to the impact from the change in the USD to CAD exchange rate on the portion of our intercompany net investment that is not long-term in nature.</w:t>
      </w:r>
    </w:p>
    <w:p>
      <w:pPr>
        <w:spacing w:after="0" w:line="176"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Income Tax (Expense)/Benefit</w:t>
      </w:r>
    </w:p>
    <w:p>
      <w:pPr>
        <w:spacing w:after="0" w:line="204"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The net unfavorable income tax variance for the year ended December 31, 2021 compared to the year ended December 31, 2020 was primarily a result of increased income in our Canadian operations.</w:t>
      </w:r>
    </w:p>
    <w:p>
      <w:pPr>
        <w:spacing w:after="0" w:line="153"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The net favorable income tax variance for the year ended December 31, 2020 compared to the year ended December 31, 2019 was primarily due to lower taxable earnings from our Canadian operations and lower year-over-year income as impacted by fluctuations in the derivative mark-to-market valuations in our Canadian operations, partially offset by the recognition of a deferred tax benefit of approximately $60 million during the second quarter of 2019 as a result of the reduction of the provincial tax rate in Alberta, Canada.</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Noncontrolling Interests</w:t>
      </w:r>
    </w:p>
    <w:p>
      <w:pPr>
        <w:spacing w:after="0" w:line="204" w:lineRule="exact"/>
        <w:rPr>
          <w:sz w:val="20"/>
          <w:szCs w:val="20"/>
          <w:color w:val="auto"/>
        </w:rPr>
      </w:pPr>
    </w:p>
    <w:p>
      <w:pPr>
        <w:ind w:right="440" w:firstLine="509"/>
        <w:spacing w:after="0" w:line="281" w:lineRule="auto"/>
        <w:rPr>
          <w:sz w:val="20"/>
          <w:szCs w:val="20"/>
          <w:color w:val="auto"/>
        </w:rPr>
      </w:pPr>
      <w:r>
        <w:rPr>
          <w:rFonts w:ascii="Arial" w:cs="Arial" w:eastAsia="Arial" w:hAnsi="Arial"/>
          <w:sz w:val="14"/>
          <w:szCs w:val="14"/>
          <w:color w:val="auto"/>
        </w:rPr>
        <w:t>The increase in amounts attributable to noncontrolling interests for the year ended December 31, 2021 compared to the year ended December 31, 2020 was due to the formation of the Permian JV in October 2021. See Note 7 to our Consolidated Financial Statements for additional information.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8" w:name="page79"/>
    <w:bookmarkEnd w:id="7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200" w:lineRule="exact"/>
        <w:rPr>
          <w:sz w:val="20"/>
          <w:szCs w:val="20"/>
          <w:color w:val="auto"/>
        </w:rPr>
      </w:pPr>
    </w:p>
    <w:p>
      <w:pPr>
        <w:jc w:val="both"/>
        <w:ind w:right="300" w:firstLine="509"/>
        <w:spacing w:after="0" w:line="368" w:lineRule="auto"/>
        <w:rPr>
          <w:sz w:val="20"/>
          <w:szCs w:val="20"/>
          <w:color w:val="auto"/>
        </w:rPr>
      </w:pPr>
      <w:r>
        <w:rPr>
          <w:rFonts w:ascii="Arial" w:cs="Arial" w:eastAsia="Arial" w:hAnsi="Arial"/>
          <w:sz w:val="12"/>
          <w:szCs w:val="12"/>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107"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primary additional measures used by management are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Adjusted EBITDA attributable to PAA, Implied distributable cash flow (“DCF”), Free Cash Flow and Free Cash Flow after Distributions.</w:t>
      </w:r>
    </w:p>
    <w:p>
      <w:pPr>
        <w:spacing w:after="0" w:line="209"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definition and calculation of certain non-GAAP financial measures may not be comparable to similarly-titled measures of other companies. Adjusted EBITDA, Adjusted EBITDA attributable to PAA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Resources—Liquidity Measures” for additional information regarding Free Cash Flow and Free Cash Flow after Distributions.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Performance Measures</w:t>
      </w:r>
    </w:p>
    <w:p>
      <w:pPr>
        <w:spacing w:after="0" w:line="2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3"/>
          <w:szCs w:val="13"/>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163"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The following table sets forth the reconciliation of the non-GAAP financial performance measures Adjusted EBITDA, Adjusted EBITDA attributable to PAA and Implied DCF from Net Income/(Loss) (in millions):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9" w:name="page80"/>
    <w:bookmarkEnd w:id="7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Variance</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1"/>
                <w:szCs w:val="11"/>
                <w:b w:val="1"/>
                <w:bCs w:val="1"/>
                <w:color w:val="auto"/>
              </w:rPr>
              <w:t>Year Ended December 31,</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2021-2020</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income/(loss)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0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1"/>
        </w:trPr>
        <w:tc>
          <w:tcPr>
            <w:tcW w:w="45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Income tax expense/(benefit)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0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1"/>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(Gains)/losses on asset sales and asset impairments, net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00"/>
              <w:spacing w:after="0"/>
              <w:rPr>
                <w:sz w:val="20"/>
                <w:szCs w:val="20"/>
                <w:color w:val="auto"/>
              </w:rPr>
            </w:pPr>
            <w:r>
              <w:rPr>
                <w:rFonts w:ascii="Arial" w:cs="Arial" w:eastAsia="Arial" w:hAnsi="Arial"/>
                <w:sz w:val="14"/>
                <w:szCs w:val="14"/>
                <w:color w:val="auto"/>
              </w:rPr>
              <w:t>Goodwill impairment losses</w:t>
            </w:r>
          </w:p>
        </w:tc>
        <w:tc>
          <w:tcPr>
            <w:tcW w:w="2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on)/impairment of investments in unconsolidated entities, net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Depreciation and amortization of unconsolidated entities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Selected Items Impacting Comparability:</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(Gains)/losses from derivative activities and inventory valuation</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tcPr>
          <w:p>
            <w:pPr>
              <w:ind w:left="240"/>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Long-term inventory costing adjustments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rPr>
                <w:sz w:val="20"/>
                <w:szCs w:val="20"/>
                <w:color w:val="auto"/>
              </w:rPr>
            </w:pPr>
            <w:r>
              <w:rPr>
                <w:rFonts w:ascii="Arial" w:cs="Arial" w:eastAsia="Arial" w:hAnsi="Arial"/>
                <w:sz w:val="14"/>
                <w:szCs w:val="14"/>
                <w:color w:val="auto"/>
              </w:rPr>
              <w:t>Deficiencies under minimum volume commitments, net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Equity-indexed compensation expense</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rPr>
                <w:sz w:val="20"/>
                <w:szCs w:val="20"/>
                <w:color w:val="auto"/>
              </w:rPr>
            </w:pPr>
            <w:r>
              <w:rPr>
                <w:rFonts w:ascii="Arial" w:cs="Arial" w:eastAsia="Arial" w:hAnsi="Arial"/>
                <w:sz w:val="14"/>
                <w:szCs w:val="14"/>
                <w:color w:val="auto"/>
              </w:rPr>
              <w:t>Net (gain)/loss on foreign currency revaluation</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Line 901 incident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Significant transaction-related expenses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Selected Items Impacting Comparability - Segment Adjusted EBITDA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Gains from derivative activities </w:t>
            </w:r>
            <w:r>
              <w:rPr>
                <w:rFonts w:ascii="Arial" w:cs="Arial" w:eastAsia="Arial" w:hAnsi="Arial"/>
                <w:sz w:val="18"/>
                <w:szCs w:val="18"/>
                <w:color w:val="auto"/>
                <w:vertAlign w:val="superscript"/>
              </w:rPr>
              <w:t>(3)</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Net gain on foreign currency revaluation </w:t>
            </w:r>
            <w:r>
              <w:rPr>
                <w:rFonts w:ascii="Arial" w:cs="Arial" w:eastAsia="Arial" w:hAnsi="Arial"/>
                <w:sz w:val="18"/>
                <w:szCs w:val="18"/>
                <w:color w:val="auto"/>
                <w:vertAlign w:val="superscript"/>
              </w:rPr>
              <w:t>(4)</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Net gain on early repayment of senior notes </w:t>
            </w:r>
            <w:r>
              <w:rPr>
                <w:rFonts w:ascii="Arial" w:cs="Arial" w:eastAsia="Arial" w:hAnsi="Arial"/>
                <w:sz w:val="18"/>
                <w:szCs w:val="18"/>
                <w:color w:val="auto"/>
                <w:vertAlign w:val="superscript"/>
              </w:rPr>
              <w:t>(5)</w:t>
            </w:r>
          </w:p>
        </w:tc>
        <w:tc>
          <w:tcPr>
            <w:tcW w:w="2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tcBorders>
              <w:top w:val="single" w:sz="8" w:color="CCEEFF"/>
            </w:tcBorders>
            <w:gridSpan w:val="2"/>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Selected Items Impacting Comparability - Adjusted EBITDA </w:t>
            </w:r>
            <w:r>
              <w:rPr>
                <w:rFonts w:ascii="Arial" w:cs="Arial" w:eastAsia="Arial" w:hAnsi="Arial"/>
                <w:sz w:val="18"/>
                <w:szCs w:val="18"/>
                <w:color w:val="auto"/>
                <w:vertAlign w:val="superscript"/>
              </w:rPr>
              <w:t>(6)</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gridSpan w:val="2"/>
          </w:tcPr>
          <w:p>
            <w:pPr>
              <w:ind w:left="20"/>
              <w:spacing w:after="0" w:line="171"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(6)</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2,290</w:t>
            </w:r>
          </w:p>
        </w:tc>
        <w:tc>
          <w:tcPr>
            <w:tcW w:w="8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3,237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Adjusted EBITDA attributable to noncontrolling interests </w:t>
            </w:r>
            <w:r>
              <w:rPr>
                <w:rFonts w:ascii="Arial" w:cs="Arial" w:eastAsia="Arial" w:hAnsi="Arial"/>
                <w:sz w:val="18"/>
                <w:szCs w:val="18"/>
                <w:color w:val="auto"/>
                <w:vertAlign w:val="superscript"/>
              </w:rPr>
              <w:t>(7)</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1"/>
        </w:trPr>
        <w:tc>
          <w:tcPr>
            <w:tcW w:w="4540" w:type="dxa"/>
            <w:vAlign w:val="bottom"/>
            <w:gridSpan w:val="2"/>
          </w:tcPr>
          <w:p>
            <w:pPr>
              <w:ind w:left="20"/>
              <w:spacing w:after="0"/>
              <w:rPr>
                <w:sz w:val="20"/>
                <w:szCs w:val="20"/>
                <w:color w:val="auto"/>
              </w:rPr>
            </w:pPr>
            <w:r>
              <w:rPr>
                <w:rFonts w:ascii="Arial" w:cs="Arial" w:eastAsia="Arial" w:hAnsi="Arial"/>
                <w:sz w:val="14"/>
                <w:szCs w:val="14"/>
                <w:color w:val="auto"/>
              </w:rPr>
              <w:t>Adjusted EBITDA attributable to PAA</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54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(6)</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2,290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3,237</w:t>
            </w:r>
          </w:p>
        </w:tc>
        <w:tc>
          <w:tcPr>
            <w:tcW w:w="120" w:type="dxa"/>
            <w:vAlign w:val="bottom"/>
            <w:tcBorders>
              <w:right w:val="single" w:sz="8" w:color="auto"/>
            </w:tcBorders>
          </w:tcPr>
          <w:p>
            <w:pPr>
              <w:spacing w:after="0"/>
              <w:rPr>
                <w:sz w:val="15"/>
                <w:szCs w:val="15"/>
                <w:color w:val="auto"/>
              </w:rPr>
            </w:pPr>
          </w:p>
        </w:tc>
        <w:tc>
          <w:tcPr>
            <w:tcW w:w="3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Interest expense, net of certain non-cash items </w:t>
            </w:r>
            <w:r>
              <w:rPr>
                <w:rFonts w:ascii="Arial" w:cs="Arial" w:eastAsia="Arial" w:hAnsi="Arial"/>
                <w:sz w:val="18"/>
                <w:szCs w:val="18"/>
                <w:color w:val="auto"/>
                <w:vertAlign w:val="superscript"/>
              </w:rPr>
              <w:t>(8)</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Maintenance capital </w:t>
            </w:r>
            <w:r>
              <w:rPr>
                <w:rFonts w:ascii="Arial" w:cs="Arial" w:eastAsia="Arial" w:hAnsi="Arial"/>
                <w:sz w:val="18"/>
                <w:szCs w:val="18"/>
                <w:color w:val="auto"/>
                <w:vertAlign w:val="superscript"/>
              </w:rPr>
              <w:t>(9)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Investment capital of noncontrolling interests </w:t>
            </w:r>
            <w:r>
              <w:rPr>
                <w:rFonts w:ascii="Arial" w:cs="Arial" w:eastAsia="Arial" w:hAnsi="Arial"/>
                <w:sz w:val="18"/>
                <w:szCs w:val="18"/>
                <w:color w:val="auto"/>
                <w:vertAlign w:val="superscript"/>
              </w:rPr>
              <w:t>(10)</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4540" w:type="dxa"/>
            <w:vAlign w:val="bottom"/>
            <w:gridSpan w:val="2"/>
          </w:tcPr>
          <w:p>
            <w:pPr>
              <w:ind w:left="120"/>
              <w:spacing w:after="0"/>
              <w:rPr>
                <w:sz w:val="20"/>
                <w:szCs w:val="20"/>
                <w:color w:val="auto"/>
              </w:rPr>
            </w:pPr>
            <w:r>
              <w:rPr>
                <w:rFonts w:ascii="Arial" w:cs="Arial" w:eastAsia="Arial" w:hAnsi="Arial"/>
                <w:sz w:val="14"/>
                <w:szCs w:val="14"/>
                <w:color w:val="auto"/>
              </w:rPr>
              <w:t>Current income tax expense</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5"/>
              </w:rPr>
              <w:t>Distributions from unconsolidated entities in excess of/(less than) adjusted</w:t>
            </w: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ind w:left="240"/>
              <w:spacing w:after="0" w:line="181" w:lineRule="exact"/>
              <w:rPr>
                <w:sz w:val="20"/>
                <w:szCs w:val="20"/>
                <w:color w:val="auto"/>
              </w:rPr>
            </w:pPr>
            <w:r>
              <w:rPr>
                <w:rFonts w:ascii="Arial" w:cs="Arial" w:eastAsia="Arial" w:hAnsi="Arial"/>
                <w:sz w:val="14"/>
                <w:szCs w:val="14"/>
                <w:color w:val="auto"/>
              </w:rPr>
              <w:t xml:space="preserve">equity earnings </w:t>
            </w:r>
            <w:r>
              <w:rPr>
                <w:rFonts w:ascii="Arial" w:cs="Arial" w:eastAsia="Arial" w:hAnsi="Arial"/>
                <w:sz w:val="18"/>
                <w:szCs w:val="18"/>
                <w:color w:val="auto"/>
                <w:vertAlign w:val="superscript"/>
              </w:rPr>
              <w:t>(11)</w:t>
            </w: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gridSpan w:val="2"/>
          </w:tcPr>
          <w:p>
            <w:pPr>
              <w:ind w:left="160"/>
              <w:spacing w:after="0" w:line="181" w:lineRule="exact"/>
              <w:rPr>
                <w:sz w:val="20"/>
                <w:szCs w:val="20"/>
                <w:color w:val="auto"/>
              </w:rPr>
            </w:pPr>
            <w:r>
              <w:rPr>
                <w:rFonts w:ascii="Arial" w:cs="Arial" w:eastAsia="Arial" w:hAnsi="Arial"/>
                <w:sz w:val="14"/>
                <w:szCs w:val="14"/>
                <w:color w:val="auto"/>
              </w:rPr>
              <w:t xml:space="preserve">Distributions to noncontrolling interests </w:t>
            </w:r>
            <w:r>
              <w:rPr>
                <w:rFonts w:ascii="Arial" w:cs="Arial" w:eastAsia="Arial" w:hAnsi="Arial"/>
                <w:sz w:val="18"/>
                <w:szCs w:val="18"/>
                <w:color w:val="auto"/>
                <w:vertAlign w:val="superscript"/>
              </w:rPr>
              <w:t>(12)</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Implied DCF</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gridSpan w:val="2"/>
          </w:tcPr>
          <w:p>
            <w:pPr>
              <w:ind w:left="120"/>
              <w:spacing w:after="0" w:line="181" w:lineRule="exact"/>
              <w:rPr>
                <w:sz w:val="20"/>
                <w:szCs w:val="20"/>
                <w:color w:val="auto"/>
              </w:rPr>
            </w:pPr>
            <w:r>
              <w:rPr>
                <w:rFonts w:ascii="Arial" w:cs="Arial" w:eastAsia="Arial" w:hAnsi="Arial"/>
                <w:sz w:val="14"/>
                <w:szCs w:val="14"/>
                <w:color w:val="auto"/>
              </w:rPr>
              <w:t xml:space="preserve">Preferred unit cash distributions </w:t>
            </w:r>
            <w:r>
              <w:rPr>
                <w:rFonts w:ascii="Arial" w:cs="Arial" w:eastAsia="Arial" w:hAnsi="Arial"/>
                <w:sz w:val="18"/>
                <w:szCs w:val="18"/>
                <w:color w:val="auto"/>
                <w:vertAlign w:val="superscript"/>
              </w:rPr>
              <w:t>(12)</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Implied DCF Available to Common Unitholders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120"/>
              <w:spacing w:after="0" w:line="182" w:lineRule="exact"/>
              <w:rPr>
                <w:sz w:val="20"/>
                <w:szCs w:val="20"/>
                <w:color w:val="auto"/>
              </w:rPr>
            </w:pPr>
            <w:r>
              <w:rPr>
                <w:rFonts w:ascii="Arial" w:cs="Arial" w:eastAsia="Arial" w:hAnsi="Arial"/>
                <w:sz w:val="14"/>
                <w:szCs w:val="14"/>
                <w:color w:val="auto"/>
              </w:rPr>
              <w:t xml:space="preserve">Common unit cash distributions </w:t>
            </w:r>
            <w:r>
              <w:rPr>
                <w:rFonts w:ascii="Arial" w:cs="Arial" w:eastAsia="Arial" w:hAnsi="Arial"/>
                <w:sz w:val="18"/>
                <w:szCs w:val="18"/>
                <w:color w:val="auto"/>
                <w:vertAlign w:val="superscript"/>
              </w:rPr>
              <w:t>(12)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40" w:type="dxa"/>
            <w:vAlign w:val="bottom"/>
            <w:tcBorders>
              <w:bottom w:val="single" w:sz="8" w:color="CCEEFF"/>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(517)</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(1,004)</w:t>
            </w: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Implied DCF Excess </w:t>
            </w:r>
            <w:r>
              <w:rPr>
                <w:rFonts w:ascii="Arial" w:cs="Arial" w:eastAsia="Arial" w:hAnsi="Arial"/>
                <w:sz w:val="18"/>
                <w:szCs w:val="18"/>
                <w:color w:val="auto"/>
                <w:vertAlign w:val="superscript"/>
              </w:rPr>
              <w:t>(13)</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tab/>
        <w:t>Indicates that variance as a percentage is not meaningful.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0" w:name="page81"/>
    <w:bookmarkEnd w:id="8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180" w:hanging="515"/>
        <w:spacing w:after="0" w:line="228"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We exclude our proportionate share of the depreciation and amortization expense (including write-downs related to cancelled projects) of unconsolidated entities when reviewing Adjusted EBITDA, similar to our consolidated assets.</w:t>
      </w:r>
    </w:p>
    <w:p>
      <w:pPr>
        <w:spacing w:after="0" w:line="74" w:lineRule="exact"/>
        <w:rPr>
          <w:rFonts w:ascii="Arial" w:cs="Arial" w:eastAsia="Arial" w:hAnsi="Arial"/>
          <w:sz w:val="18"/>
          <w:szCs w:val="18"/>
          <w:color w:val="auto"/>
          <w:vertAlign w:val="superscript"/>
        </w:rPr>
      </w:pPr>
    </w:p>
    <w:p>
      <w:pPr>
        <w:ind w:left="520" w:right="360" w:hanging="515"/>
        <w:spacing w:after="0" w:line="228"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For a more detailed discussion of these selected items impacting comparability, see the footnotes to the Segment Adjusted EBITDA Reconciliation table in Note 20 to our Consolidated Financial Statements.</w:t>
      </w:r>
    </w:p>
    <w:p>
      <w:pPr>
        <w:spacing w:after="0" w:line="74" w:lineRule="exact"/>
        <w:rPr>
          <w:rFonts w:ascii="Arial" w:cs="Arial" w:eastAsia="Arial" w:hAnsi="Arial"/>
          <w:sz w:val="18"/>
          <w:szCs w:val="18"/>
          <w:color w:val="auto"/>
          <w:vertAlign w:val="superscript"/>
        </w:rPr>
      </w:pPr>
    </w:p>
    <w:p>
      <w:pPr>
        <w:ind w:left="520" w:right="80" w:hanging="515"/>
        <w:spacing w:after="0" w:line="235"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Preferred Distribution Rate Reset Option of our Series A preferred units is accounted for as an embedded derivative and recorded at fair value in our Consolidated Financial Statements. The associated gains and losses are not integral to our results and were thus classified as a selected item impacting comparability. See Note 13 to our Consolidated Financial Statements for additional information regarding the Preferred Distribution Rate Reset Option.</w:t>
      </w:r>
    </w:p>
    <w:p>
      <w:pPr>
        <w:spacing w:after="0" w:line="76" w:lineRule="exact"/>
        <w:rPr>
          <w:rFonts w:ascii="Arial" w:cs="Arial" w:eastAsia="Arial" w:hAnsi="Arial"/>
          <w:sz w:val="18"/>
          <w:szCs w:val="18"/>
          <w:color w:val="auto"/>
          <w:vertAlign w:val="superscript"/>
        </w:rPr>
      </w:pPr>
    </w:p>
    <w:p>
      <w:pPr>
        <w:ind w:left="520" w:right="340" w:hanging="515"/>
        <w:spacing w:after="0" w:line="235"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thus were classified as a selected item impacting comparability.</w:t>
      </w:r>
    </w:p>
    <w:p>
      <w:pPr>
        <w:spacing w:after="0" w:line="76" w:lineRule="exact"/>
        <w:rPr>
          <w:rFonts w:ascii="Arial" w:cs="Arial" w:eastAsia="Arial" w:hAnsi="Arial"/>
          <w:sz w:val="18"/>
          <w:szCs w:val="18"/>
          <w:color w:val="auto"/>
          <w:vertAlign w:val="superscript"/>
        </w:rPr>
      </w:pPr>
    </w:p>
    <w:p>
      <w:pPr>
        <w:ind w:left="520" w:right="320" w:hanging="515"/>
        <w:spacing w:after="0" w:line="228"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Includes net gains recognized in connection with the repurchase of our outstanding senior notes on the open market. See Note 11 to our Consolidated Financial Statements for additional information.</w:t>
      </w:r>
    </w:p>
    <w:p>
      <w:pPr>
        <w:spacing w:after="0" w:line="74" w:lineRule="exact"/>
        <w:rPr>
          <w:rFonts w:ascii="Arial" w:cs="Arial" w:eastAsia="Arial" w:hAnsi="Arial"/>
          <w:sz w:val="18"/>
          <w:szCs w:val="18"/>
          <w:color w:val="auto"/>
          <w:vertAlign w:val="superscript"/>
        </w:rPr>
      </w:pPr>
    </w:p>
    <w:p>
      <w:pPr>
        <w:ind w:left="520" w:right="320" w:hanging="515"/>
        <w:spacing w:after="0" w:line="228"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Other income/(expense), net per our Consolidated Statements of Operations, adjusted for selected items impacting comparability (“Adjusted other income/(expense), net”) is included in Adjusted EBITDA and excluded from Segment Adjusted EBITDA.</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Reflects amounts attributable to noncontrolling interests in the Permian JV and Red River Pipeline LLC.</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75"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Investment capital expenditures attributable to noncontrolling interests that reduce Implied DCF available to PAA common unitholders.</w:t>
      </w:r>
    </w:p>
    <w:p>
      <w:pPr>
        <w:spacing w:after="0" w:line="74" w:lineRule="exact"/>
        <w:rPr>
          <w:rFonts w:ascii="Arial" w:cs="Arial" w:eastAsia="Arial" w:hAnsi="Arial"/>
          <w:sz w:val="18"/>
          <w:szCs w:val="18"/>
          <w:color w:val="auto"/>
          <w:vertAlign w:val="superscript"/>
        </w:rPr>
      </w:pPr>
    </w:p>
    <w:p>
      <w:pPr>
        <w:ind w:left="520" w:right="160" w:hanging="515"/>
        <w:spacing w:after="0" w:line="228" w:lineRule="auto"/>
        <w:tabs>
          <w:tab w:leader="none" w:pos="51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Excess DCF is retained to establish reserves for debt repayment, future distributions, equity repurchases, capital expenditures and other partnership purposes.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Analysis of Operating Segments</w:t>
      </w:r>
    </w:p>
    <w:p>
      <w:pPr>
        <w:spacing w:after="0" w:line="200"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w:t>
      </w:r>
    </w:p>
    <w:p>
      <w:pPr>
        <w:spacing w:after="0" w:line="153"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of unconsolidated entities, further adjusted for (e)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 See Note 20 to our Consolidated Financial Statements for a reconciliation of Segment Adjusted EBITDA to Net income/(loss) attributable to PAA.</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Revenues and expenses from our Canadian based subsidiaries, which use CAD as their functional currency, are translated at the prevailing average exchange rates for the month.</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Segment</w:t>
      </w:r>
    </w:p>
    <w:p>
      <w:pPr>
        <w:spacing w:after="0" w:line="204"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142" w:lineRule="exact"/>
        <w:rPr>
          <w:sz w:val="20"/>
          <w:szCs w:val="20"/>
          <w:color w:val="auto"/>
        </w:rPr>
      </w:pPr>
    </w:p>
    <w:p>
      <w:pPr>
        <w:ind w:firstLine="509"/>
        <w:spacing w:after="0" w:line="229" w:lineRule="auto"/>
        <w:rPr>
          <w:sz w:val="20"/>
          <w:szCs w:val="20"/>
          <w:color w:val="auto"/>
        </w:rPr>
      </w:pPr>
      <w:r>
        <w:rPr>
          <w:rFonts w:ascii="Arial" w:cs="Arial" w:eastAsia="Arial" w:hAnsi="Arial"/>
          <w:sz w:val="14"/>
          <w:szCs w:val="14"/>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82" w:name="page83"/>
    <w:bookmarkEnd w:id="8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set forth our operating results from our Crude Oil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Variance</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80" w:type="dxa"/>
            <w:vAlign w:val="bottom"/>
            <w:gridSpan w:val="5"/>
          </w:tcPr>
          <w:p>
            <w:pPr>
              <w:ind w:left="20"/>
              <w:spacing w:after="0" w:line="154" w:lineRule="exact"/>
              <w:rPr>
                <w:sz w:val="20"/>
                <w:szCs w:val="20"/>
                <w:color w:val="auto"/>
              </w:rPr>
            </w:pPr>
            <w:r>
              <w:rPr>
                <w:rFonts w:ascii="Arial" w:cs="Arial" w:eastAsia="Arial" w:hAnsi="Arial"/>
                <w:sz w:val="11"/>
                <w:szCs w:val="11"/>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10"/>
          </w:tcPr>
          <w:p>
            <w:pPr>
              <w:jc w:val="right"/>
              <w:ind w:right="2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5"/>
          </w:tcPr>
          <w:p>
            <w:pPr>
              <w:ind w:left="20"/>
              <w:spacing w:after="0"/>
              <w:rPr>
                <w:sz w:val="20"/>
                <w:szCs w:val="20"/>
                <w:color w:val="auto"/>
              </w:rPr>
            </w:pPr>
            <w:r>
              <w:rPr>
                <w:rFonts w:ascii="Arial" w:cs="Arial" w:eastAsia="Arial" w:hAnsi="Arial"/>
                <w:sz w:val="11"/>
                <w:szCs w:val="11"/>
                <w:b w:val="1"/>
                <w:bCs w:val="1"/>
                <w:color w:val="auto"/>
              </w:rPr>
              <w:t>(in millions, except per barrel data)</w:t>
            </w:r>
          </w:p>
        </w:tc>
        <w:tc>
          <w:tcPr>
            <w:tcW w:w="200" w:type="dxa"/>
            <w:vAlign w:val="bottom"/>
          </w:tcPr>
          <w:p>
            <w:pPr>
              <w:spacing w:after="0"/>
              <w:rPr>
                <w:sz w:val="12"/>
                <w:szCs w:val="12"/>
                <w:color w:val="auto"/>
              </w:rPr>
            </w:pPr>
          </w:p>
        </w:tc>
        <w:tc>
          <w:tcPr>
            <w:tcW w:w="660" w:type="dxa"/>
            <w:vAlign w:val="bottom"/>
          </w:tcPr>
          <w:p>
            <w:pPr>
              <w:jc w:val="right"/>
              <w:ind w:right="231"/>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30"/>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30"/>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331"/>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371"/>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7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2"/>
        </w:trPr>
        <w:tc>
          <w:tcPr>
            <w:tcW w:w="39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22,199</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31,655</w:t>
            </w:r>
          </w:p>
        </w:tc>
        <w:tc>
          <w:tcPr>
            <w:tcW w:w="16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rPr>
                <w:sz w:val="20"/>
                <w:szCs w:val="20"/>
                <w:color w:val="auto"/>
              </w:rPr>
            </w:pPr>
            <w:r>
              <w:rPr>
                <w:rFonts w:ascii="Arial" w:cs="Arial" w:eastAsia="Arial" w:hAnsi="Arial"/>
                <w:sz w:val="14"/>
                <w:szCs w:val="14"/>
                <w:color w:val="auto"/>
              </w:rPr>
              <w:t>Purchases and related costs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(37,540)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(19,712)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(28,227)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(17,828)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left="471"/>
              <w:spacing w:after="0"/>
              <w:rPr>
                <w:sz w:val="20"/>
                <w:szCs w:val="20"/>
                <w:color w:val="auto"/>
              </w:rPr>
            </w:pPr>
            <w:r>
              <w:rPr>
                <w:rFonts w:ascii="Arial" w:cs="Arial" w:eastAsia="Arial" w:hAnsi="Arial"/>
                <w:sz w:val="14"/>
                <w:szCs w:val="14"/>
                <w:color w:val="auto"/>
                <w:w w:val="89"/>
              </w:rPr>
              <w:t>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line="181" w:lineRule="exact"/>
              <w:rPr>
                <w:sz w:val="20"/>
                <w:szCs w:val="20"/>
                <w:color w:val="auto"/>
              </w:rPr>
            </w:pPr>
            <w:r>
              <w:rPr>
                <w:rFonts w:ascii="Arial" w:cs="Arial" w:eastAsia="Arial" w:hAnsi="Arial"/>
                <w:sz w:val="14"/>
                <w:szCs w:val="14"/>
                <w:color w:val="auto"/>
              </w:rPr>
              <w:t xml:space="preserve">Segment general and administrative expenses </w:t>
            </w:r>
            <w:r>
              <w:rPr>
                <w:rFonts w:ascii="Arial" w:cs="Arial" w:eastAsia="Arial" w:hAnsi="Arial"/>
                <w:sz w:val="18"/>
                <w:szCs w:val="18"/>
                <w:color w:val="auto"/>
                <w:vertAlign w:val="superscript"/>
              </w:rPr>
              <w:t>(2)</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(216)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120"/>
              <w:spacing w:after="0"/>
              <w:rPr>
                <w:sz w:val="20"/>
                <w:szCs w:val="20"/>
                <w:color w:val="auto"/>
              </w:rPr>
            </w:pPr>
            <w:r>
              <w:rPr>
                <w:rFonts w:ascii="Arial" w:cs="Arial" w:eastAsia="Arial" w:hAnsi="Arial"/>
                <w:sz w:val="14"/>
                <w:szCs w:val="14"/>
                <w:color w:val="auto"/>
              </w:rPr>
              <w:t>Depreciation and amortization of unconsolidated entities</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left="471"/>
              <w:spacing w:after="0"/>
              <w:rPr>
                <w:sz w:val="20"/>
                <w:szCs w:val="20"/>
                <w:color w:val="auto"/>
              </w:rPr>
            </w:pPr>
            <w:r>
              <w:rPr>
                <w:rFonts w:ascii="Arial" w:cs="Arial" w:eastAsia="Arial" w:hAnsi="Arial"/>
                <w:sz w:val="14"/>
                <w:szCs w:val="14"/>
                <w:color w:val="auto"/>
                <w:w w:val="89"/>
              </w:rPr>
              <w:t>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38"/>
        </w:trPr>
        <w:tc>
          <w:tcPr>
            <w:tcW w:w="4080" w:type="dxa"/>
            <w:vAlign w:val="bottom"/>
            <w:gridSpan w:val="5"/>
            <w:shd w:val="clear" w:color="auto" w:fill="CCEEFF"/>
          </w:tcPr>
          <w:p>
            <w:pPr>
              <w:ind w:left="120"/>
              <w:spacing w:after="0" w:line="138" w:lineRule="exact"/>
              <w:rPr>
                <w:sz w:val="20"/>
                <w:szCs w:val="20"/>
                <w:color w:val="auto"/>
              </w:rPr>
            </w:pPr>
            <w:r>
              <w:rPr>
                <w:rFonts w:ascii="Arial" w:cs="Arial" w:eastAsia="Arial" w:hAnsi="Arial"/>
                <w:sz w:val="14"/>
                <w:szCs w:val="14"/>
                <w:color w:val="auto"/>
              </w:rPr>
              <w:t>(Gains)/losses from derivative activities and inventory valuation</w:t>
            </w:r>
          </w:p>
        </w:tc>
        <w:tc>
          <w:tcPr>
            <w:tcW w:w="2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(252)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(511)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40"/>
              <w:spacing w:after="0"/>
              <w:rPr>
                <w:sz w:val="20"/>
                <w:szCs w:val="20"/>
                <w:color w:val="auto"/>
              </w:rPr>
            </w:pPr>
            <w:r>
              <w:rPr>
                <w:rFonts w:ascii="Arial" w:cs="Arial" w:eastAsia="Arial" w:hAnsi="Arial"/>
                <w:sz w:val="14"/>
                <w:szCs w:val="14"/>
                <w:color w:val="auto"/>
              </w:rPr>
              <w:t>adjustments</w:t>
            </w:r>
          </w:p>
        </w:tc>
        <w:tc>
          <w:tcPr>
            <w:tcW w:w="2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120"/>
              <w:spacing w:after="0"/>
              <w:rPr>
                <w:sz w:val="20"/>
                <w:szCs w:val="20"/>
                <w:color w:val="auto"/>
              </w:rPr>
            </w:pPr>
            <w:r>
              <w:rPr>
                <w:rFonts w:ascii="Arial" w:cs="Arial" w:eastAsia="Arial" w:hAnsi="Arial"/>
                <w:sz w:val="14"/>
                <w:szCs w:val="14"/>
                <w:color w:val="auto"/>
              </w:rPr>
              <w:t>Long-term inventory costing adjustments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Deficiencies under minimum volume commitments, net</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5"/>
          </w:tcPr>
          <w:p>
            <w:pPr>
              <w:ind w:left="120"/>
              <w:spacing w:after="0"/>
              <w:rPr>
                <w:sz w:val="20"/>
                <w:szCs w:val="20"/>
                <w:color w:val="auto"/>
              </w:rPr>
            </w:pPr>
            <w:r>
              <w:rPr>
                <w:rFonts w:ascii="Arial" w:cs="Arial" w:eastAsia="Arial" w:hAnsi="Arial"/>
                <w:sz w:val="14"/>
                <w:szCs w:val="14"/>
                <w:color w:val="auto"/>
              </w:rPr>
              <w:t>Equity-indexed compensation expense</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5"/>
          </w:tcPr>
          <w:p>
            <w:pPr>
              <w:jc w:val="center"/>
              <w:ind w:left="11"/>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Net (gain)/loss on foreign currency revaluation</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5"/>
          </w:tcPr>
          <w:p>
            <w:pPr>
              <w:ind w:left="120"/>
              <w:spacing w:after="0"/>
              <w:rPr>
                <w:sz w:val="20"/>
                <w:szCs w:val="20"/>
                <w:color w:val="auto"/>
              </w:rPr>
            </w:pPr>
            <w:r>
              <w:rPr>
                <w:rFonts w:ascii="Arial" w:cs="Arial" w:eastAsia="Arial" w:hAnsi="Arial"/>
                <w:sz w:val="14"/>
                <w:szCs w:val="14"/>
                <w:color w:val="auto"/>
              </w:rPr>
              <w:t>Line 901 incident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left="471"/>
              <w:spacing w:after="0"/>
              <w:rPr>
                <w:sz w:val="20"/>
                <w:szCs w:val="20"/>
                <w:color w:val="auto"/>
              </w:rPr>
            </w:pPr>
            <w:r>
              <w:rPr>
                <w:rFonts w:ascii="Arial" w:cs="Arial" w:eastAsia="Arial" w:hAnsi="Arial"/>
                <w:sz w:val="14"/>
                <w:szCs w:val="14"/>
                <w:color w:val="auto"/>
                <w:w w:val="89"/>
              </w:rPr>
              <w:t>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Significant transaction-related expenses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left="471"/>
              <w:spacing w:after="0"/>
              <w:rPr>
                <w:sz w:val="20"/>
                <w:szCs w:val="20"/>
                <w:color w:val="auto"/>
              </w:rPr>
            </w:pPr>
            <w:r>
              <w:rPr>
                <w:rFonts w:ascii="Arial" w:cs="Arial" w:eastAsia="Arial" w:hAnsi="Arial"/>
                <w:sz w:val="14"/>
                <w:szCs w:val="14"/>
                <w:color w:val="auto"/>
                <w:w w:val="89"/>
              </w:rPr>
              <w:t>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tcBorders>
              <w:bottom w:val="single" w:sz="8" w:color="CCEEFF"/>
            </w:tcBorders>
            <w:gridSpan w:val="5"/>
          </w:tcPr>
          <w:p>
            <w:pPr>
              <w:ind w:left="120"/>
              <w:spacing w:after="0"/>
              <w:rPr>
                <w:sz w:val="20"/>
                <w:szCs w:val="20"/>
                <w:color w:val="auto"/>
              </w:rPr>
            </w:pPr>
            <w:r>
              <w:rPr>
                <w:rFonts w:ascii="Arial" w:cs="Arial" w:eastAsia="Arial" w:hAnsi="Arial"/>
                <w:sz w:val="14"/>
                <w:szCs w:val="14"/>
                <w:color w:val="auto"/>
              </w:rPr>
              <w:t>Adjusted EBITDA attributable to noncontrolling interests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Maintenance capital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60" w:type="dxa"/>
            <w:vAlign w:val="bottom"/>
            <w:tcBorders>
              <w:bottom w:val="single" w:sz="8" w:color="auto"/>
              <w:right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Variance</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80" w:type="dxa"/>
            <w:vAlign w:val="bottom"/>
            <w:gridSpan w:val="5"/>
          </w:tcPr>
          <w:p>
            <w:pPr>
              <w:ind w:left="20"/>
              <w:spacing w:after="0"/>
              <w:rPr>
                <w:sz w:val="20"/>
                <w:szCs w:val="20"/>
                <w:color w:val="auto"/>
              </w:rPr>
            </w:pPr>
            <w:r>
              <w:rPr>
                <w:rFonts w:ascii="Arial" w:cs="Arial" w:eastAsia="Arial" w:hAnsi="Arial"/>
                <w:sz w:val="11"/>
                <w:szCs w:val="11"/>
                <w:b w:val="1"/>
                <w:bCs w:val="1"/>
                <w:color w:val="auto"/>
              </w:rPr>
              <w:t>Average Volumes</w:t>
            </w:r>
          </w:p>
        </w:tc>
        <w:tc>
          <w:tcPr>
            <w:tcW w:w="200" w:type="dxa"/>
            <w:vAlign w:val="bottom"/>
          </w:tcPr>
          <w:p>
            <w:pPr>
              <w:spacing w:after="0"/>
              <w:rPr>
                <w:sz w:val="13"/>
                <w:szCs w:val="13"/>
                <w:color w:val="auto"/>
              </w:rPr>
            </w:pPr>
          </w:p>
        </w:tc>
        <w:tc>
          <w:tcPr>
            <w:tcW w:w="660" w:type="dxa"/>
            <w:vAlign w:val="bottom"/>
          </w:tcPr>
          <w:p>
            <w:pPr>
              <w:jc w:val="right"/>
              <w:ind w:right="251"/>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70"/>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70"/>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5"/>
          </w:tcPr>
          <w:p>
            <w:pPr>
              <w:jc w:val="right"/>
              <w:ind w:right="700"/>
              <w:spacing w:after="0"/>
              <w:rPr>
                <w:sz w:val="20"/>
                <w:szCs w:val="20"/>
                <w:color w:val="auto"/>
              </w:rPr>
            </w:pPr>
            <w:r>
              <w:rPr>
                <w:rFonts w:ascii="Arial" w:cs="Arial" w:eastAsia="Arial" w:hAnsi="Arial"/>
                <w:sz w:val="11"/>
                <w:szCs w:val="11"/>
                <w:b w:val="1"/>
                <w:bCs w:val="1"/>
                <w:color w:val="auto"/>
              </w:rPr>
              <w:t>Volumes</w:t>
            </w:r>
          </w:p>
        </w:tc>
        <w:tc>
          <w:tcPr>
            <w:tcW w:w="660" w:type="dxa"/>
            <w:vAlign w:val="bottom"/>
          </w:tcPr>
          <w:p>
            <w:pPr>
              <w:jc w:val="right"/>
              <w:ind w:right="391"/>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w w:val="91"/>
              </w:rPr>
              <w:t>Volumes</w:t>
            </w:r>
          </w:p>
        </w:tc>
        <w:tc>
          <w:tcPr>
            <w:tcW w:w="660" w:type="dxa"/>
            <w:vAlign w:val="bottom"/>
          </w:tcPr>
          <w:p>
            <w:pPr>
              <w:jc w:val="right"/>
              <w:ind w:right="37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5"/>
        </w:trPr>
        <w:tc>
          <w:tcPr>
            <w:tcW w:w="396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Tariff activities volumes </w:t>
            </w:r>
            <w:r>
              <w:rPr>
                <w:rFonts w:ascii="Arial" w:cs="Arial" w:eastAsia="Arial" w:hAnsi="Arial"/>
                <w:sz w:val="18"/>
                <w:szCs w:val="18"/>
                <w:color w:val="auto"/>
                <w:vertAlign w:val="superscript"/>
              </w:rPr>
              <w:t>(4)</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120"/>
              <w:spacing w:after="0"/>
              <w:rPr>
                <w:sz w:val="20"/>
                <w:szCs w:val="20"/>
                <w:color w:val="auto"/>
              </w:rPr>
            </w:pPr>
            <w:r>
              <w:rPr>
                <w:rFonts w:ascii="Arial" w:cs="Arial" w:eastAsia="Arial" w:hAnsi="Arial"/>
                <w:sz w:val="14"/>
                <w:szCs w:val="14"/>
                <w:color w:val="auto"/>
              </w:rPr>
              <w:t>Crude oil pipelines tariff volumes (by region):</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Permian Basin </w:t>
            </w:r>
            <w:r>
              <w:rPr>
                <w:rFonts w:ascii="Arial" w:cs="Arial" w:eastAsia="Arial" w:hAnsi="Arial"/>
                <w:sz w:val="18"/>
                <w:szCs w:val="18"/>
                <w:color w:val="auto"/>
                <w:vertAlign w:val="superscript"/>
              </w:rPr>
              <w:t>(5)</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80"/>
              <w:spacing w:after="0" w:line="181" w:lineRule="exact"/>
              <w:rPr>
                <w:sz w:val="20"/>
                <w:szCs w:val="20"/>
                <w:color w:val="auto"/>
              </w:rPr>
            </w:pPr>
            <w:r>
              <w:rPr>
                <w:rFonts w:ascii="Arial" w:cs="Arial" w:eastAsia="Arial" w:hAnsi="Arial"/>
                <w:sz w:val="14"/>
                <w:szCs w:val="14"/>
                <w:color w:val="auto"/>
              </w:rPr>
              <w:t xml:space="preserve">South Texas / Eagle Ford </w:t>
            </w:r>
            <w:r>
              <w:rPr>
                <w:rFonts w:ascii="Arial" w:cs="Arial" w:eastAsia="Arial" w:hAnsi="Arial"/>
                <w:sz w:val="18"/>
                <w:szCs w:val="18"/>
                <w:color w:val="auto"/>
                <w:vertAlign w:val="superscript"/>
              </w:rPr>
              <w:t>(5)</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446</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Mid-Continent </w:t>
            </w:r>
            <w:r>
              <w:rPr>
                <w:rFonts w:ascii="Arial" w:cs="Arial" w:eastAsia="Arial" w:hAnsi="Arial"/>
                <w:sz w:val="18"/>
                <w:szCs w:val="18"/>
                <w:color w:val="auto"/>
                <w:vertAlign w:val="superscript"/>
              </w:rPr>
              <w:t>(5)</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80"/>
              <w:spacing w:after="0"/>
              <w:rPr>
                <w:sz w:val="20"/>
                <w:szCs w:val="20"/>
                <w:color w:val="auto"/>
              </w:rPr>
            </w:pPr>
            <w:r>
              <w:rPr>
                <w:rFonts w:ascii="Arial" w:cs="Arial" w:eastAsia="Arial" w:hAnsi="Arial"/>
                <w:sz w:val="14"/>
                <w:szCs w:val="14"/>
                <w:color w:val="auto"/>
              </w:rPr>
              <w:t>Gulf Coast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Rocky Mountain </w:t>
            </w:r>
            <w:r>
              <w:rPr>
                <w:rFonts w:ascii="Arial" w:cs="Arial" w:eastAsia="Arial" w:hAnsi="Arial"/>
                <w:sz w:val="18"/>
                <w:szCs w:val="18"/>
                <w:color w:val="auto"/>
                <w:vertAlign w:val="superscript"/>
              </w:rPr>
              <w:t>(5)</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80"/>
              <w:spacing w:after="0"/>
              <w:rPr>
                <w:sz w:val="20"/>
                <w:szCs w:val="20"/>
                <w:color w:val="auto"/>
              </w:rPr>
            </w:pPr>
            <w:r>
              <w:rPr>
                <w:rFonts w:ascii="Arial" w:cs="Arial" w:eastAsia="Arial" w:hAnsi="Arial"/>
                <w:sz w:val="14"/>
                <w:szCs w:val="14"/>
                <w:color w:val="auto"/>
              </w:rPr>
              <w:t>Western</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198</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left="451"/>
              <w:spacing w:after="0"/>
              <w:rPr>
                <w:sz w:val="20"/>
                <w:szCs w:val="20"/>
                <w:color w:val="auto"/>
              </w:rPr>
            </w:pPr>
            <w:r>
              <w:rPr>
                <w:rFonts w:ascii="Arial" w:cs="Arial" w:eastAsia="Arial" w:hAnsi="Arial"/>
                <w:sz w:val="14"/>
                <w:szCs w:val="14"/>
                <w:color w:val="auto"/>
                <w:w w:val="93"/>
              </w:rPr>
              <w:t>(8)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1"/>
        </w:trPr>
        <w:tc>
          <w:tcPr>
            <w:tcW w:w="4040" w:type="dxa"/>
            <w:vAlign w:val="bottom"/>
            <w:gridSpan w:val="4"/>
          </w:tcPr>
          <w:p>
            <w:pPr>
              <w:ind w:left="120"/>
              <w:spacing w:after="0"/>
              <w:rPr>
                <w:sz w:val="20"/>
                <w:szCs w:val="20"/>
                <w:color w:val="auto"/>
              </w:rPr>
            </w:pPr>
            <w:r>
              <w:rPr>
                <w:rFonts w:ascii="Arial" w:cs="Arial" w:eastAsia="Arial" w:hAnsi="Arial"/>
                <w:sz w:val="14"/>
                <w:szCs w:val="14"/>
                <w:color w:val="auto"/>
              </w:rPr>
              <w:t>Crude oil pipelines tariff activities total volumes</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6,205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6,613</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line="181" w:lineRule="exact"/>
              <w:rPr>
                <w:sz w:val="20"/>
                <w:szCs w:val="20"/>
                <w:color w:val="auto"/>
              </w:rPr>
            </w:pPr>
            <w:r>
              <w:rPr>
                <w:rFonts w:ascii="Arial" w:cs="Arial" w:eastAsia="Arial" w:hAnsi="Arial"/>
                <w:sz w:val="14"/>
                <w:szCs w:val="14"/>
                <w:color w:val="auto"/>
              </w:rPr>
              <w:t xml:space="preserve">Commercial crude oil storage capacity </w:t>
            </w:r>
            <w:r>
              <w:rPr>
                <w:rFonts w:ascii="Arial" w:cs="Arial" w:eastAsia="Arial" w:hAnsi="Arial"/>
                <w:sz w:val="18"/>
                <w:szCs w:val="18"/>
                <w:color w:val="auto"/>
                <w:vertAlign w:val="superscript"/>
              </w:rPr>
              <w:t>(5)(6)</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left="451"/>
              <w:spacing w:after="0"/>
              <w:rPr>
                <w:sz w:val="20"/>
                <w:szCs w:val="20"/>
                <w:color w:val="auto"/>
              </w:rPr>
            </w:pPr>
            <w:r>
              <w:rPr>
                <w:rFonts w:ascii="Arial" w:cs="Arial" w:eastAsia="Arial" w:hAnsi="Arial"/>
                <w:sz w:val="14"/>
                <w:szCs w:val="14"/>
                <w:color w:val="auto"/>
                <w:w w:val="93"/>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line="181" w:lineRule="exact"/>
              <w:rPr>
                <w:sz w:val="20"/>
                <w:szCs w:val="20"/>
                <w:color w:val="auto"/>
              </w:rPr>
            </w:pPr>
            <w:r>
              <w:rPr>
                <w:rFonts w:ascii="Arial" w:cs="Arial" w:eastAsia="Arial" w:hAnsi="Arial"/>
                <w:sz w:val="14"/>
                <w:szCs w:val="14"/>
                <w:color w:val="auto"/>
              </w:rPr>
              <w:t xml:space="preserve">Crude oil lease gathering purchases </w:t>
            </w:r>
            <w:r>
              <w:rPr>
                <w:rFonts w:ascii="Arial" w:cs="Arial" w:eastAsia="Arial" w:hAnsi="Arial"/>
                <w:sz w:val="18"/>
                <w:szCs w:val="18"/>
                <w:color w:val="auto"/>
                <w:vertAlign w:val="superscript"/>
              </w:rPr>
              <w:t>(4) (7)</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1,162</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9"/>
        </w:trPr>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3" w:name="page84"/>
    <w:bookmarkEnd w:id="8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that variance as a percentage is not meaningful.</w:t>
      </w:r>
    </w:p>
    <w:p>
      <w:pPr>
        <w:spacing w:after="0" w:line="67" w:lineRule="exact"/>
        <w:rPr>
          <w:sz w:val="20"/>
          <w:szCs w:val="20"/>
          <w:color w:val="auto"/>
        </w:rPr>
      </w:pPr>
    </w:p>
    <w:p>
      <w:pPr>
        <w:ind w:left="500" w:hanging="495"/>
        <w:spacing w:after="0"/>
        <w:tabs>
          <w:tab w:leader="none" w:pos="5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Revenues and costs and expenses include intersegment amounts.</w:t>
      </w:r>
    </w:p>
    <w:p>
      <w:pPr>
        <w:spacing w:after="0" w:line="74" w:lineRule="exact"/>
        <w:rPr>
          <w:rFonts w:ascii="Arial" w:cs="Arial" w:eastAsia="Arial" w:hAnsi="Arial"/>
          <w:sz w:val="18"/>
          <w:szCs w:val="18"/>
          <w:color w:val="auto"/>
          <w:vertAlign w:val="superscript"/>
        </w:rPr>
      </w:pPr>
    </w:p>
    <w:p>
      <w:pPr>
        <w:ind w:left="520" w:right="200" w:hanging="515"/>
        <w:spacing w:after="0" w:line="228" w:lineRule="auto"/>
        <w:tabs>
          <w:tab w:leader="none" w:pos="51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Represents adjustments included in the performance measure utilized by our CODM in the evaluation of segment results. See Note 20 to our Consolidated Financial Statements for additional discussion of such adjustments.</w:t>
      </w:r>
    </w:p>
    <w:p>
      <w:pPr>
        <w:spacing w:after="0" w:line="74" w:lineRule="exact"/>
        <w:rPr>
          <w:rFonts w:ascii="Arial" w:cs="Arial" w:eastAsia="Arial" w:hAnsi="Arial"/>
          <w:sz w:val="18"/>
          <w:szCs w:val="18"/>
          <w:color w:val="auto"/>
          <w:vertAlign w:val="superscript"/>
        </w:rPr>
      </w:pPr>
    </w:p>
    <w:p>
      <w:pPr>
        <w:ind w:left="520" w:right="100" w:hanging="515"/>
        <w:spacing w:after="0" w:line="235" w:lineRule="auto"/>
        <w:tabs>
          <w:tab w:leader="none" w:pos="51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Average daily volumes in thousands of barrels per day calculated as the total volumes (attributable to our interest for pipelines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pacing w:after="0" w:line="4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Includes volumes (attributable to our interest) from assets owned by unconsolidated entities.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Average monthly capacity in millions of barrels per day calculated as total volumes for the year divided by the number of months in the year.</w:t>
      </w:r>
    </w:p>
    <w:p>
      <w:pPr>
        <w:spacing w:after="0" w:line="75" w:lineRule="exact"/>
        <w:rPr>
          <w:rFonts w:ascii="Arial" w:cs="Arial" w:eastAsia="Arial" w:hAnsi="Arial"/>
          <w:sz w:val="18"/>
          <w:szCs w:val="18"/>
          <w:color w:val="auto"/>
          <w:vertAlign w:val="superscript"/>
        </w:rPr>
      </w:pPr>
    </w:p>
    <w:p>
      <w:pPr>
        <w:ind w:left="520" w:right="260" w:hanging="515"/>
        <w:spacing w:after="0" w:line="228" w:lineRule="auto"/>
        <w:tabs>
          <w:tab w:leader="none" w:pos="51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Of this amount, approximately 1,038 thousand barrels per day (“MBbls/d”), 862 MBbls/d and 767 MBbls/d were purchased in the Permian Basin for the years ended December 31, 2021, 2020 and 2019, respectively.</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i w:val="1"/>
          <w:iCs w:val="1"/>
          <w:color w:val="auto"/>
        </w:rPr>
        <w:t>Segment Adjusted EBITDA</w:t>
      </w:r>
    </w:p>
    <w:p>
      <w:pPr>
        <w:spacing w:after="0" w:line="200" w:lineRule="exact"/>
        <w:rPr>
          <w:sz w:val="20"/>
          <w:szCs w:val="20"/>
          <w:color w:val="auto"/>
        </w:rPr>
      </w:pPr>
    </w:p>
    <w:p>
      <w:pPr>
        <w:ind w:right="300" w:firstLine="509"/>
        <w:spacing w:after="0" w:line="279" w:lineRule="auto"/>
        <w:rPr>
          <w:sz w:val="20"/>
          <w:szCs w:val="20"/>
          <w:color w:val="auto"/>
        </w:rPr>
      </w:pPr>
      <w:r>
        <w:rPr>
          <w:rFonts w:ascii="Arial" w:cs="Arial" w:eastAsia="Arial" w:hAnsi="Arial"/>
          <w:sz w:val="13"/>
          <w:szCs w:val="13"/>
          <w:color w:val="auto"/>
        </w:rPr>
        <w:t>Crude Oil Segment Adjusted EBITDA decreased for the year ended December 31, 2021 compared to the year ended December 31, 2020 primarily due to less favorable crude oil market conditions for our merchant activities in 2021 (largely associated with decreased contango margins and continuing compressed regional basis differentials). In addition, the 2021 period was negatively impacted by asset sales. These impacts were partially offset by lower field operating costs and slightly higher volumes on our pipeline assets.</w:t>
      </w:r>
    </w:p>
    <w:p>
      <w:pPr>
        <w:spacing w:after="0" w:line="147" w:lineRule="exact"/>
        <w:rPr>
          <w:sz w:val="20"/>
          <w:szCs w:val="20"/>
          <w:color w:val="auto"/>
        </w:rPr>
      </w:pPr>
    </w:p>
    <w:p>
      <w:pPr>
        <w:ind w:firstLine="509"/>
        <w:spacing w:after="0" w:line="251" w:lineRule="auto"/>
        <w:rPr>
          <w:sz w:val="20"/>
          <w:szCs w:val="20"/>
          <w:color w:val="auto"/>
        </w:rPr>
      </w:pPr>
      <w:r>
        <w:rPr>
          <w:rFonts w:ascii="Arial" w:cs="Arial" w:eastAsia="Arial" w:hAnsi="Arial"/>
          <w:sz w:val="14"/>
          <w:szCs w:val="14"/>
          <w:color w:val="auto"/>
        </w:rPr>
        <w:t>Crude Oil Segment Adjusted EBITDA decreased for the year ended December 31, 2020 compared to the year ended December 31, 2019 primarily due to overall less favorable crude oil market conditions for our merchant activities during 2020 (compressed regional basis differentials, partially offset by the favorable impact of contango margins) and lower pipeline volumes caused by the impact of the COVID-19 pandemic, partially offset by lower field operating costs.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various components of Segment Adjusted EBITDA are discussed further below.</w:t>
      </w:r>
    </w:p>
    <w:p>
      <w:pPr>
        <w:spacing w:after="0" w:line="200"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i w:val="1"/>
          <w:iCs w:val="1"/>
          <w:color w:val="auto"/>
        </w:rPr>
        <w:t xml:space="preserve">Revenues, Net of Purchases and Related Costs (“net revenues”) and Equity Earnings in Unconsolidated Entities. </w:t>
      </w:r>
      <w:r>
        <w:rPr>
          <w:rFonts w:ascii="Arial" w:cs="Arial" w:eastAsia="Arial" w:hAnsi="Arial"/>
          <w:sz w:val="14"/>
          <w:szCs w:val="14"/>
          <w:color w:val="auto"/>
        </w:rPr>
        <w:t>The following is a discussion of the significant items impacting net</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and equity earnings in unconsolidated entities for the comparable 2021, 2020 and 2019 periods.</w:t>
      </w:r>
    </w:p>
    <w:p>
      <w:pPr>
        <w:spacing w:after="0" w:line="143" w:lineRule="exact"/>
        <w:rPr>
          <w:sz w:val="20"/>
          <w:szCs w:val="20"/>
          <w:color w:val="auto"/>
        </w:rPr>
      </w:pPr>
    </w:p>
    <w:p>
      <w:pPr>
        <w:ind w:left="760" w:right="140" w:hanging="246"/>
        <w:spacing w:after="0" w:line="237"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COVID-19 Impact. </w:t>
      </w:r>
      <w:r>
        <w:rPr>
          <w:rFonts w:ascii="Arial" w:cs="Arial" w:eastAsia="Arial" w:hAnsi="Arial"/>
          <w:sz w:val="14"/>
          <w:szCs w:val="14"/>
          <w:color w:val="auto"/>
        </w:rPr>
        <w:t>Crude oil production in the U.S. stabilized in 2021 and while it began increasing in the second half of the year, on average, U.S. crude oil production was slightly</w:t>
      </w:r>
      <w:r>
        <w:rPr>
          <w:rFonts w:ascii="Arial" w:cs="Arial" w:eastAsia="Arial" w:hAnsi="Arial"/>
          <w:sz w:val="14"/>
          <w:szCs w:val="14"/>
          <w:i w:val="1"/>
          <w:iCs w:val="1"/>
          <w:color w:val="auto"/>
        </w:rPr>
        <w:t xml:space="preserve"> </w:t>
      </w:r>
      <w:r>
        <w:rPr>
          <w:rFonts w:ascii="Arial" w:cs="Arial" w:eastAsia="Arial" w:hAnsi="Arial"/>
          <w:sz w:val="14"/>
          <w:szCs w:val="14"/>
          <w:color w:val="auto"/>
        </w:rPr>
        <w:t>lower than the 2020 average. In 2020, crude oil production in the U.S. was nearly 1 million barrels per day lower than the 2019 average, as the pandemic significantly reduced demand for crude oil.</w:t>
      </w:r>
    </w:p>
    <w:p>
      <w:pPr>
        <w:spacing w:after="0" w:line="170" w:lineRule="exact"/>
        <w:rPr>
          <w:rFonts w:ascii="Arial" w:cs="Arial" w:eastAsia="Arial" w:hAnsi="Arial"/>
          <w:sz w:val="14"/>
          <w:szCs w:val="14"/>
          <w:color w:val="auto"/>
        </w:rPr>
      </w:pPr>
    </w:p>
    <w:p>
      <w:pPr>
        <w:ind w:left="760" w:right="160"/>
        <w:spacing w:after="0" w:line="262" w:lineRule="auto"/>
        <w:rPr>
          <w:rFonts w:ascii="Arial" w:cs="Arial" w:eastAsia="Arial" w:hAnsi="Arial"/>
          <w:sz w:val="14"/>
          <w:szCs w:val="14"/>
          <w:color w:val="auto"/>
        </w:rPr>
      </w:pPr>
      <w:r>
        <w:rPr>
          <w:rFonts w:ascii="Arial" w:cs="Arial" w:eastAsia="Arial" w:hAnsi="Arial"/>
          <w:sz w:val="14"/>
          <w:szCs w:val="14"/>
          <w:color w:val="auto"/>
        </w:rPr>
        <w:t>These factors resulted in lower pipeline transportation net revenues across the majority of the regions in which we operate in 2020 as compared to 2019 and unfavorable market conditions and lower earnings from our merchant activities during 2020 and 2021 highlighted by less favorable crude oil differentials, particularly the differential between the value of crude oil in the Permian Basin compared to the Gulf Coast market. Those negative conditions were partially offset by the favorable impact of contango market conditions during 2020 and, to a lesser extent, during 2021.</w:t>
      </w:r>
    </w:p>
    <w:p>
      <w:pPr>
        <w:spacing w:after="0" w:line="167" w:lineRule="exact"/>
        <w:rPr>
          <w:rFonts w:ascii="Arial" w:cs="Arial" w:eastAsia="Arial" w:hAnsi="Arial"/>
          <w:sz w:val="14"/>
          <w:szCs w:val="14"/>
          <w:color w:val="auto"/>
        </w:rPr>
      </w:pPr>
    </w:p>
    <w:p>
      <w:pPr>
        <w:ind w:left="760" w:hanging="246"/>
        <w:spacing w:after="0" w:line="267" w:lineRule="auto"/>
        <w:tabs>
          <w:tab w:leader="none" w:pos="756" w:val="left"/>
        </w:tabs>
        <w:numPr>
          <w:ilvl w:val="0"/>
          <w:numId w:val="48"/>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Winter Storm Uri. </w:t>
      </w:r>
      <w:r>
        <w:rPr>
          <w:rFonts w:ascii="Arial" w:cs="Arial" w:eastAsia="Arial" w:hAnsi="Arial"/>
          <w:sz w:val="14"/>
          <w:szCs w:val="14"/>
          <w:color w:val="auto"/>
        </w:rPr>
        <w:t>The extreme winter weather event that occurred in February 2021 (“Winter Storm Uri”) resulted in shut-ins that further compounded the impact of the COVID-19</w:t>
      </w:r>
      <w:r>
        <w:rPr>
          <w:rFonts w:ascii="Arial" w:cs="Arial" w:eastAsia="Arial" w:hAnsi="Arial"/>
          <w:sz w:val="14"/>
          <w:szCs w:val="14"/>
          <w:i w:val="1"/>
          <w:iCs w:val="1"/>
          <w:color w:val="auto"/>
        </w:rPr>
        <w:t xml:space="preserve"> </w:t>
      </w:r>
      <w:r>
        <w:rPr>
          <w:rFonts w:ascii="Arial" w:cs="Arial" w:eastAsia="Arial" w:hAnsi="Arial"/>
          <w:sz w:val="14"/>
          <w:szCs w:val="14"/>
          <w:color w:val="auto"/>
        </w:rPr>
        <w:t>pandemic-related reset to production on our pipeline volumes. The resulting unfavorable impact on our revenues was more than offset by the favorable impact from lower power costs on equity earnings and field operating costs, as discussed further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4" w:name="page85"/>
    <w:bookmarkEnd w:id="8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right="120" w:hanging="246"/>
        <w:spacing w:after="0" w:line="297" w:lineRule="auto"/>
        <w:tabs>
          <w:tab w:leader="none" w:pos="756" w:val="left"/>
        </w:tabs>
        <w:numPr>
          <w:ilvl w:val="0"/>
          <w:numId w:val="49"/>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Equity Earnings in Unconsolidated Entities. </w:t>
      </w:r>
      <w:r>
        <w:rPr>
          <w:rFonts w:ascii="Arial" w:cs="Arial" w:eastAsia="Arial" w:hAnsi="Arial"/>
          <w:sz w:val="13"/>
          <w:szCs w:val="13"/>
          <w:color w:val="auto"/>
        </w:rPr>
        <w:t>Volumes on pipelines owned by unconsolidated entities were also negatively impacted by the COVID-19 pandemic-related production</w:t>
      </w:r>
      <w:r>
        <w:rPr>
          <w:rFonts w:ascii="Arial" w:cs="Arial" w:eastAsia="Arial" w:hAnsi="Arial"/>
          <w:sz w:val="13"/>
          <w:szCs w:val="13"/>
          <w:i w:val="1"/>
          <w:iCs w:val="1"/>
          <w:color w:val="auto"/>
        </w:rPr>
        <w:t xml:space="preserve"> </w:t>
      </w:r>
      <w:r>
        <w:rPr>
          <w:rFonts w:ascii="Arial" w:cs="Arial" w:eastAsia="Arial" w:hAnsi="Arial"/>
          <w:sz w:val="13"/>
          <w:szCs w:val="13"/>
          <w:color w:val="auto"/>
        </w:rPr>
        <w:t>declines and, for the pipelines located in the Permian Basin and South Texas/Eagle Ford regions, the effects of Winter Storm Uri in 2021. The unfavorable impact of the lower volumes on equity earnings was partially offset by lower power costs, including the impact of gains related to hedged power costs resulting from Winter Storm Uri.</w:t>
      </w:r>
    </w:p>
    <w:p>
      <w:pPr>
        <w:spacing w:after="0" w:line="145" w:lineRule="exact"/>
        <w:rPr>
          <w:rFonts w:ascii="Arial" w:cs="Arial" w:eastAsia="Arial" w:hAnsi="Arial"/>
          <w:sz w:val="13"/>
          <w:szCs w:val="13"/>
          <w:b w:val="1"/>
          <w:bCs w:val="1"/>
          <w:i w:val="1"/>
          <w:iCs w:val="1"/>
          <w:color w:val="auto"/>
        </w:rPr>
      </w:pPr>
    </w:p>
    <w:p>
      <w:pPr>
        <w:ind w:left="760" w:right="240"/>
        <w:spacing w:after="0" w:line="297" w:lineRule="auto"/>
        <w:rPr>
          <w:rFonts w:ascii="Arial" w:cs="Arial" w:eastAsia="Arial" w:hAnsi="Arial"/>
          <w:sz w:val="13"/>
          <w:szCs w:val="13"/>
          <w:b w:val="1"/>
          <w:bCs w:val="1"/>
          <w:i w:val="1"/>
          <w:iCs w:val="1"/>
          <w:color w:val="auto"/>
        </w:rPr>
      </w:pPr>
      <w:r>
        <w:rPr>
          <w:rFonts w:ascii="Arial" w:cs="Arial" w:eastAsia="Arial" w:hAnsi="Arial"/>
          <w:sz w:val="13"/>
          <w:szCs w:val="13"/>
          <w:color w:val="auto"/>
        </w:rPr>
        <w:t>In addition, equity earnings for the 2021 period were negatively impacted by (i) the write-off of costs associated with the cancellation of capital projects and (ii) depreciation expense and transition costs associated with phase one of the Wink to Webster pipeline being placed into service during the first quarter of 2021. Such costs are included in the line item “Depreciation and amortization of unconsolidated entities” in the table above as an adjustment to arrive at Segment Adjusted EBITDA.</w:t>
      </w:r>
    </w:p>
    <w:p>
      <w:pPr>
        <w:spacing w:after="0" w:line="145" w:lineRule="exact"/>
        <w:rPr>
          <w:rFonts w:ascii="Arial" w:cs="Arial" w:eastAsia="Arial" w:hAnsi="Arial"/>
          <w:sz w:val="13"/>
          <w:szCs w:val="13"/>
          <w:b w:val="1"/>
          <w:bCs w:val="1"/>
          <w:i w:val="1"/>
          <w:iCs w:val="1"/>
          <w:color w:val="auto"/>
        </w:rPr>
      </w:pPr>
    </w:p>
    <w:p>
      <w:pPr>
        <w:ind w:left="760" w:right="100" w:hanging="246"/>
        <w:spacing w:after="0" w:line="260" w:lineRule="auto"/>
        <w:tabs>
          <w:tab w:leader="none" w:pos="756"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Minimum Volume Commitments. </w:t>
      </w:r>
      <w:r>
        <w:rPr>
          <w:rFonts w:ascii="Arial" w:cs="Arial" w:eastAsia="Arial" w:hAnsi="Arial"/>
          <w:sz w:val="14"/>
          <w:szCs w:val="14"/>
          <w:color w:val="auto"/>
        </w:rPr>
        <w:t>A portion of the lower volumes experienced on our pipelines, and pipelines owned by unconsolidated entities, in 2020 were covered by minimum</w:t>
      </w:r>
      <w:r>
        <w:rPr>
          <w:rFonts w:ascii="Arial" w:cs="Arial" w:eastAsia="Arial" w:hAnsi="Arial"/>
          <w:sz w:val="14"/>
          <w:szCs w:val="14"/>
          <w:i w:val="1"/>
          <w:iCs w:val="1"/>
          <w:color w:val="auto"/>
        </w:rPr>
        <w:t xml:space="preserve"> </w:t>
      </w:r>
      <w:r>
        <w:rPr>
          <w:rFonts w:ascii="Arial" w:cs="Arial" w:eastAsia="Arial" w:hAnsi="Arial"/>
          <w:sz w:val="14"/>
          <w:szCs w:val="14"/>
          <w:color w:val="auto"/>
        </w:rPr>
        <w:t>volume commitments, some of which had make-up rights. For contracts that have make-up rights, although payment has been received associated with the volume deficiency, the earnings are not recognized until future periods when either the shortfall is made up or when the shipper’s make-up rights expire or it is determined that their ability to utilize the make-up right is remote. Such deficiencies are reflected as an “Adjustment” in the table above as discussed further below under “—</w:t>
      </w:r>
      <w:r>
        <w:rPr>
          <w:rFonts w:ascii="Arial" w:cs="Arial" w:eastAsia="Arial" w:hAnsi="Arial"/>
          <w:sz w:val="14"/>
          <w:szCs w:val="14"/>
          <w:i w:val="1"/>
          <w:iCs w:val="1"/>
          <w:color w:val="auto"/>
        </w:rPr>
        <w:t>Adjustments</w:t>
      </w:r>
      <w:r>
        <w:rPr>
          <w:rFonts w:ascii="Arial" w:cs="Arial" w:eastAsia="Arial" w:hAnsi="Arial"/>
          <w:sz w:val="14"/>
          <w:szCs w:val="14"/>
          <w:color w:val="auto"/>
        </w:rPr>
        <w:t>—</w:t>
      </w:r>
      <w:r>
        <w:rPr>
          <w:rFonts w:ascii="Arial" w:cs="Arial" w:eastAsia="Arial" w:hAnsi="Arial"/>
          <w:sz w:val="14"/>
          <w:szCs w:val="14"/>
          <w:i w:val="1"/>
          <w:iCs w:val="1"/>
          <w:color w:val="auto"/>
        </w:rPr>
        <w:t>Deficiencies under minimum volume</w:t>
      </w:r>
      <w:r>
        <w:rPr>
          <w:rFonts w:ascii="Arial" w:cs="Arial" w:eastAsia="Arial" w:hAnsi="Arial"/>
          <w:sz w:val="14"/>
          <w:szCs w:val="14"/>
          <w:color w:val="auto"/>
        </w:rPr>
        <w:t xml:space="preserve"> </w:t>
      </w:r>
      <w:r>
        <w:rPr>
          <w:rFonts w:ascii="Arial" w:cs="Arial" w:eastAsia="Arial" w:hAnsi="Arial"/>
          <w:sz w:val="14"/>
          <w:szCs w:val="14"/>
          <w:i w:val="1"/>
          <w:iCs w:val="1"/>
          <w:color w:val="auto"/>
        </w:rPr>
        <w:t>commitments, net.</w:t>
      </w:r>
      <w:r>
        <w:rPr>
          <w:rFonts w:ascii="Arial" w:cs="Arial" w:eastAsia="Arial" w:hAnsi="Arial"/>
          <w:sz w:val="14"/>
          <w:szCs w:val="14"/>
          <w:color w:val="auto"/>
        </w:rPr>
        <w:t>”</w:t>
      </w:r>
    </w:p>
    <w:p>
      <w:pPr>
        <w:spacing w:after="0" w:line="167" w:lineRule="exact"/>
        <w:rPr>
          <w:rFonts w:ascii="Arial" w:cs="Arial" w:eastAsia="Arial" w:hAnsi="Arial"/>
          <w:sz w:val="14"/>
          <w:szCs w:val="14"/>
          <w:b w:val="1"/>
          <w:bCs w:val="1"/>
          <w:i w:val="1"/>
          <w:iCs w:val="1"/>
          <w:color w:val="auto"/>
        </w:rPr>
      </w:pPr>
    </w:p>
    <w:p>
      <w:pPr>
        <w:ind w:left="760" w:right="360" w:hanging="246"/>
        <w:spacing w:after="0" w:line="281" w:lineRule="auto"/>
        <w:tabs>
          <w:tab w:leader="none" w:pos="756"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Asset Sales</w:t>
      </w:r>
      <w:r>
        <w:rPr>
          <w:rFonts w:ascii="Arial" w:cs="Arial" w:eastAsia="Arial" w:hAnsi="Arial"/>
          <w:sz w:val="14"/>
          <w:szCs w:val="14"/>
          <w:color w:val="auto"/>
        </w:rPr>
        <w:t>. Storage and terminalling fees for 2021 compared to 2020 were unfavorably impacted by the sale of (i) our natural gas storage facilities in August 2021 and (ii) our Los</w:t>
      </w:r>
      <w:r>
        <w:rPr>
          <w:rFonts w:ascii="Arial" w:cs="Arial" w:eastAsia="Arial" w:hAnsi="Arial"/>
          <w:sz w:val="14"/>
          <w:szCs w:val="14"/>
          <w:i w:val="1"/>
          <w:iCs w:val="1"/>
          <w:color w:val="auto"/>
        </w:rPr>
        <w:t xml:space="preserve"> </w:t>
      </w:r>
      <w:r>
        <w:rPr>
          <w:rFonts w:ascii="Arial" w:cs="Arial" w:eastAsia="Arial" w:hAnsi="Arial"/>
          <w:sz w:val="14"/>
          <w:szCs w:val="14"/>
          <w:color w:val="auto"/>
        </w:rPr>
        <w:t>Angeles Basin terminals in October 2020.</w:t>
      </w:r>
    </w:p>
    <w:p>
      <w:pPr>
        <w:spacing w:after="0" w:line="153"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i w:val="1"/>
          <w:iCs w:val="1"/>
          <w:color w:val="auto"/>
        </w:rPr>
        <w:t xml:space="preserve">Field Operating Costs. </w:t>
      </w:r>
      <w:r>
        <w:rPr>
          <w:rFonts w:ascii="Arial" w:cs="Arial" w:eastAsia="Arial" w:hAnsi="Arial"/>
          <w:sz w:val="14"/>
          <w:szCs w:val="14"/>
          <w:color w:val="auto"/>
        </w:rPr>
        <w:t>The decrease in field operating costs for the year ended December 31, 2021 compared to the year ended December 31, 2020 was primarily due to (i) lower power</w:t>
      </w:r>
      <w:r>
        <w:rPr>
          <w:rFonts w:ascii="Arial" w:cs="Arial" w:eastAsia="Arial" w:hAnsi="Arial"/>
          <w:sz w:val="14"/>
          <w:szCs w:val="14"/>
          <w:i w:val="1"/>
          <w:iCs w:val="1"/>
          <w:color w:val="auto"/>
        </w:rPr>
        <w:t xml:space="preserve"> </w:t>
      </w:r>
      <w:r>
        <w:rPr>
          <w:rFonts w:ascii="Arial" w:cs="Arial" w:eastAsia="Arial" w:hAnsi="Arial"/>
          <w:sz w:val="14"/>
          <w:szCs w:val="14"/>
          <w:color w:val="auto"/>
        </w:rPr>
        <w:t>costs, including the impact of gains related to hedged power costs resulting from Winter Storm Uri, (ii) lower compensation costs resulting from lower headcount and the sales of our natural gas storage facilities in August 2021 and Los Angeles Basin terminals in October 2020, (iii) lower long-haul third-party trucking costs and a decrease in company personnel and truck costs as more of our supply was connected to pipelines and taken off trucks and (iv) streamlining efforts which have resulted in decreases in variable costs. These favorable impacts were partially offset by (i) incremental operating costs from the Permian JV and (ii) additional estimated costs associated with the Line 901 incident (which impact field operating costs but are excluded from Segment Adjusted EBITDA and thus are reflected as an “Adjustment” in the table above).</w:t>
      </w:r>
    </w:p>
    <w:p>
      <w:pPr>
        <w:spacing w:after="0" w:line="171" w:lineRule="exact"/>
        <w:rPr>
          <w:sz w:val="20"/>
          <w:szCs w:val="20"/>
          <w:color w:val="auto"/>
        </w:rPr>
      </w:pPr>
    </w:p>
    <w:p>
      <w:pPr>
        <w:ind w:firstLine="509"/>
        <w:spacing w:after="0" w:line="304" w:lineRule="auto"/>
        <w:rPr>
          <w:sz w:val="20"/>
          <w:szCs w:val="20"/>
          <w:color w:val="auto"/>
        </w:rPr>
      </w:pPr>
      <w:r>
        <w:rPr>
          <w:rFonts w:ascii="Arial" w:cs="Arial" w:eastAsia="Arial" w:hAnsi="Arial"/>
          <w:sz w:val="12"/>
          <w:szCs w:val="12"/>
          <w:color w:val="auto"/>
        </w:rPr>
        <w:t>The decrease in field operating costs for the year ended December 31, 2020 compared to the year ended December 31, 2019 was primarily due to (i) a decrease in variable costs due to lower volumes, (ii) a decrease of maintenance and integrity management activities, primarily due to interval changes facilitated through risk-based data application, (iii) reduced activity at our rail terminals,</w:t>
      </w:r>
    </w:p>
    <w:p>
      <w:pPr>
        <w:ind w:right="220" w:firstLine="5"/>
        <w:spacing w:after="0" w:line="288" w:lineRule="auto"/>
        <w:tabs>
          <w:tab w:leader="none" w:pos="239"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decrease in long-haul third-party trucking costs and a decrease in company personnel and truck costs as more of our supply was connected to pipelines and taken off trucks and (v) additional estimated costs recognized in 2019 associated with the Line 901 incident (which impact field operating costs but are excluded from Segment Adjusted EBITDA and thus are reflected as an “Adjustment” in the table above). Such favorable impacts were partially offset by higher property taxes attributable to assets placed in service in 2020 and increased property valuations.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Segment General and Administrative Expenses. </w:t>
      </w:r>
      <w:r>
        <w:rPr>
          <w:rFonts w:ascii="Arial" w:cs="Arial" w:eastAsia="Arial" w:hAnsi="Arial"/>
          <w:sz w:val="14"/>
          <w:szCs w:val="14"/>
          <w:color w:val="auto"/>
        </w:rPr>
        <w:t>See the “—Consolidated Results” section above for a discussion of general and administrative expenses.</w:t>
      </w:r>
    </w:p>
    <w:p>
      <w:pPr>
        <w:spacing w:after="0" w:line="200"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The following is a discussion of adjustments included in the calculation of Segment Adjusted EBITDA, the performance measure utilized by our CODM in the evaluation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segment results.</w:t>
      </w:r>
    </w:p>
    <w:p>
      <w:pPr>
        <w:spacing w:after="0" w:line="153" w:lineRule="exact"/>
        <w:rPr>
          <w:sz w:val="20"/>
          <w:szCs w:val="20"/>
          <w:color w:val="auto"/>
        </w:rPr>
      </w:pPr>
    </w:p>
    <w:p>
      <w:pPr>
        <w:ind w:left="760" w:hanging="246"/>
        <w:spacing w:after="0" w:line="257"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Deficiencies under minimum volume commitments, net. </w:t>
      </w:r>
      <w:r>
        <w:rPr>
          <w:rFonts w:ascii="Arial" w:cs="Arial" w:eastAsia="Arial" w:hAnsi="Arial"/>
          <w:sz w:val="14"/>
          <w:szCs w:val="14"/>
          <w:color w:val="auto"/>
        </w:rPr>
        <w:t>Many industry infrastructure projects developed and completed over the last several years were underpinned by long-term</w:t>
      </w:r>
      <w:r>
        <w:rPr>
          <w:rFonts w:ascii="Arial" w:cs="Arial" w:eastAsia="Arial" w:hAnsi="Arial"/>
          <w:sz w:val="14"/>
          <w:szCs w:val="14"/>
          <w:i w:val="1"/>
          <w:iCs w:val="1"/>
          <w:color w:val="auto"/>
        </w:rPr>
        <w:t xml:space="preserve"> </w:t>
      </w:r>
      <w:r>
        <w:rPr>
          <w:rFonts w:ascii="Arial" w:cs="Arial" w:eastAsia="Arial" w:hAnsi="Arial"/>
          <w:sz w:val="14"/>
          <w:szCs w:val="14"/>
          <w:color w:val="auto"/>
        </w:rPr>
        <w:t>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 The amount presented as an “Adjustment” in the table above reflects the net adjustment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5" w:name="page86"/>
    <w:bookmarkEnd w:id="8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for revenues deferred during the period and the reversal of previously deferred revenues that were recognized during the period.</w:t>
      </w:r>
    </w:p>
    <w:p>
      <w:pPr>
        <w:spacing w:after="0" w:line="200" w:lineRule="exact"/>
        <w:rPr>
          <w:sz w:val="20"/>
          <w:szCs w:val="20"/>
          <w:color w:val="auto"/>
        </w:rPr>
      </w:pPr>
    </w:p>
    <w:p>
      <w:pPr>
        <w:ind w:left="760" w:right="200" w:hanging="246"/>
        <w:spacing w:after="0" w:line="284" w:lineRule="auto"/>
        <w:tabs>
          <w:tab w:leader="none" w:pos="756"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Impact from Certain Derivative Activities and Inventory Valuation Adjustments. </w:t>
      </w:r>
      <w:r>
        <w:rPr>
          <w:rFonts w:ascii="Arial" w:cs="Arial" w:eastAsia="Arial" w:hAnsi="Arial"/>
          <w:sz w:val="13"/>
          <w:szCs w:val="13"/>
          <w:color w:val="auto"/>
        </w:rPr>
        <w:t>The impact from certain derivative activities on our net revenues includes mark-to-market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55" w:lineRule="exact"/>
        <w:rPr>
          <w:rFonts w:ascii="Arial" w:cs="Arial" w:eastAsia="Arial" w:hAnsi="Arial"/>
          <w:sz w:val="13"/>
          <w:szCs w:val="13"/>
          <w:color w:val="auto"/>
        </w:rPr>
      </w:pPr>
    </w:p>
    <w:p>
      <w:pPr>
        <w:ind w:left="760" w:hanging="246"/>
        <w:spacing w:after="0" w:line="288" w:lineRule="auto"/>
        <w:tabs>
          <w:tab w:leader="none" w:pos="756"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Long-Term Inventory Costing Adjustments. </w:t>
      </w:r>
      <w:r>
        <w:rPr>
          <w:rFonts w:ascii="Arial" w:cs="Arial" w:eastAsia="Arial" w:hAnsi="Arial"/>
          <w:sz w:val="13"/>
          <w:szCs w:val="13"/>
          <w:color w:val="auto"/>
        </w:rPr>
        <w:t>Our net revenues are impacted by changes in the weighted average cost of our crude oil inventory pools that result from price movements</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 periods. These costing adjustments relate to long-term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52" w:lineRule="exact"/>
        <w:rPr>
          <w:rFonts w:ascii="Arial" w:cs="Arial" w:eastAsia="Arial" w:hAnsi="Arial"/>
          <w:sz w:val="13"/>
          <w:szCs w:val="13"/>
          <w:color w:val="auto"/>
        </w:rPr>
      </w:pPr>
    </w:p>
    <w:p>
      <w:pPr>
        <w:ind w:left="760" w:right="200" w:hanging="246"/>
        <w:spacing w:after="0" w:line="297" w:lineRule="auto"/>
        <w:tabs>
          <w:tab w:leader="none" w:pos="756"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Foreign Exchange Impacts. </w:t>
      </w:r>
      <w:r>
        <w:rPr>
          <w:rFonts w:ascii="Arial" w:cs="Arial" w:eastAsia="Arial" w:hAnsi="Arial"/>
          <w:sz w:val="13"/>
          <w:szCs w:val="13"/>
          <w:color w:val="auto"/>
        </w:rPr>
        <w:t>Our net revenues are impacted by fluctuations in the value of CAD to USD, resulting in the realization of foreign exchange gains and losses on the</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45"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i w:val="1"/>
          <w:iCs w:val="1"/>
          <w:color w:val="auto"/>
        </w:rPr>
        <w:t xml:space="preserve">Maintenance Capital. </w:t>
      </w:r>
      <w:r>
        <w:rPr>
          <w:rFonts w:ascii="Arial" w:cs="Arial" w:eastAsia="Arial" w:hAnsi="Arial"/>
          <w:sz w:val="14"/>
          <w:szCs w:val="14"/>
          <w:color w:val="auto"/>
        </w:rPr>
        <w:t>Maintenance capital consists of capital expenditures for the replacement and/or refurbishment of partially or fully depreciated assets in order to maintain the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and/or earnings capacity of our existing assets. The decrease in maintenance capital for the year ended December 31, 2021 compared to the year ended December 31, 2020 as well as the comparable period for 2020 and 2019 was due to timing changes, the completion of multi-year reliability improvement programs, application of updated regulatory guidance and lower tractor trailer lease buyouts, among other factors. The decrease for the year ended December 31, 2021 compared to the year ended December 31, 2020 was also due to the sales of our natural gas storage facilities and Los Angeles Basin terminals.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NGL Segment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NGL segment operations involve natural gas processing and NGL fractionation, storage, transportation and terminalling. Our NGL revenues are primarily derived from a combination of</w:t>
      </w:r>
    </w:p>
    <w:p>
      <w:pPr>
        <w:spacing w:after="0" w:line="23" w:lineRule="exact"/>
        <w:rPr>
          <w:sz w:val="20"/>
          <w:szCs w:val="20"/>
          <w:color w:val="auto"/>
        </w:rPr>
      </w:pPr>
    </w:p>
    <w:p>
      <w:pPr>
        <w:ind w:right="460" w:firstLine="5"/>
        <w:spacing w:after="0" w:line="268" w:lineRule="auto"/>
        <w:tabs>
          <w:tab w:leader="none" w:pos="169"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15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Generally, our segment results are impacted by (i) increases or decreases in our NGL sales volumes, (ii) the overall strength, weakness and volatility of market conditions, including the differential between the price of natural gas and the extracted NGL, as well as location differentials and time spreads, and (iii) the effects of competition on our NGL margins. In addition, we utilize various risk management strategies to manage our commodity exposure.</w:t>
      </w:r>
    </w:p>
    <w:p>
      <w:pPr>
        <w:spacing w:after="0" w:line="163"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set forth our operating results from our NGL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Variance</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80" w:type="dxa"/>
            <w:vAlign w:val="bottom"/>
            <w:gridSpan w:val="5"/>
          </w:tcPr>
          <w:p>
            <w:pPr>
              <w:ind w:left="20"/>
              <w:spacing w:after="0" w:line="154" w:lineRule="exact"/>
              <w:rPr>
                <w:sz w:val="20"/>
                <w:szCs w:val="20"/>
                <w:color w:val="auto"/>
              </w:rPr>
            </w:pPr>
            <w:r>
              <w:rPr>
                <w:rFonts w:ascii="Arial" w:cs="Arial" w:eastAsia="Arial" w:hAnsi="Arial"/>
                <w:sz w:val="11"/>
                <w:szCs w:val="11"/>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10"/>
          </w:tcPr>
          <w:p>
            <w:pPr>
              <w:jc w:val="right"/>
              <w:ind w:right="2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5"/>
          </w:tcPr>
          <w:p>
            <w:pPr>
              <w:ind w:left="20"/>
              <w:spacing w:after="0"/>
              <w:rPr>
                <w:sz w:val="20"/>
                <w:szCs w:val="20"/>
                <w:color w:val="auto"/>
              </w:rPr>
            </w:pPr>
            <w:r>
              <w:rPr>
                <w:rFonts w:ascii="Arial" w:cs="Arial" w:eastAsia="Arial" w:hAnsi="Arial"/>
                <w:sz w:val="11"/>
                <w:szCs w:val="11"/>
                <w:b w:val="1"/>
                <w:bCs w:val="1"/>
                <w:color w:val="auto"/>
              </w:rPr>
              <w:t>(in millions, except per barrel data)</w:t>
            </w:r>
          </w:p>
        </w:tc>
        <w:tc>
          <w:tcPr>
            <w:tcW w:w="200" w:type="dxa"/>
            <w:vAlign w:val="bottom"/>
          </w:tcPr>
          <w:p>
            <w:pPr>
              <w:spacing w:after="0"/>
              <w:rPr>
                <w:sz w:val="12"/>
                <w:szCs w:val="12"/>
                <w:color w:val="auto"/>
              </w:rPr>
            </w:pPr>
          </w:p>
        </w:tc>
        <w:tc>
          <w:tcPr>
            <w:tcW w:w="660" w:type="dxa"/>
            <w:vAlign w:val="bottom"/>
          </w:tcPr>
          <w:p>
            <w:pPr>
              <w:jc w:val="right"/>
              <w:ind w:right="233"/>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3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333"/>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37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35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7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2"/>
        </w:trPr>
        <w:tc>
          <w:tcPr>
            <w:tcW w:w="39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140" w:type="dxa"/>
            <w:vAlign w:val="bottom"/>
            <w:tcBorders>
              <w:top w:val="single" w:sz="8" w:color="auto"/>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rPr>
                <w:sz w:val="20"/>
                <w:szCs w:val="20"/>
                <w:color w:val="auto"/>
              </w:rPr>
            </w:pPr>
            <w:r>
              <w:rPr>
                <w:rFonts w:ascii="Arial" w:cs="Arial" w:eastAsia="Arial" w:hAnsi="Arial"/>
                <w:sz w:val="14"/>
                <w:szCs w:val="14"/>
                <w:color w:val="auto"/>
              </w:rPr>
              <w:t>Purchases and related costs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(1,650)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1"/>
        </w:trPr>
        <w:tc>
          <w:tcPr>
            <w:tcW w:w="40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line="181" w:lineRule="exact"/>
              <w:rPr>
                <w:sz w:val="20"/>
                <w:szCs w:val="20"/>
                <w:color w:val="auto"/>
              </w:rPr>
            </w:pPr>
            <w:r>
              <w:rPr>
                <w:rFonts w:ascii="Arial" w:cs="Arial" w:eastAsia="Arial" w:hAnsi="Arial"/>
                <w:sz w:val="14"/>
                <w:szCs w:val="14"/>
                <w:color w:val="auto"/>
              </w:rPr>
              <w:t xml:space="preserve">Segment general and administrative expenses </w:t>
            </w:r>
            <w:r>
              <w:rPr>
                <w:rFonts w:ascii="Arial" w:cs="Arial" w:eastAsia="Arial" w:hAnsi="Arial"/>
                <w:sz w:val="18"/>
                <w:szCs w:val="18"/>
                <w:color w:val="auto"/>
                <w:vertAlign w:val="superscript"/>
              </w:rPr>
              <w:t>(2)</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80" w:type="dxa"/>
            <w:vAlign w:val="bottom"/>
            <w:gridSpan w:val="5"/>
            <w:shd w:val="clear" w:color="auto" w:fill="CCEEFF"/>
          </w:tcPr>
          <w:p>
            <w:pPr>
              <w:ind w:left="120"/>
              <w:spacing w:after="0" w:line="138" w:lineRule="exact"/>
              <w:rPr>
                <w:sz w:val="20"/>
                <w:szCs w:val="20"/>
                <w:color w:val="auto"/>
              </w:rPr>
            </w:pPr>
            <w:r>
              <w:rPr>
                <w:rFonts w:ascii="Arial" w:cs="Arial" w:eastAsia="Arial" w:hAnsi="Arial"/>
                <w:sz w:val="14"/>
                <w:szCs w:val="14"/>
                <w:color w:val="auto"/>
              </w:rPr>
              <w:t>(Gains)/losses from derivative activities and inventory valuation</w:t>
            </w:r>
          </w:p>
        </w:tc>
        <w:tc>
          <w:tcPr>
            <w:tcW w:w="2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40"/>
              <w:spacing w:after="0"/>
              <w:rPr>
                <w:sz w:val="20"/>
                <w:szCs w:val="20"/>
                <w:color w:val="auto"/>
              </w:rPr>
            </w:pPr>
            <w:r>
              <w:rPr>
                <w:rFonts w:ascii="Arial" w:cs="Arial" w:eastAsia="Arial" w:hAnsi="Arial"/>
                <w:sz w:val="14"/>
                <w:szCs w:val="14"/>
                <w:color w:val="auto"/>
              </w:rPr>
              <w:t>adjustments</w:t>
            </w:r>
          </w:p>
        </w:tc>
        <w:tc>
          <w:tcPr>
            <w:tcW w:w="2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5"/>
          </w:tcPr>
          <w:p>
            <w:pPr>
              <w:ind w:left="120"/>
              <w:spacing w:after="0"/>
              <w:rPr>
                <w:sz w:val="20"/>
                <w:szCs w:val="20"/>
                <w:color w:val="auto"/>
              </w:rPr>
            </w:pPr>
            <w:r>
              <w:rPr>
                <w:rFonts w:ascii="Arial" w:cs="Arial" w:eastAsia="Arial" w:hAnsi="Arial"/>
                <w:sz w:val="14"/>
                <w:szCs w:val="14"/>
                <w:color w:val="auto"/>
              </w:rPr>
              <w:t>Long-term inventory costing adjustments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Net (gain)/loss on foreign currency revaluation</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5"/>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gridSpan w:val="5"/>
          </w:tcPr>
          <w:p>
            <w:pPr>
              <w:ind w:left="20"/>
              <w:spacing w:after="0"/>
              <w:rPr>
                <w:sz w:val="20"/>
                <w:szCs w:val="20"/>
                <w:color w:val="auto"/>
              </w:rPr>
            </w:pPr>
            <w:r>
              <w:rPr>
                <w:rFonts w:ascii="Arial" w:cs="Arial" w:eastAsia="Arial" w:hAnsi="Arial"/>
                <w:sz w:val="14"/>
                <w:szCs w:val="14"/>
                <w:color w:val="auto"/>
              </w:rPr>
              <w:t>Segment Adjusted EBITDA</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40" w:type="dxa"/>
            <w:vAlign w:val="bottom"/>
            <w:tcBorders>
              <w:top w:val="single" w:sz="8" w:color="auto"/>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80" w:type="dxa"/>
            <w:vAlign w:val="bottom"/>
            <w:gridSpan w:val="5"/>
          </w:tcPr>
          <w:p>
            <w:pPr>
              <w:ind w:left="20"/>
              <w:spacing w:after="0"/>
              <w:rPr>
                <w:sz w:val="20"/>
                <w:szCs w:val="20"/>
                <w:color w:val="auto"/>
              </w:rPr>
            </w:pPr>
            <w:r>
              <w:rPr>
                <w:rFonts w:ascii="Arial" w:cs="Arial" w:eastAsia="Arial" w:hAnsi="Arial"/>
                <w:sz w:val="14"/>
                <w:szCs w:val="14"/>
                <w:color w:val="auto"/>
              </w:rPr>
              <w:t>Maintenance capital</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409"/>
        </w:trPr>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Variance</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gridSpan w:val="4"/>
          </w:tcPr>
          <w:p>
            <w:pPr>
              <w:ind w:left="20"/>
              <w:spacing w:after="0" w:line="140" w:lineRule="exact"/>
              <w:rPr>
                <w:sz w:val="20"/>
                <w:szCs w:val="20"/>
                <w:color w:val="auto"/>
              </w:rPr>
            </w:pPr>
            <w:r>
              <w:rPr>
                <w:rFonts w:ascii="Arial" w:cs="Arial" w:eastAsia="Arial" w:hAnsi="Arial"/>
                <w:sz w:val="11"/>
                <w:szCs w:val="11"/>
                <w:b w:val="1"/>
                <w:bCs w:val="1"/>
                <w:color w:val="auto"/>
              </w:rPr>
              <w:t xml:space="preserve">Average Volumes (in thousands of barrels per day) </w:t>
            </w:r>
            <w:r>
              <w:rPr>
                <w:rFonts w:ascii="Arial" w:cs="Arial" w:eastAsia="Arial" w:hAnsi="Arial"/>
                <w:sz w:val="14"/>
                <w:szCs w:val="14"/>
                <w:b w:val="1"/>
                <w:bCs w:val="1"/>
                <w:color w:val="auto"/>
                <w:vertAlign w:val="superscript"/>
              </w:rPr>
              <w:t>(4)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3"/>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7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71"/>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tcPr>
          <w:p>
            <w:pPr>
              <w:ind w:left="60"/>
              <w:spacing w:after="0"/>
              <w:rPr>
                <w:sz w:val="20"/>
                <w:szCs w:val="20"/>
                <w:color w:val="auto"/>
              </w:rPr>
            </w:pPr>
            <w:r>
              <w:rPr>
                <w:rFonts w:ascii="Arial" w:cs="Arial" w:eastAsia="Arial" w:hAnsi="Arial"/>
                <w:sz w:val="11"/>
                <w:szCs w:val="11"/>
                <w:b w:val="1"/>
                <w:bCs w:val="1"/>
                <w:color w:val="auto"/>
              </w:rPr>
              <w:t>Volumes</w:t>
            </w:r>
          </w:p>
        </w:tc>
        <w:tc>
          <w:tcPr>
            <w:tcW w:w="660" w:type="dxa"/>
            <w:vAlign w:val="bottom"/>
          </w:tcPr>
          <w:p>
            <w:pPr>
              <w:jc w:val="right"/>
              <w:ind w:right="39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w w:val="91"/>
              </w:rPr>
              <w:t>Volumes</w:t>
            </w:r>
          </w:p>
        </w:tc>
        <w:tc>
          <w:tcPr>
            <w:tcW w:w="660" w:type="dxa"/>
            <w:vAlign w:val="bottom"/>
          </w:tcPr>
          <w:p>
            <w:pPr>
              <w:jc w:val="right"/>
              <w:ind w:right="37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1"/>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NGL fractionation</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NGL pipeline tariff</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3"/>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NGL sales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3"/>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that variance as a percentage is not meaningful.</w:t>
      </w:r>
    </w:p>
    <w:p>
      <w:pPr>
        <w:spacing w:after="0" w:line="67" w:lineRule="exact"/>
        <w:rPr>
          <w:sz w:val="20"/>
          <w:szCs w:val="20"/>
          <w:color w:val="auto"/>
        </w:rPr>
      </w:pPr>
    </w:p>
    <w:p>
      <w:pPr>
        <w:ind w:left="500" w:hanging="495"/>
        <w:spacing w:after="0"/>
        <w:tabs>
          <w:tab w:leader="none" w:pos="50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Revenues and costs and expenses include intersegment amounts.</w:t>
      </w:r>
    </w:p>
    <w:p>
      <w:pPr>
        <w:spacing w:after="0" w:line="74" w:lineRule="exact"/>
        <w:rPr>
          <w:rFonts w:ascii="Arial" w:cs="Arial" w:eastAsia="Arial" w:hAnsi="Arial"/>
          <w:sz w:val="18"/>
          <w:szCs w:val="18"/>
          <w:color w:val="auto"/>
          <w:vertAlign w:val="superscript"/>
        </w:rPr>
      </w:pPr>
    </w:p>
    <w:p>
      <w:pPr>
        <w:ind w:left="520" w:right="200" w:hanging="515"/>
        <w:spacing w:after="0" w:line="228" w:lineRule="auto"/>
        <w:tabs>
          <w:tab w:leader="none" w:pos="51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Represents adjustments included in the performance measure utilized by our CODM in the evaluation of segment results. See Note 20 to our Consolidated Financial Statements for additional discussion of such adjustments.</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Average daily volumes calculated as the total volumes (attributable to our interest for pipelines and facilities in which we have undivided joint interests) for the year divided by the number of days in the year.</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i w:val="1"/>
          <w:iCs w:val="1"/>
          <w:color w:val="auto"/>
        </w:rPr>
        <w:t>Segment Adjusted EBITDA</w:t>
      </w:r>
    </w:p>
    <w:p>
      <w:pPr>
        <w:spacing w:after="0" w:line="200" w:lineRule="exact"/>
        <w:rPr>
          <w:sz w:val="20"/>
          <w:szCs w:val="20"/>
          <w:color w:val="auto"/>
        </w:rPr>
      </w:pPr>
    </w:p>
    <w:p>
      <w:pPr>
        <w:ind w:right="200" w:firstLine="509"/>
        <w:spacing w:after="0" w:line="251" w:lineRule="auto"/>
        <w:rPr>
          <w:sz w:val="20"/>
          <w:szCs w:val="20"/>
          <w:color w:val="auto"/>
        </w:rPr>
      </w:pPr>
      <w:r>
        <w:rPr>
          <w:rFonts w:ascii="Arial" w:cs="Arial" w:eastAsia="Arial" w:hAnsi="Arial"/>
          <w:sz w:val="14"/>
          <w:szCs w:val="14"/>
          <w:color w:val="auto"/>
        </w:rPr>
        <w:t>NGL Segment Adjusted EBITDA decreased for the year ended December 31, 2021 compared to the year ended December 31, 2020 primarily due to (i) higher power costs and (ii) lower wage subsidies received by our Canadian subsidiary in the 2021 period, partially offset by (iii) the favorable impact of higher realized fractionation spreads between the price of natural gas and the extracted NGL (“frac spreads”).</w:t>
      </w:r>
    </w:p>
    <w:p>
      <w:pPr>
        <w:spacing w:after="0" w:line="163"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NGL Segment Adjusted EBITDA decreased for the year ended December 31, 2020 compared to the year ended December 31, 2019 primarily due to less favorable NGL sales margins as a result of (i) warmer weather during the fourth quarter of 2020, (ii) weaker frac spreads and (iii) lower NGL supply. Such unfavorable impacts were partially offset by the favorable impact of wage subsidies received by our Canadian subsidiary in the 2020 period.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7" w:name="page88"/>
    <w:bookmarkEnd w:id="8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various components of Segment Adjusted EBITDA are discussed further below:</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Net Revenues. </w:t>
      </w:r>
      <w:r>
        <w:rPr>
          <w:rFonts w:ascii="Arial" w:cs="Arial" w:eastAsia="Arial" w:hAnsi="Arial"/>
          <w:sz w:val="14"/>
          <w:szCs w:val="14"/>
          <w:color w:val="auto"/>
        </w:rPr>
        <w:t>The following is a discussion of the significant items impacting net revenues for the comparable 2021, 2020 and 2019 periods.</w:t>
      </w:r>
    </w:p>
    <w:p>
      <w:pPr>
        <w:spacing w:after="0" w:line="200" w:lineRule="exact"/>
        <w:rPr>
          <w:sz w:val="20"/>
          <w:szCs w:val="20"/>
          <w:color w:val="auto"/>
        </w:rPr>
      </w:pPr>
    </w:p>
    <w:p>
      <w:pPr>
        <w:ind w:left="760" w:right="120" w:hanging="246"/>
        <w:spacing w:after="0" w:line="267" w:lineRule="auto"/>
        <w:tabs>
          <w:tab w:leader="none" w:pos="756" w:val="left"/>
        </w:tabs>
        <w:numPr>
          <w:ilvl w:val="0"/>
          <w:numId w:val="55"/>
        </w:numPr>
        <w:rPr>
          <w:rFonts w:ascii="Arial" w:cs="Arial" w:eastAsia="Arial" w:hAnsi="Arial"/>
          <w:sz w:val="14"/>
          <w:szCs w:val="14"/>
          <w:b w:val="1"/>
          <w:bCs w:val="1"/>
          <w:i w:val="1"/>
          <w:iCs w:val="1"/>
          <w:color w:val="auto"/>
        </w:rPr>
      </w:pPr>
      <w:r>
        <w:rPr>
          <w:rFonts w:ascii="Arial" w:cs="Arial" w:eastAsia="Arial" w:hAnsi="Arial"/>
          <w:sz w:val="14"/>
          <w:szCs w:val="14"/>
          <w:color w:val="auto"/>
        </w:rPr>
        <w:t>Net revenues from our NGL activities, excluding the impact of derivative activities and inventory valuation and long-term inventory costing adjustments, increased slightly for the year ended December 31, 2021 compared to the year ended December 31, 2020 due to higher realized frac spreads, partially offset by the absence of the favorable impact of a deficiency payment in 2020 upon the expiration of a multi-year contract.</w:t>
      </w:r>
    </w:p>
    <w:p>
      <w:pPr>
        <w:spacing w:after="0" w:line="162" w:lineRule="exact"/>
        <w:rPr>
          <w:rFonts w:ascii="Arial" w:cs="Arial" w:eastAsia="Arial" w:hAnsi="Arial"/>
          <w:sz w:val="14"/>
          <w:szCs w:val="14"/>
          <w:b w:val="1"/>
          <w:bCs w:val="1"/>
          <w:i w:val="1"/>
          <w:iCs w:val="1"/>
          <w:color w:val="auto"/>
        </w:rPr>
      </w:pPr>
    </w:p>
    <w:p>
      <w:pPr>
        <w:ind w:left="760" w:hanging="246"/>
        <w:spacing w:after="0" w:line="288" w:lineRule="auto"/>
        <w:tabs>
          <w:tab w:leader="none" w:pos="756" w:val="left"/>
        </w:tabs>
        <w:numPr>
          <w:ilvl w:val="0"/>
          <w:numId w:val="55"/>
        </w:numPr>
        <w:rPr>
          <w:rFonts w:ascii="Arial" w:cs="Arial" w:eastAsia="Arial" w:hAnsi="Arial"/>
          <w:sz w:val="13"/>
          <w:szCs w:val="13"/>
          <w:b w:val="1"/>
          <w:bCs w:val="1"/>
          <w:i w:val="1"/>
          <w:iCs w:val="1"/>
          <w:color w:val="auto"/>
        </w:rPr>
      </w:pPr>
      <w:r>
        <w:rPr>
          <w:rFonts w:ascii="Arial" w:cs="Arial" w:eastAsia="Arial" w:hAnsi="Arial"/>
          <w:sz w:val="13"/>
          <w:szCs w:val="13"/>
          <w:color w:val="auto"/>
        </w:rPr>
        <w:t>Net revenues from our NGL activities decreased for the year ended December 31, 2020 compared to the year ended December 31, 2019, primarily due to (i) warmer weather during the fourth quarter of 2020, (ii) weaker frac spreads, (iii) less NGL supply as a result of lower border flows through our Empress straddle plants, (iv) the impact of the sale of certain NGL storage terminals in the fourth quarter of 2019 and the second quarter of 2020 and (v) the absence of the favorable impact from certain non-recurring items recorded in the second quarter of 2019, partially offset by (vi) the favorable impact of the receipt of a deficiency payment in 2020 upon the expiration of a multi-year contract.</w:t>
      </w:r>
    </w:p>
    <w:p>
      <w:pPr>
        <w:spacing w:after="0" w:line="152" w:lineRule="exact"/>
        <w:rPr>
          <w:sz w:val="20"/>
          <w:szCs w:val="20"/>
          <w:color w:val="auto"/>
        </w:rPr>
      </w:pPr>
    </w:p>
    <w:p>
      <w:pPr>
        <w:jc w:val="both"/>
        <w:ind w:right="80" w:firstLine="509"/>
        <w:spacing w:after="0" w:line="267" w:lineRule="auto"/>
        <w:rPr>
          <w:sz w:val="20"/>
          <w:szCs w:val="20"/>
          <w:color w:val="auto"/>
        </w:rPr>
      </w:pPr>
      <w:r>
        <w:rPr>
          <w:rFonts w:ascii="Arial" w:cs="Arial" w:eastAsia="Arial" w:hAnsi="Arial"/>
          <w:sz w:val="14"/>
          <w:szCs w:val="14"/>
          <w:i w:val="1"/>
          <w:iCs w:val="1"/>
          <w:color w:val="auto"/>
        </w:rPr>
        <w:t xml:space="preserve">Field Operating Costs. </w:t>
      </w:r>
      <w:r>
        <w:rPr>
          <w:rFonts w:ascii="Arial" w:cs="Arial" w:eastAsia="Arial" w:hAnsi="Arial"/>
          <w:sz w:val="14"/>
          <w:szCs w:val="14"/>
          <w:color w:val="auto"/>
        </w:rPr>
        <w:t>The increase in field operating costs for the year ended December 31, 2021 compared to December 31, 2020 was primarily due to (i) increased power costs related to</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ownership in our Empress straddle plants as well as higher power prices, (ii) higher compensation costs including lower wage subsidies received by our Canadian subsidiary, and (iii) costs associated with an operational incident at our Fort Saskatchewan facility that occurred in late September 2021.</w:t>
      </w:r>
    </w:p>
    <w:p>
      <w:pPr>
        <w:spacing w:after="0" w:line="163"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The decrease in field operating costs for the year ended December 31, 2020 compared to December 31, 2019 was primarily due to (i) lower power costs as a result of favorable natural gas and electricity price movements, (ii) reductions in compensation costs, primarily due to the benefit of wage subsidies received by our Canadian subsidiary, (iii) the divestiture of certain NGL storage terminals, and (iv) lower integrity management and maintenance activities due to interval changes facilitated through risk-based data application. Such favorable impacts were partially offset by lower mark-to-market gains in the 2020 period on fuel hedges (which impacts field operating costs but are excluded from Segment Adjusted EBITDA and thus are reflected as an “Adjustment” in the table above).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Segment General and Administrative Expenses. </w:t>
      </w:r>
      <w:r>
        <w:rPr>
          <w:rFonts w:ascii="Arial" w:cs="Arial" w:eastAsia="Arial" w:hAnsi="Arial"/>
          <w:sz w:val="14"/>
          <w:szCs w:val="14"/>
          <w:color w:val="auto"/>
        </w:rPr>
        <w:t>See the “—Consolidated Results” section above for a discussion of general and administrative expenses.</w:t>
      </w:r>
    </w:p>
    <w:p>
      <w:pPr>
        <w:spacing w:after="0" w:line="200"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The following is a discussion of adjustments included in the calculation of Segment Adjusted EBITDA, the performance measure utilized by our CODM in the evaluation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segment results.</w:t>
      </w:r>
    </w:p>
    <w:p>
      <w:pPr>
        <w:spacing w:after="0" w:line="153" w:lineRule="exact"/>
        <w:rPr>
          <w:sz w:val="20"/>
          <w:szCs w:val="20"/>
          <w:color w:val="auto"/>
        </w:rPr>
      </w:pPr>
    </w:p>
    <w:p>
      <w:pPr>
        <w:ind w:left="760" w:right="200" w:hanging="246"/>
        <w:spacing w:after="0" w:line="284"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Impact from Certain Derivative Activities and Inventory Valuation Adjustments. </w:t>
      </w:r>
      <w:r>
        <w:rPr>
          <w:rFonts w:ascii="Arial" w:cs="Arial" w:eastAsia="Arial" w:hAnsi="Arial"/>
          <w:sz w:val="13"/>
          <w:szCs w:val="13"/>
          <w:color w:val="auto"/>
        </w:rPr>
        <w:t>The impact from certain derivative activities on our net revenues includes mark-to-market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55" w:lineRule="exact"/>
        <w:rPr>
          <w:rFonts w:ascii="Arial" w:cs="Arial" w:eastAsia="Arial" w:hAnsi="Arial"/>
          <w:sz w:val="13"/>
          <w:szCs w:val="13"/>
          <w:color w:val="auto"/>
        </w:rPr>
      </w:pPr>
    </w:p>
    <w:p>
      <w:pPr>
        <w:ind w:left="760" w:right="60" w:hanging="246"/>
        <w:spacing w:after="0" w:line="288"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Long-Term Inventory Costing Adjustments. </w:t>
      </w:r>
      <w:r>
        <w:rPr>
          <w:rFonts w:ascii="Arial" w:cs="Arial" w:eastAsia="Arial" w:hAnsi="Arial"/>
          <w:sz w:val="13"/>
          <w:szCs w:val="13"/>
          <w:color w:val="auto"/>
        </w:rPr>
        <w:t>Our net revenues are impacted by changes in the weighted average cost of our NGL inventory pools that result from price movements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periods. These costing adjustments relate to long-term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8" w:name="page89"/>
    <w:bookmarkEnd w:id="8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2" w:lineRule="exact"/>
        <w:rPr>
          <w:sz w:val="20"/>
          <w:szCs w:val="20"/>
          <w:color w:val="auto"/>
        </w:rPr>
      </w:pPr>
    </w:p>
    <w:p>
      <w:pPr>
        <w:ind w:right="220" w:firstLine="509"/>
        <w:spacing w:after="0" w:line="237" w:lineRule="auto"/>
        <w:rPr>
          <w:sz w:val="20"/>
          <w:szCs w:val="20"/>
          <w:color w:val="auto"/>
        </w:rPr>
      </w:pPr>
      <w:r>
        <w:rPr>
          <w:rFonts w:ascii="Arial" w:cs="Arial" w:eastAsia="Arial" w:hAnsi="Arial"/>
          <w:sz w:val="14"/>
          <w:szCs w:val="14"/>
          <w:i w:val="1"/>
          <w:iCs w:val="1"/>
          <w:color w:val="auto"/>
        </w:rPr>
        <w:t xml:space="preserve">Maintenance Capital. </w:t>
      </w:r>
      <w:r>
        <w:rPr>
          <w:rFonts w:ascii="Arial" w:cs="Arial" w:eastAsia="Arial" w:hAnsi="Arial"/>
          <w:sz w:val="14"/>
          <w:szCs w:val="14"/>
          <w:color w:val="auto"/>
        </w:rPr>
        <w:t>The increase in maintenance capital spending for the year ended December 31, 2021 compared to the year ended December 31, 2020 was primarily due to (i) repair</w:t>
      </w:r>
      <w:r>
        <w:rPr>
          <w:rFonts w:ascii="Arial" w:cs="Arial" w:eastAsia="Arial" w:hAnsi="Arial"/>
          <w:sz w:val="14"/>
          <w:szCs w:val="14"/>
          <w:i w:val="1"/>
          <w:iCs w:val="1"/>
          <w:color w:val="auto"/>
        </w:rPr>
        <w:t xml:space="preserve"> </w:t>
      </w:r>
      <w:r>
        <w:rPr>
          <w:rFonts w:ascii="Arial" w:cs="Arial" w:eastAsia="Arial" w:hAnsi="Arial"/>
          <w:sz w:val="14"/>
          <w:szCs w:val="14"/>
          <w:color w:val="auto"/>
        </w:rPr>
        <w:t>costs at the Fort Saskatchewan facility, (ii) additional projects related to increased ownership in our Empress straddle plants and (iii) various maintenance capital projects at our Sarnia facility, identified through out of service inspections.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 (v) 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170" w:lineRule="exact"/>
        <w:rPr>
          <w:sz w:val="20"/>
          <w:szCs w:val="20"/>
          <w:color w:val="auto"/>
        </w:rPr>
      </w:pPr>
    </w:p>
    <w:p>
      <w:pPr>
        <w:ind w:right="320" w:firstLine="509"/>
        <w:spacing w:after="0" w:line="281" w:lineRule="auto"/>
        <w:rPr>
          <w:sz w:val="20"/>
          <w:szCs w:val="20"/>
          <w:color w:val="auto"/>
        </w:rPr>
      </w:pPr>
      <w:r>
        <w:rPr>
          <w:rFonts w:ascii="Arial" w:cs="Arial" w:eastAsia="Arial" w:hAnsi="Arial"/>
          <w:sz w:val="14"/>
          <w:szCs w:val="14"/>
          <w:color w:val="auto"/>
        </w:rPr>
        <w:t>As of December 31, 2021, although we had a working capital deficit of $95 million, we had over $3 billion of liquidity available to meet our ongoing operating, investing and financing needs, subject to continued covenant compliance, as noted below (in millions):</w:t>
      </w:r>
    </w:p>
    <w:p>
      <w:pPr>
        <w:sectPr>
          <w:pgSz w:w="11900" w:h="16838" w:orient="portrait"/>
          <w:cols w:equalWidth="0" w:num="1">
            <w:col w:w="11260"/>
          </w:cols>
          <w:pgMar w:left="300" w:top="133"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Availability under senior unsecured revolving credit facility </w:t>
      </w:r>
      <w:r>
        <w:rPr>
          <w:rFonts w:ascii="Arial" w:cs="Arial" w:eastAsia="Arial" w:hAnsi="Arial"/>
          <w:sz w:val="16"/>
          <w:szCs w:val="16"/>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-120015</wp:posOffset>
            </wp:positionV>
            <wp:extent cx="7073900" cy="121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73900" cy="12128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3"/>
          <w:szCs w:val="13"/>
          <w:color w:val="auto"/>
        </w:rPr>
        <w:t xml:space="preserve">Availability under senior secured hedged inventory facility </w:t>
      </w:r>
      <w:r>
        <w:rPr>
          <w:rFonts w:ascii="Arial" w:cs="Arial" w:eastAsia="Arial" w:hAnsi="Arial"/>
          <w:sz w:val="17"/>
          <w:szCs w:val="17"/>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-6350</wp:posOffset>
            </wp:positionV>
            <wp:extent cx="707390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73900" cy="1143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64"/>
        <w:spacing w:after="0"/>
        <w:rPr>
          <w:sz w:val="20"/>
          <w:szCs w:val="20"/>
          <w:color w:val="auto"/>
        </w:rPr>
      </w:pPr>
      <w:r>
        <w:rPr>
          <w:rFonts w:ascii="Arial" w:cs="Arial" w:eastAsia="Arial" w:hAnsi="Arial"/>
          <w:sz w:val="11"/>
          <w:szCs w:val="11"/>
          <w:b w:val="1"/>
          <w:bCs w:val="1"/>
          <w:color w:val="auto"/>
        </w:rPr>
        <w:t>As of</w:t>
      </w:r>
    </w:p>
    <w:p>
      <w:pPr>
        <w:jc w:val="center"/>
        <w:ind w:right="64"/>
        <w:spacing w:after="0"/>
        <w:rPr>
          <w:sz w:val="20"/>
          <w:szCs w:val="20"/>
          <w:color w:val="auto"/>
        </w:rPr>
      </w:pPr>
      <w:r>
        <w:rPr>
          <w:rFonts w:ascii="Arial" w:cs="Arial" w:eastAsia="Arial" w:hAnsi="Arial"/>
          <w:sz w:val="11"/>
          <w:szCs w:val="11"/>
          <w:b w:val="1"/>
          <w:bCs w:val="1"/>
          <w:color w:val="auto"/>
        </w:rPr>
        <w:t>December 31, 2021</w:t>
      </w:r>
    </w:p>
    <w:p>
      <w:pPr>
        <w:spacing w:after="0" w:line="27" w:lineRule="exact"/>
        <w:rPr>
          <w:sz w:val="20"/>
          <w:szCs w:val="20"/>
          <w:color w:val="auto"/>
        </w:rPr>
      </w:pPr>
    </w:p>
    <w:p>
      <w:pPr>
        <w:ind w:left="1256" w:hanging="1256"/>
        <w:spacing w:after="0"/>
        <w:tabs>
          <w:tab w:leader="none" w:pos="1256" w:val="left"/>
        </w:tabs>
        <w:numPr>
          <w:ilvl w:val="0"/>
          <w:numId w:val="57"/>
        </w:numPr>
        <w:rPr>
          <w:rFonts w:ascii="Arial" w:cs="Arial" w:eastAsia="Arial" w:hAnsi="Arial"/>
          <w:sz w:val="12"/>
          <w:szCs w:val="12"/>
          <w:color w:val="auto"/>
        </w:rPr>
      </w:pPr>
      <w:r>
        <w:rPr>
          <w:rFonts w:ascii="Arial" w:cs="Arial" w:eastAsia="Arial" w:hAnsi="Arial"/>
          <w:sz w:val="12"/>
          <w:szCs w:val="12"/>
          <w:color w:val="auto"/>
        </w:rPr>
        <w:t>1,296</w:t>
      </w:r>
    </w:p>
    <w:p>
      <w:pPr>
        <w:spacing w:after="0" w:line="42" w:lineRule="exact"/>
        <w:rPr>
          <w:rFonts w:ascii="Arial" w:cs="Arial" w:eastAsia="Arial" w:hAnsi="Arial"/>
          <w:sz w:val="12"/>
          <w:szCs w:val="12"/>
          <w:color w:val="auto"/>
        </w:rPr>
      </w:pPr>
    </w:p>
    <w:p>
      <w:pPr>
        <w:ind w:left="1256"/>
        <w:spacing w:after="0"/>
        <w:rPr>
          <w:rFonts w:ascii="Arial" w:cs="Arial" w:eastAsia="Arial" w:hAnsi="Arial"/>
          <w:sz w:val="12"/>
          <w:szCs w:val="12"/>
          <w:color w:val="auto"/>
        </w:rPr>
      </w:pPr>
      <w:r>
        <w:rPr>
          <w:rFonts w:ascii="Arial" w:cs="Arial" w:eastAsia="Arial" w:hAnsi="Arial"/>
          <w:sz w:val="12"/>
          <w:szCs w:val="12"/>
          <w:color w:val="auto"/>
        </w:rPr>
        <w:t>1,306</w:t>
      </w:r>
    </w:p>
    <w:p>
      <w:pPr>
        <w:spacing w:after="0" w:line="42" w:lineRule="exact"/>
        <w:rPr>
          <w:rFonts w:ascii="Arial" w:cs="Arial" w:eastAsia="Arial" w:hAnsi="Arial"/>
          <w:sz w:val="12"/>
          <w:szCs w:val="12"/>
          <w:color w:val="auto"/>
        </w:rPr>
      </w:pPr>
    </w:p>
    <w:p>
      <w:pPr>
        <w:ind w:left="1436"/>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8" w:lineRule="exact"/>
        <w:rPr>
          <w:sz w:val="20"/>
          <w:szCs w:val="20"/>
          <w:color w:val="auto"/>
        </w:rPr>
      </w:pPr>
    </w:p>
    <w:p>
      <w:pPr>
        <w:sectPr>
          <w:pgSz w:w="11900" w:h="16838" w:orient="portrait"/>
          <w:cols w:equalWidth="0" w:num="2">
            <w:col w:w="8864" w:space="720"/>
            <w:col w:w="1676"/>
          </w:cols>
          <w:pgMar w:left="300" w:top="133"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9500" w:type="dxa"/>
            <w:vAlign w:val="bottom"/>
            <w:gridSpan w:val="2"/>
          </w:tcPr>
          <w:p>
            <w:pPr>
              <w:ind w:left="100"/>
              <w:spacing w:after="0"/>
              <w:rPr>
                <w:sz w:val="20"/>
                <w:szCs w:val="20"/>
                <w:color w:val="auto"/>
              </w:rPr>
            </w:pPr>
            <w:r>
              <w:rPr>
                <w:rFonts w:ascii="Arial" w:cs="Arial" w:eastAsia="Arial" w:hAnsi="Arial"/>
                <w:sz w:val="14"/>
                <w:szCs w:val="14"/>
                <w:color w:val="auto"/>
              </w:rPr>
              <w:t>Subtotal</w:t>
            </w:r>
          </w:p>
        </w:tc>
        <w:tc>
          <w:tcPr>
            <w:tcW w:w="6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2,602</w:t>
            </w:r>
          </w:p>
        </w:tc>
      </w:tr>
      <w:tr>
        <w:trPr>
          <w:trHeight w:val="180"/>
        </w:trPr>
        <w:tc>
          <w:tcPr>
            <w:tcW w:w="80" w:type="dxa"/>
            <w:vAlign w:val="bottom"/>
          </w:tcPr>
          <w:p>
            <w:pPr>
              <w:spacing w:after="0"/>
              <w:rPr>
                <w:sz w:val="15"/>
                <w:szCs w:val="15"/>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71"/>
        </w:trPr>
        <w:tc>
          <w:tcPr>
            <w:tcW w:w="80" w:type="dxa"/>
            <w:vAlign w:val="bottom"/>
          </w:tcPr>
          <w:p>
            <w:pPr>
              <w:spacing w:after="0"/>
              <w:rPr>
                <w:sz w:val="14"/>
                <w:szCs w:val="14"/>
                <w:color w:val="auto"/>
              </w:rPr>
            </w:pPr>
          </w:p>
        </w:tc>
        <w:tc>
          <w:tcPr>
            <w:tcW w:w="95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3,051</w:t>
            </w: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9"/>
        </w:trPr>
        <w:tc>
          <w:tcPr>
            <w:tcW w:w="8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111"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Represents availability prior to giving effect to borrowings outstanding under our commercial paper program, which reduce available capacity under the facilities.</w:t>
      </w:r>
    </w:p>
    <w:p>
      <w:pPr>
        <w:spacing w:after="0" w:line="74" w:lineRule="exact"/>
        <w:rPr>
          <w:rFonts w:ascii="Arial" w:cs="Arial" w:eastAsia="Arial" w:hAnsi="Arial"/>
          <w:sz w:val="18"/>
          <w:szCs w:val="18"/>
          <w:color w:val="auto"/>
          <w:vertAlign w:val="superscript"/>
        </w:rPr>
      </w:pPr>
    </w:p>
    <w:p>
      <w:pPr>
        <w:ind w:left="520" w:right="400" w:hanging="515"/>
        <w:spacing w:after="0" w:line="228" w:lineRule="auto"/>
        <w:tabs>
          <w:tab w:leader="none" w:pos="51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Available capacity under our senior unsecured revolving credit facility and senior secured hedged inventory facility was reduced by outstanding letters of credit of $54 million and $44 million, respectively.</w:t>
      </w:r>
    </w:p>
    <w:p>
      <w:pPr>
        <w:spacing w:after="0" w:line="181" w:lineRule="exact"/>
        <w:rPr>
          <w:sz w:val="20"/>
          <w:szCs w:val="20"/>
          <w:color w:val="auto"/>
        </w:rPr>
      </w:pPr>
    </w:p>
    <w:p>
      <w:pPr>
        <w:ind w:right="80" w:firstLine="509"/>
        <w:spacing w:after="0" w:line="297" w:lineRule="auto"/>
        <w:rPr>
          <w:sz w:val="20"/>
          <w:szCs w:val="20"/>
          <w:color w:val="auto"/>
        </w:rPr>
      </w:pPr>
      <w:r>
        <w:rPr>
          <w:rFonts w:ascii="Arial" w:cs="Arial" w:eastAsia="Arial" w:hAnsi="Arial"/>
          <w:sz w:val="13"/>
          <w:szCs w:val="13"/>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145"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type w:val="continuous"/>
        </w:sectPr>
      </w:pPr>
    </w:p>
    <w:bookmarkStart w:id="89" w:name="page90"/>
    <w:bookmarkEnd w:id="8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Credit Agreements, Commercial Paper Program and Indentures</w:t>
      </w:r>
    </w:p>
    <w:p>
      <w:pPr>
        <w:spacing w:after="0" w:line="204"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color w:val="auto"/>
        </w:rPr>
        <w:t>We have three primary credit arrangements, which we use to meet our short-term cash needs. These include our $1.35 billion senior unsecured revolving credit facility maturing in 2026, $1.35 billion senior secured hedged inventory facility maturing in 2024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Measures</w:t>
      </w:r>
    </w:p>
    <w:p>
      <w:pPr>
        <w:spacing w:after="0" w:line="20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contributions from and proceeds from the sale of noncontrolling interests. Free Cash Flow is further reduced by cash distributions paid to our preferred and common unitholders to arrive at Free Cash Flow after Distributions.</w:t>
      </w:r>
    </w:p>
    <w:p>
      <w:pPr>
        <w:spacing w:after="0" w:line="168"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The following table sets forth the reconciliation of the non-GAAP financial liquidity measures Free Cash Flow and Free Cash Flow after Distributions from Net Cash Provided by Operating Activities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2019</w:t>
            </w:r>
          </w:p>
        </w:tc>
      </w:tr>
      <w:tr>
        <w:trPr>
          <w:trHeight w:val="17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60" w:type="dxa"/>
            <w:vAlign w:val="bottom"/>
            <w:shd w:val="clear" w:color="auto" w:fill="CCEEFF"/>
          </w:tcPr>
          <w:p>
            <w:pPr>
              <w:jc w:val="right"/>
              <w:ind w:right="593"/>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Adjustments to reconcile net cash provided by operating activities to free cash flow:</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cash provided by/(used in) investing activities</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Cash contributions from noncontrolling interests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52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Cash distributions paid to noncontrolling interests </w:t>
            </w:r>
            <w:r>
              <w:rPr>
                <w:rFonts w:ascii="Arial" w:cs="Arial" w:eastAsia="Arial" w:hAnsi="Arial"/>
                <w:sz w:val="18"/>
                <w:szCs w:val="18"/>
                <w:color w:val="auto"/>
                <w:vertAlign w:val="superscript"/>
              </w:rPr>
              <w:t>(1)</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Sale of noncontrolling interest in a subsidiary</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71"/>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76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r>
      <w:tr>
        <w:trPr>
          <w:trHeight w:val="180"/>
        </w:trPr>
        <w:tc>
          <w:tcPr>
            <w:tcW w:w="752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4"/>
                <w:szCs w:val="14"/>
                <w:color w:val="auto"/>
              </w:rPr>
              <w:t xml:space="preserve">Cash distributions </w:t>
            </w:r>
            <w:r>
              <w:rPr>
                <w:rFonts w:ascii="Arial" w:cs="Arial" w:eastAsia="Arial" w:hAnsi="Arial"/>
                <w:sz w:val="18"/>
                <w:szCs w:val="18"/>
                <w:color w:val="auto"/>
                <w:vertAlign w:val="superscript"/>
              </w:rPr>
              <w:t>(2)</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r>
      <w:tr>
        <w:trPr>
          <w:trHeight w:val="19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 after Distributions</w:t>
            </w:r>
          </w:p>
        </w:tc>
        <w:tc>
          <w:tcPr>
            <w:tcW w:w="76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246570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97"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to our preferred and common unitholders during the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from Operating Activities</w:t>
      </w:r>
    </w:p>
    <w:p>
      <w:pPr>
        <w:spacing w:after="0" w:line="200"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63"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0" w:name="page91"/>
    <w:bookmarkEnd w:id="9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71" w:lineRule="exact"/>
        <w:rPr>
          <w:sz w:val="20"/>
          <w:szCs w:val="20"/>
          <w:color w:val="auto"/>
        </w:rPr>
      </w:pPr>
    </w:p>
    <w:p>
      <w:pPr>
        <w:ind w:right="240" w:firstLine="509"/>
        <w:spacing w:after="0" w:line="267" w:lineRule="auto"/>
        <w:rPr>
          <w:sz w:val="20"/>
          <w:szCs w:val="20"/>
          <w:color w:val="auto"/>
        </w:rPr>
      </w:pPr>
      <w:r>
        <w:rPr>
          <w:rFonts w:ascii="Arial" w:cs="Arial" w:eastAsia="Arial" w:hAnsi="Arial"/>
          <w:sz w:val="14"/>
          <w:szCs w:val="14"/>
          <w:color w:val="auto"/>
        </w:rPr>
        <w:t>Net cash provided by operating activities for the years ended December 31, 2021, 2020 and 2019 was approximately $2.0 billion, $1.5 billion and $2.5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63" w:lineRule="exact"/>
        <w:rPr>
          <w:sz w:val="20"/>
          <w:szCs w:val="20"/>
          <w:color w:val="auto"/>
        </w:rPr>
      </w:pPr>
    </w:p>
    <w:p>
      <w:pPr>
        <w:ind w:right="360" w:firstLine="509"/>
        <w:spacing w:after="0" w:line="267" w:lineRule="auto"/>
        <w:rPr>
          <w:sz w:val="20"/>
          <w:szCs w:val="20"/>
          <w:color w:val="auto"/>
        </w:rPr>
      </w:pPr>
      <w:r>
        <w:rPr>
          <w:rFonts w:ascii="Arial" w:cs="Arial" w:eastAsia="Arial" w:hAnsi="Arial"/>
          <w:sz w:val="14"/>
          <w:szCs w:val="14"/>
          <w:color w:val="auto"/>
        </w:rPr>
        <w:t>During 2021, we decreased the volume of both our crude oil inventory due to fewer storage opportunities in the contango market and our NGL inventory as well as the margin balances required as part of our hedging activities, all of which reduced required funding by short-term debt. The cash inflows associated with these activities were partially offset by higher prices for inventory purchased and stored at the end of the current period compared to the end of 2020.</w:t>
      </w:r>
    </w:p>
    <w:p>
      <w:pPr>
        <w:spacing w:after="0" w:line="163"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During 2020, we increased the volume of both our crude oil inventory to be stored during the contango market and our NGL inventory in anticipation of the 2020-2021 heating season as well as the margin balances required as part of our hedging activities, all of which was funded by short-term debt. The cash outflows associated with these activities were partially offset by lower prices for inventory purchased and stored at the end of the current period compared to the end of 2019. Cash provided by operating activities was favorably impacted by cash received for transactions for which the revenue has been deferred pending the completion of future performance obligations. See Note 3 to our Consolidated Financial Statements for additional information.</w:t>
      </w:r>
    </w:p>
    <w:p>
      <w:pPr>
        <w:spacing w:after="0" w:line="152"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During 2019, our cash provided by operating activities was positively impacted by the proceeds from the sale of NGL and crude oil inventory that we held and also by the lower weighted average price of NGL inventory compared to prior year amounts.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Capital Expenditures</w:t>
      </w:r>
    </w:p>
    <w:p>
      <w:pPr>
        <w:spacing w:after="0" w:line="204" w:lineRule="exact"/>
        <w:rPr>
          <w:sz w:val="20"/>
          <w:szCs w:val="20"/>
          <w:color w:val="auto"/>
        </w:rPr>
      </w:pPr>
    </w:p>
    <w:p>
      <w:pPr>
        <w:jc w:val="both"/>
        <w:ind w:right="480" w:firstLine="509"/>
        <w:spacing w:after="0" w:line="267" w:lineRule="auto"/>
        <w:rPr>
          <w:sz w:val="20"/>
          <w:szCs w:val="20"/>
          <w:color w:val="auto"/>
        </w:rPr>
      </w:pPr>
      <w:r>
        <w:rPr>
          <w:rFonts w:ascii="Arial" w:cs="Arial" w:eastAsia="Arial" w:hAnsi="Arial"/>
          <w:sz w:val="14"/>
          <w:szCs w:val="14"/>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Investment capital </w:t>
            </w:r>
            <w:r>
              <w:rPr>
                <w:rFonts w:ascii="Arial" w:cs="Arial" w:eastAsia="Arial" w:hAnsi="Arial"/>
                <w:sz w:val="18"/>
                <w:szCs w:val="18"/>
                <w:color w:val="auto"/>
                <w:vertAlign w:val="superscript"/>
              </w:rPr>
              <w:t>(1) (2)</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r>
      <w:tr>
        <w:trPr>
          <w:trHeight w:val="180"/>
        </w:trPr>
        <w:tc>
          <w:tcPr>
            <w:tcW w:w="6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Maintenance capital </w:t>
            </w:r>
            <w:r>
              <w:rPr>
                <w:rFonts w:ascii="Arial" w:cs="Arial" w:eastAsia="Arial" w:hAnsi="Arial"/>
                <w:sz w:val="18"/>
                <w:szCs w:val="18"/>
                <w:color w:val="auto"/>
                <w:vertAlign w:val="superscript"/>
              </w:rPr>
              <w:t>(1)</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180"/>
        </w:trPr>
        <w:tc>
          <w:tcPr>
            <w:tcW w:w="68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Acquisition capital </w:t>
            </w:r>
            <w:r>
              <w:rPr>
                <w:rFonts w:ascii="Arial" w:cs="Arial" w:eastAsia="Arial" w:hAnsi="Arial"/>
                <w:sz w:val="18"/>
                <w:szCs w:val="18"/>
                <w:color w:val="auto"/>
                <w:vertAlign w:val="superscript"/>
              </w:rPr>
              <w:t>(3)</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1"/>
        </w:trPr>
        <w:tc>
          <w:tcPr>
            <w:tcW w:w="3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w:t>
            </w:r>
          </w:p>
        </w:tc>
      </w:tr>
      <w:tr>
        <w:trPr>
          <w:trHeight w:val="20"/>
        </w:trPr>
        <w:tc>
          <w:tcPr>
            <w:tcW w:w="3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38" w:lineRule="exact"/>
        <w:rPr>
          <w:sz w:val="20"/>
          <w:szCs w:val="20"/>
          <w:color w:val="auto"/>
        </w:rPr>
      </w:pPr>
    </w:p>
    <w:p>
      <w:pPr>
        <w:ind w:left="520" w:right="360" w:hanging="515"/>
        <w:spacing w:after="0" w:line="247" w:lineRule="auto"/>
        <w:tabs>
          <w:tab w:leader="none" w:pos="510" w:val="left"/>
        </w:tabs>
        <w:numPr>
          <w:ilvl w:val="0"/>
          <w:numId w:val="60"/>
        </w:numPr>
        <w:rPr>
          <w:rFonts w:ascii="Arial" w:cs="Arial" w:eastAsia="Arial" w:hAnsi="Arial"/>
          <w:sz w:val="17"/>
          <w:szCs w:val="17"/>
          <w:color w:val="auto"/>
          <w:vertAlign w:val="superscript"/>
        </w:rPr>
      </w:pPr>
      <w:r>
        <w:rPr>
          <w:rFonts w:ascii="Arial" w:cs="Arial" w:eastAsia="Arial" w:hAnsi="Arial"/>
          <w:sz w:val="13"/>
          <w:szCs w:val="13"/>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42" w:lineRule="exact"/>
        <w:rPr>
          <w:rFonts w:ascii="Arial" w:cs="Arial" w:eastAsia="Arial" w:hAnsi="Arial"/>
          <w:sz w:val="17"/>
          <w:szCs w:val="17"/>
          <w:color w:val="auto"/>
          <w:vertAlign w:val="superscript"/>
        </w:rPr>
      </w:pPr>
    </w:p>
    <w:p>
      <w:pPr>
        <w:ind w:left="500" w:hanging="495"/>
        <w:spacing w:after="0"/>
        <w:tabs>
          <w:tab w:leader="none" w:pos="50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Includes contributions to unconsolidated entities, accounted for under the equity method of accounting, related to investment capital projects by such entities.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1" w:name="page92"/>
    <w:bookmarkEnd w:id="9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40" w:hanging="515"/>
        <w:spacing w:after="0" w:line="308" w:lineRule="auto"/>
        <w:tabs>
          <w:tab w:leader="none" w:pos="510" w:val="left"/>
        </w:tabs>
        <w:numPr>
          <w:ilvl w:val="0"/>
          <w:numId w:val="61"/>
        </w:numPr>
        <w:rPr>
          <w:rFonts w:ascii="Arial" w:cs="Arial" w:eastAsia="Arial" w:hAnsi="Arial"/>
          <w:sz w:val="15"/>
          <w:szCs w:val="15"/>
          <w:color w:val="auto"/>
          <w:vertAlign w:val="superscript"/>
        </w:rPr>
      </w:pPr>
      <w:r>
        <w:rPr>
          <w:rFonts w:ascii="Arial" w:cs="Arial" w:eastAsia="Arial" w:hAnsi="Arial"/>
          <w:sz w:val="12"/>
          <w:szCs w:val="12"/>
          <w:color w:val="auto"/>
        </w:rPr>
        <w:t>Acquisition capital for 2021 represents the cash consideration paid as part of the Asset Exchange transaction. See Note 7 to our Consolidated Financial Statements for additional information. Acquisition capital for 2020 primarily includes consideration paid in connection with the acquisition of Felix Midstream LLC, a crude oil gathering system located in the Delaware Basin.</w:t>
      </w:r>
    </w:p>
    <w:p>
      <w:pPr>
        <w:spacing w:after="0" w:line="128" w:lineRule="exact"/>
        <w:rPr>
          <w:rFonts w:ascii="Arial" w:cs="Arial" w:eastAsia="Arial" w:hAnsi="Arial"/>
          <w:sz w:val="15"/>
          <w:szCs w:val="15"/>
          <w:color w:val="auto"/>
          <w:vertAlign w:val="superscript"/>
        </w:rPr>
      </w:pPr>
    </w:p>
    <w:p>
      <w:pPr>
        <w:ind w:left="520"/>
        <w:spacing w:after="0"/>
        <w:rPr>
          <w:rFonts w:ascii="Arial" w:cs="Arial" w:eastAsia="Arial" w:hAnsi="Arial"/>
          <w:sz w:val="15"/>
          <w:szCs w:val="15"/>
          <w:color w:val="auto"/>
          <w:vertAlign w:val="superscript"/>
        </w:rPr>
      </w:pPr>
      <w:r>
        <w:rPr>
          <w:rFonts w:ascii="Arial" w:cs="Arial" w:eastAsia="Arial" w:hAnsi="Arial"/>
          <w:sz w:val="14"/>
          <w:szCs w:val="14"/>
          <w:b w:val="1"/>
          <w:bCs w:val="1"/>
          <w:color w:val="auto"/>
        </w:rPr>
        <w:t>Investment Capital Projects</w:t>
      </w:r>
    </w:p>
    <w:p>
      <w:pPr>
        <w:spacing w:after="0" w:line="204"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47"/>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Projects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Permian Basin Takeaway Pipeline Projects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80"/>
        </w:trPr>
        <w:tc>
          <w:tcPr>
            <w:tcW w:w="6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Complementary Permian Basin Projects </w:t>
            </w:r>
            <w:r>
              <w:rPr>
                <w:rFonts w:ascii="Arial" w:cs="Arial" w:eastAsia="Arial" w:hAnsi="Arial"/>
                <w:sz w:val="18"/>
                <w:szCs w:val="18"/>
                <w:color w:val="auto"/>
                <w:vertAlign w:val="superscript"/>
              </w:rPr>
              <w:t>(2)</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18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Long-Haul Pipeline Projects (Non-Permian)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80"/>
        </w:trPr>
        <w:tc>
          <w:tcPr>
            <w:tcW w:w="6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Selected Facilities/Downstream Projects </w:t>
            </w:r>
            <w:r>
              <w:rPr>
                <w:rFonts w:ascii="Arial" w:cs="Arial" w:eastAsia="Arial" w:hAnsi="Arial"/>
                <w:sz w:val="18"/>
                <w:szCs w:val="18"/>
                <w:color w:val="auto"/>
                <w:vertAlign w:val="superscript"/>
              </w:rPr>
              <w:t>(3)</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8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Projects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71"/>
        </w:trPr>
        <w:tc>
          <w:tcPr>
            <w:tcW w:w="68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w:t>
            </w:r>
          </w:p>
        </w:tc>
      </w:tr>
      <w:tr>
        <w:trPr>
          <w:trHeight w:val="20"/>
        </w:trPr>
        <w:tc>
          <w:tcPr>
            <w:tcW w:w="3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22" w:lineRule="exact"/>
        <w:rPr>
          <w:sz w:val="20"/>
          <w:szCs w:val="20"/>
          <w:color w:val="auto"/>
        </w:rPr>
      </w:pPr>
    </w:p>
    <w:p>
      <w:pPr>
        <w:ind w:left="500" w:hanging="495"/>
        <w:spacing w:after="0"/>
        <w:tabs>
          <w:tab w:leader="none" w:pos="500"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Represents pipeline projects with takeaway capacity out of the Permian Basin, including (i) our 16% interest in Wink to Webster Pipeline and (ii) our 65% interest in the Cactus II Pipeline.</w:t>
      </w:r>
    </w:p>
    <w:p>
      <w:pPr>
        <w:spacing w:after="0" w:line="64" w:lineRule="exact"/>
        <w:rPr>
          <w:rFonts w:ascii="Arial" w:cs="Arial" w:eastAsia="Arial" w:hAnsi="Arial"/>
          <w:sz w:val="17"/>
          <w:szCs w:val="17"/>
          <w:color w:val="auto"/>
          <w:vertAlign w:val="superscript"/>
        </w:rPr>
      </w:pPr>
    </w:p>
    <w:p>
      <w:pPr>
        <w:ind w:left="500" w:hanging="495"/>
        <w:spacing w:after="0" w:line="220" w:lineRule="auto"/>
        <w:tabs>
          <w:tab w:leader="none" w:pos="50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Includes projects associated with assets included in the Permian JV.</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Includes projects at our St. James, Cushing and Fort Saskatchewan terminals.</w:t>
      </w:r>
    </w:p>
    <w:p>
      <w:pPr>
        <w:spacing w:after="0" w:line="181"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i w:val="1"/>
          <w:iCs w:val="1"/>
          <w:color w:val="auto"/>
        </w:rPr>
        <w:t xml:space="preserve">Projected 2022 Capital Expenditures. </w:t>
      </w:r>
      <w:r>
        <w:rPr>
          <w:rFonts w:ascii="Arial" w:cs="Arial" w:eastAsia="Arial" w:hAnsi="Arial"/>
          <w:sz w:val="14"/>
          <w:szCs w:val="14"/>
          <w:color w:val="auto"/>
        </w:rPr>
        <w:t>Total investment capital for the year ending December 31, 2022 is projected to be approximately $330 million ($275 million net to our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half of our projected investment capital expenditures are expected to be invested in the Permian JV assets. Additionally, maintenance capital for 2022 is projected to be $220 million ($210 million net to our interest). We expect to fund our 2022 investment and maintenance capital expenditures primarily with retained cash flow.</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Divestitures</w:t>
      </w:r>
    </w:p>
    <w:p>
      <w:pPr>
        <w:spacing w:after="0" w:line="204"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color w:val="auto"/>
        </w:rPr>
        <w:t>Proceeds from the sale of assets have generally been used to fund our investment capital projects and reduce debt levels. The following table summarizes the proceeds received from divestitures during the last three years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1"/>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Proceeds from divestitures </w:t>
            </w:r>
            <w:r>
              <w:rPr>
                <w:rFonts w:ascii="Arial" w:cs="Arial" w:eastAsia="Arial" w:hAnsi="Arial"/>
                <w:sz w:val="18"/>
                <w:szCs w:val="18"/>
                <w:color w:val="auto"/>
                <w:vertAlign w:val="superscript"/>
              </w:rPr>
              <w:t>(1) (2)</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38"/>
        </w:trPr>
        <w:tc>
          <w:tcPr>
            <w:tcW w:w="388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121" w:lineRule="exact"/>
        <w:rPr>
          <w:sz w:val="20"/>
          <w:szCs w:val="20"/>
          <w:color w:val="auto"/>
        </w:rPr>
      </w:pPr>
    </w:p>
    <w:p>
      <w:pPr>
        <w:ind w:left="500" w:hanging="495"/>
        <w:spacing w:after="0"/>
        <w:tabs>
          <w:tab w:leader="none" w:pos="50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Represents proceeds, including working capital adjustments, net of transaction costs.</w:t>
      </w:r>
    </w:p>
    <w:p>
      <w:pPr>
        <w:spacing w:after="0" w:line="74" w:lineRule="exact"/>
        <w:rPr>
          <w:rFonts w:ascii="Arial" w:cs="Arial" w:eastAsia="Arial" w:hAnsi="Arial"/>
          <w:sz w:val="18"/>
          <w:szCs w:val="18"/>
          <w:color w:val="auto"/>
          <w:vertAlign w:val="superscript"/>
        </w:rPr>
      </w:pPr>
    </w:p>
    <w:p>
      <w:pPr>
        <w:ind w:left="520" w:right="180" w:hanging="515"/>
        <w:spacing w:after="0" w:line="247" w:lineRule="auto"/>
        <w:tabs>
          <w:tab w:leader="none" w:pos="510" w:val="left"/>
        </w:tabs>
        <w:numPr>
          <w:ilvl w:val="0"/>
          <w:numId w:val="63"/>
        </w:numPr>
        <w:rPr>
          <w:rFonts w:ascii="Arial" w:cs="Arial" w:eastAsia="Arial" w:hAnsi="Arial"/>
          <w:sz w:val="17"/>
          <w:szCs w:val="17"/>
          <w:color w:val="auto"/>
          <w:vertAlign w:val="superscript"/>
        </w:rPr>
      </w:pPr>
      <w:r>
        <w:rPr>
          <w:rFonts w:ascii="Arial" w:cs="Arial" w:eastAsia="Arial" w:hAnsi="Arial"/>
          <w:sz w:val="13"/>
          <w:szCs w:val="13"/>
          <w:color w:val="auto"/>
        </w:rPr>
        <w:t>Amounts for 2020 include proceeds from a multi-year supply agreement related to the sale of certain NGL terminals in April 2020. Amounts for 2019 include proceeds associated with the formation of Red River Pipeline Company LLC in May 2019. See Note 7 and Note 12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2" w:name="page93"/>
    <w:bookmarkEnd w:id="9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Ongoing Activities Related to Strategic Transactions</w:t>
      </w:r>
    </w:p>
    <w:p>
      <w:pPr>
        <w:spacing w:after="0" w:line="204" w:lineRule="exact"/>
        <w:rPr>
          <w:sz w:val="20"/>
          <w:szCs w:val="20"/>
          <w:color w:val="auto"/>
        </w:rPr>
      </w:pPr>
    </w:p>
    <w:p>
      <w:pPr>
        <w:jc w:val="both"/>
        <w:ind w:right="40" w:firstLine="509"/>
        <w:spacing w:after="0" w:line="288" w:lineRule="auto"/>
        <w:rPr>
          <w:sz w:val="20"/>
          <w:szCs w:val="20"/>
          <w:color w:val="auto"/>
        </w:rPr>
      </w:pPr>
      <w:r>
        <w:rPr>
          <w:rFonts w:ascii="Arial" w:cs="Arial" w:eastAsia="Arial" w:hAnsi="Arial"/>
          <w:sz w:val="13"/>
          <w:szCs w:val="13"/>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52"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and acquisitions involve risks that may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200" w:lineRule="exact"/>
        <w:rPr>
          <w:sz w:val="20"/>
          <w:szCs w:val="20"/>
          <w:color w:val="auto"/>
        </w:rPr>
      </w:pPr>
    </w:p>
    <w:p>
      <w:pPr>
        <w:ind w:right="640" w:firstLine="509"/>
        <w:spacing w:after="0" w:line="281" w:lineRule="auto"/>
        <w:rPr>
          <w:sz w:val="20"/>
          <w:szCs w:val="20"/>
          <w:color w:val="auto"/>
        </w:rPr>
      </w:pPr>
      <w:r>
        <w:rPr>
          <w:rFonts w:ascii="Arial" w:cs="Arial" w:eastAsia="Arial" w:hAnsi="Arial"/>
          <w:sz w:val="14"/>
          <w:szCs w:val="14"/>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Borrowings and Repayments Under Credit Arrangements</w:t>
      </w:r>
    </w:p>
    <w:p>
      <w:pPr>
        <w:spacing w:after="0" w:line="204"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During the year ended December 31, 2021, we had net repayments under our credit facilities and commercial paper program of $712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63"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During the year ended December 31, 2020, we had net borrowings under our credit facilities and commercial paper program of $296 million. The net borrowings resulted primarily from borrowings during the period related to funding needs for inventory purchases and general partnership purposes.</w:t>
      </w:r>
    </w:p>
    <w:p>
      <w:pPr>
        <w:spacing w:after="0" w:line="153"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During the year ended December 31, 2019, we had net borrowings under our credit facilities and commercial paper program of $418 million. The net borrowings resulted primarily from borrowings during the period related to funding needs for general partnership purposes.</w:t>
      </w:r>
    </w:p>
    <w:p>
      <w:pPr>
        <w:spacing w:after="0" w:line="153"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In connection with the sale of our Pine Prairie and Southern Pines natural gas storage facilities in August 2021, we repaid our two GO Zone term loans totaling $200 million. See Note 7 for additional information regarding the sale of our natural gas storage facilities.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Senior Notes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 xml:space="preserve">Issuances of Senior Notes. </w:t>
      </w:r>
      <w:r>
        <w:rPr>
          <w:rFonts w:ascii="Arial" w:cs="Arial" w:eastAsia="Arial" w:hAnsi="Arial"/>
          <w:sz w:val="12"/>
          <w:szCs w:val="12"/>
          <w:color w:val="auto"/>
        </w:rPr>
        <w:t>We did not issue any senior unsecured notes during 2021. During 2020 and 2019, we issued senior unsecured notes as summarized in the table below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Year</w:t>
            </w:r>
          </w:p>
        </w:tc>
        <w:tc>
          <w:tcPr>
            <w:tcW w:w="50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2"/>
              </w:rPr>
              <w:t>Description</w:t>
            </w: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Face Value</w:t>
            </w:r>
          </w:p>
        </w:tc>
        <w:tc>
          <w:tcPr>
            <w:tcW w:w="16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Gross</w:t>
            </w:r>
          </w:p>
        </w:tc>
        <w:tc>
          <w:tcPr>
            <w:tcW w:w="160" w:type="dxa"/>
            <w:vAlign w:val="bottom"/>
          </w:tcPr>
          <w:p>
            <w:pPr>
              <w:spacing w:after="0"/>
              <w:rPr>
                <w:sz w:val="10"/>
                <w:szCs w:val="10"/>
                <w:color w:val="auto"/>
              </w:rPr>
            </w:pPr>
          </w:p>
        </w:tc>
        <w:tc>
          <w:tcPr>
            <w:tcW w:w="820" w:type="dxa"/>
            <w:vAlign w:val="bottom"/>
          </w:tcPr>
          <w:p>
            <w:pPr>
              <w:jc w:val="right"/>
              <w:ind w:right="336"/>
              <w:spacing w:after="0"/>
              <w:rPr>
                <w:sz w:val="20"/>
                <w:szCs w:val="20"/>
                <w:color w:val="auto"/>
              </w:rPr>
            </w:pPr>
            <w:r>
              <w:rPr>
                <w:rFonts w:ascii="Arial" w:cs="Arial" w:eastAsia="Arial" w:hAnsi="Arial"/>
                <w:sz w:val="11"/>
                <w:szCs w:val="11"/>
                <w:b w:val="1"/>
                <w:bCs w:val="1"/>
                <w:color w:val="auto"/>
              </w:rPr>
              <w:t>Net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continue"/>
          </w:tcPr>
          <w:p>
            <w:pPr>
              <w:spacing w:after="0"/>
              <w:rPr>
                <w:sz w:val="12"/>
                <w:szCs w:val="12"/>
                <w:color w:val="auto"/>
              </w:rPr>
            </w:pPr>
          </w:p>
        </w:tc>
        <w:tc>
          <w:tcPr>
            <w:tcW w:w="5060" w:type="dxa"/>
            <w:vAlign w:val="bottom"/>
            <w:gridSpan w:val="3"/>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1"/>
                <w:szCs w:val="11"/>
                <w:b w:val="1"/>
                <w:bCs w:val="1"/>
                <w:color w:val="auto"/>
                <w:w w:val="81"/>
              </w:rPr>
              <w:t>Proceeds</w:t>
            </w:r>
            <w:r>
              <w:rPr>
                <w:rFonts w:ascii="Arial" w:cs="Arial" w:eastAsia="Arial" w:hAnsi="Arial"/>
                <w:sz w:val="14"/>
                <w:szCs w:val="14"/>
                <w:b w:val="1"/>
                <w:bCs w:val="1"/>
                <w:color w:val="auto"/>
                <w:w w:val="81"/>
                <w:vertAlign w:val="superscript"/>
              </w:rPr>
              <w:t>(1)</w:t>
            </w:r>
          </w:p>
        </w:tc>
        <w:tc>
          <w:tcPr>
            <w:tcW w:w="16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1"/>
                <w:szCs w:val="11"/>
                <w:b w:val="1"/>
                <w:bCs w:val="1"/>
                <w:color w:val="auto"/>
                <w:w w:val="91"/>
              </w:rPr>
              <w:t>Proceeds</w:t>
            </w:r>
            <w:r>
              <w:rPr>
                <w:rFonts w:ascii="Arial" w:cs="Arial" w:eastAsia="Arial" w:hAnsi="Arial"/>
                <w:sz w:val="14"/>
                <w:szCs w:val="14"/>
                <w:b w:val="1"/>
                <w:bCs w:val="1"/>
                <w:color w:val="auto"/>
                <w:w w:val="91"/>
                <w:vertAlign w:val="superscript"/>
              </w:rPr>
              <w:t>(2)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0" w:type="dxa"/>
            <w:vAlign w:val="bottom"/>
            <w:tcBorders>
              <w:top w:val="single" w:sz="8" w:color="CCEEFF"/>
            </w:tcBorders>
            <w:shd w:val="clear" w:color="auto" w:fill="CCEEFF"/>
          </w:tcPr>
          <w:p>
            <w:pPr>
              <w:spacing w:after="0"/>
              <w:rPr>
                <w:sz w:val="14"/>
                <w:szCs w:val="14"/>
                <w:color w:val="auto"/>
              </w:rPr>
            </w:pPr>
          </w:p>
        </w:tc>
        <w:tc>
          <w:tcPr>
            <w:tcW w:w="4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3.80% Senior Notes issued at 99.794% of face value</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September 2030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320" w:type="dxa"/>
            <w:vAlign w:val="bottom"/>
            <w:tcBorders>
              <w:top w:val="single" w:sz="8" w:color="CCEEFF"/>
            </w:tcBorders>
            <w:shd w:val="clear" w:color="auto" w:fill="CCEEFF"/>
          </w:tcPr>
          <w:p>
            <w:pPr>
              <w:jc w:val="right"/>
              <w:ind w:right="154"/>
              <w:spacing w:after="0"/>
              <w:rPr>
                <w:sz w:val="20"/>
                <w:szCs w:val="20"/>
                <w:color w:val="auto"/>
              </w:rPr>
            </w:pPr>
            <w:r>
              <w:rPr>
                <w:rFonts w:ascii="Arial" w:cs="Arial" w:eastAsia="Arial" w:hAnsi="Arial"/>
                <w:sz w:val="9"/>
                <w:szCs w:val="9"/>
                <w:color w:val="auto"/>
                <w:w w:val="90"/>
              </w:rPr>
              <w:t>(3)</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50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1"/>
              </w:rPr>
              <w:t>3.55% Senior Notes issued at 99.801% of face value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December 2029</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8"/>
        </w:trPr>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580" w:right="2480" w:hanging="5575"/>
        <w:spacing w:after="0" w:line="861" w:lineRule="auto"/>
        <w:tabs>
          <w:tab w:leader="none" w:pos="511"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Face value of notes less the applicable premium or discount (before deducting for initial purchaser discounts, commissions and offering expenses).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-297815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3" w:name="page94"/>
    <w:bookmarkEnd w:id="9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51" w:lineRule="exact"/>
        <w:rPr>
          <w:sz w:val="20"/>
          <w:szCs w:val="20"/>
          <w:color w:val="auto"/>
        </w:rPr>
      </w:pPr>
    </w:p>
    <w:p>
      <w:pPr>
        <w:ind w:left="500" w:hanging="495"/>
        <w:spacing w:after="0"/>
        <w:tabs>
          <w:tab w:leader="none" w:pos="50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Face value of notes less the applicable premium or discount, initial purchaser discounts, commissions and offering expenses.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We used the net proceeds from the offering to repay the principal amounts of our 5.00% senior notes due February 2021.</w:t>
      </w:r>
    </w:p>
    <w:p>
      <w:pPr>
        <w:spacing w:after="0" w:line="75" w:lineRule="exact"/>
        <w:rPr>
          <w:rFonts w:ascii="Arial" w:cs="Arial" w:eastAsia="Arial" w:hAnsi="Arial"/>
          <w:sz w:val="18"/>
          <w:szCs w:val="18"/>
          <w:color w:val="auto"/>
          <w:vertAlign w:val="superscript"/>
        </w:rPr>
      </w:pPr>
    </w:p>
    <w:p>
      <w:pPr>
        <w:ind w:left="520" w:right="100" w:hanging="515"/>
        <w:spacing w:after="0" w:line="228" w:lineRule="auto"/>
        <w:tabs>
          <w:tab w:leader="none" w:pos="51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We used the net proceeds from the offering to partially repay the principal amounts of our 2.60% senior notes due December 2019 and 5.75% senior notes due January 2020 and for general partnership purposes.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Repayments of Senior Notes. </w:t>
      </w:r>
      <w:r>
        <w:rPr>
          <w:rFonts w:ascii="Arial" w:cs="Arial" w:eastAsia="Arial" w:hAnsi="Arial"/>
          <w:sz w:val="13"/>
          <w:szCs w:val="13"/>
          <w:color w:val="auto"/>
        </w:rPr>
        <w:t>We did not repay any senior unsecured notes during 2021. During 2020 and 2019, we repaid the following senior unsecured notes in full (in millions):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w:t>
            </w:r>
          </w:p>
        </w:tc>
        <w:tc>
          <w:tcPr>
            <w:tcW w:w="5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Description</w:t>
            </w: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92"/>
              </w:rPr>
              <w:t>Repayment Date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8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2020</w:t>
            </w:r>
          </w:p>
        </w:tc>
        <w:tc>
          <w:tcPr>
            <w:tcW w:w="100" w:type="dxa"/>
            <w:vAlign w:val="bottom"/>
            <w:tcBorders>
              <w:top w:val="single" w:sz="8" w:color="CCEEFF"/>
            </w:tcBorders>
            <w:shd w:val="clear" w:color="auto" w:fill="CCEEFF"/>
          </w:tcPr>
          <w:p>
            <w:pPr>
              <w:spacing w:after="0"/>
              <w:rPr>
                <w:sz w:val="7"/>
                <w:szCs w:val="7"/>
                <w:color w:val="auto"/>
              </w:rPr>
            </w:pPr>
          </w:p>
        </w:tc>
        <w:tc>
          <w:tcPr>
            <w:tcW w:w="546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$600 million 5.00% Senior Notes due February 2021</w:t>
            </w:r>
          </w:p>
        </w:tc>
        <w:tc>
          <w:tcPr>
            <w:tcW w:w="100" w:type="dxa"/>
            <w:vAlign w:val="bottom"/>
            <w:tcBorders>
              <w:top w:val="single" w:sz="8" w:color="CCEEFF"/>
            </w:tcBorders>
            <w:shd w:val="clear" w:color="auto" w:fill="CCEEFF"/>
          </w:tcPr>
          <w:p>
            <w:pPr>
              <w:spacing w:after="0"/>
              <w:rPr>
                <w:sz w:val="7"/>
                <w:szCs w:val="7"/>
                <w:color w:val="auto"/>
              </w:rPr>
            </w:pPr>
          </w:p>
        </w:tc>
        <w:tc>
          <w:tcPr>
            <w:tcW w:w="268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November 2020</w:t>
            </w:r>
          </w:p>
        </w:tc>
        <w:tc>
          <w:tcPr>
            <w:tcW w:w="620" w:type="dxa"/>
            <w:vAlign w:val="bottom"/>
            <w:tcBorders>
              <w:top w:val="single" w:sz="8" w:color="CCEEFF"/>
            </w:tcBorders>
            <w:vMerge w:val="restart"/>
            <w:shd w:val="clear" w:color="auto" w:fill="CCEEFF"/>
          </w:tcPr>
          <w:p>
            <w:pPr>
              <w:jc w:val="right"/>
              <w:ind w:right="354"/>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65"/>
        </w:trPr>
        <w:tc>
          <w:tcPr>
            <w:tcW w:w="22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jc w:val="center"/>
              <w:spacing w:after="0" w:line="96" w:lineRule="exact"/>
              <w:rPr>
                <w:sz w:val="20"/>
                <w:szCs w:val="20"/>
                <w:color w:val="auto"/>
              </w:rPr>
            </w:pPr>
            <w:r>
              <w:rPr>
                <w:rFonts w:ascii="Arial" w:cs="Arial" w:eastAsia="Arial" w:hAnsi="Arial"/>
                <w:sz w:val="11"/>
                <w:szCs w:val="11"/>
                <w:color w:val="auto"/>
              </w:rPr>
              <w:t>2019</w:t>
            </w:r>
          </w:p>
        </w:tc>
        <w:tc>
          <w:tcPr>
            <w:tcW w:w="100" w:type="dxa"/>
            <w:vAlign w:val="bottom"/>
            <w:shd w:val="clear" w:color="auto" w:fill="CCEEFF"/>
          </w:tcPr>
          <w:p>
            <w:pPr>
              <w:spacing w:after="0"/>
              <w:rPr>
                <w:sz w:val="8"/>
                <w:szCs w:val="8"/>
                <w:color w:val="auto"/>
              </w:rPr>
            </w:pPr>
          </w:p>
        </w:tc>
        <w:tc>
          <w:tcPr>
            <w:tcW w:w="5560" w:type="dxa"/>
            <w:vAlign w:val="bottom"/>
            <w:gridSpan w:val="2"/>
            <w:shd w:val="clear" w:color="auto" w:fill="CCEEFF"/>
          </w:tcPr>
          <w:p>
            <w:pPr>
              <w:jc w:val="center"/>
              <w:ind w:right="120"/>
              <w:spacing w:after="0" w:line="96" w:lineRule="exact"/>
              <w:rPr>
                <w:sz w:val="20"/>
                <w:szCs w:val="20"/>
                <w:color w:val="auto"/>
              </w:rPr>
            </w:pPr>
            <w:r>
              <w:rPr>
                <w:rFonts w:ascii="Arial" w:cs="Arial" w:eastAsia="Arial" w:hAnsi="Arial"/>
                <w:sz w:val="11"/>
                <w:szCs w:val="11"/>
                <w:color w:val="auto"/>
              </w:rPr>
              <w:t>$500 million 2.60% Senior Notes due December 2019</w:t>
            </w:r>
          </w:p>
        </w:tc>
        <w:tc>
          <w:tcPr>
            <w:tcW w:w="2680" w:type="dxa"/>
            <w:vAlign w:val="bottom"/>
            <w:shd w:val="clear" w:color="auto" w:fill="CCEEFF"/>
          </w:tcPr>
          <w:p>
            <w:pPr>
              <w:jc w:val="center"/>
              <w:spacing w:after="0" w:line="96" w:lineRule="exact"/>
              <w:rPr>
                <w:sz w:val="20"/>
                <w:szCs w:val="20"/>
                <w:color w:val="auto"/>
              </w:rPr>
            </w:pPr>
            <w:r>
              <w:rPr>
                <w:rFonts w:ascii="Arial" w:cs="Arial" w:eastAsia="Arial" w:hAnsi="Arial"/>
                <w:sz w:val="11"/>
                <w:szCs w:val="11"/>
                <w:color w:val="auto"/>
              </w:rPr>
              <w:t>November 2019</w:t>
            </w:r>
          </w:p>
        </w:tc>
        <w:tc>
          <w:tcPr>
            <w:tcW w:w="620" w:type="dxa"/>
            <w:vAlign w:val="bottom"/>
            <w:vMerge w:val="restart"/>
            <w:shd w:val="clear" w:color="auto" w:fill="CCEEFF"/>
          </w:tcPr>
          <w:p>
            <w:pPr>
              <w:jc w:val="right"/>
              <w:ind w:right="35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65"/>
        </w:trPr>
        <w:tc>
          <w:tcPr>
            <w:tcW w:w="22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280" w:type="dxa"/>
            <w:vAlign w:val="bottom"/>
          </w:tcPr>
          <w:p>
            <w:pPr>
              <w:jc w:val="center"/>
              <w:spacing w:after="0" w:line="96" w:lineRule="exact"/>
              <w:rPr>
                <w:sz w:val="20"/>
                <w:szCs w:val="20"/>
                <w:color w:val="auto"/>
              </w:rPr>
            </w:pPr>
            <w:r>
              <w:rPr>
                <w:rFonts w:ascii="Arial" w:cs="Arial" w:eastAsia="Arial" w:hAnsi="Arial"/>
                <w:sz w:val="11"/>
                <w:szCs w:val="11"/>
                <w:color w:val="auto"/>
              </w:rPr>
              <w:t>2019</w:t>
            </w:r>
          </w:p>
        </w:tc>
        <w:tc>
          <w:tcPr>
            <w:tcW w:w="100" w:type="dxa"/>
            <w:vAlign w:val="bottom"/>
          </w:tcPr>
          <w:p>
            <w:pPr>
              <w:spacing w:after="0"/>
              <w:rPr>
                <w:sz w:val="8"/>
                <w:szCs w:val="8"/>
                <w:color w:val="auto"/>
              </w:rPr>
            </w:pPr>
          </w:p>
        </w:tc>
        <w:tc>
          <w:tcPr>
            <w:tcW w:w="5560" w:type="dxa"/>
            <w:vAlign w:val="bottom"/>
            <w:gridSpan w:val="2"/>
          </w:tcPr>
          <w:p>
            <w:pPr>
              <w:jc w:val="center"/>
              <w:ind w:right="120"/>
              <w:spacing w:after="0" w:line="96" w:lineRule="exact"/>
              <w:rPr>
                <w:sz w:val="20"/>
                <w:szCs w:val="20"/>
                <w:color w:val="auto"/>
              </w:rPr>
            </w:pPr>
            <w:r>
              <w:rPr>
                <w:rFonts w:ascii="Arial" w:cs="Arial" w:eastAsia="Arial" w:hAnsi="Arial"/>
                <w:sz w:val="11"/>
                <w:szCs w:val="11"/>
                <w:color w:val="auto"/>
              </w:rPr>
              <w:t>$500 million 5.75% Senior Notes due January 2020</w:t>
            </w:r>
          </w:p>
        </w:tc>
        <w:tc>
          <w:tcPr>
            <w:tcW w:w="2680" w:type="dxa"/>
            <w:vAlign w:val="bottom"/>
          </w:tcPr>
          <w:p>
            <w:pPr>
              <w:jc w:val="center"/>
              <w:spacing w:after="0" w:line="96" w:lineRule="exact"/>
              <w:rPr>
                <w:sz w:val="20"/>
                <w:szCs w:val="20"/>
                <w:color w:val="auto"/>
              </w:rPr>
            </w:pPr>
            <w:r>
              <w:rPr>
                <w:rFonts w:ascii="Arial" w:cs="Arial" w:eastAsia="Arial" w:hAnsi="Arial"/>
                <w:sz w:val="11"/>
                <w:szCs w:val="11"/>
                <w:color w:val="auto"/>
              </w:rPr>
              <w:t>December 2019</w:t>
            </w:r>
          </w:p>
        </w:tc>
        <w:tc>
          <w:tcPr>
            <w:tcW w:w="620" w:type="dxa"/>
            <w:vAlign w:val="bottom"/>
            <w:vMerge w:val="restart"/>
          </w:tcPr>
          <w:p>
            <w:pPr>
              <w:jc w:val="right"/>
              <w:ind w:right="35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246570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98" w:lineRule="exact"/>
        <w:rPr>
          <w:sz w:val="20"/>
          <w:szCs w:val="20"/>
          <w:color w:val="auto"/>
        </w:rPr>
      </w:pPr>
    </w:p>
    <w:p>
      <w:pPr>
        <w:ind w:left="500" w:hanging="495"/>
        <w:spacing w:after="0"/>
        <w:tabs>
          <w:tab w:leader="none" w:pos="50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We repaid these senior notes with proceeds from our 3.80% senior notes issued in June 2020 and cash on hand.</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We repaid these senior notes with proceeds from our 3.55% senior notes issued in September 2019 and cash on hand.</w:t>
      </w:r>
    </w:p>
    <w:p>
      <w:pPr>
        <w:spacing w:after="0" w:line="2"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3"/>
          <w:szCs w:val="13"/>
          <w:color w:val="auto"/>
        </w:rPr>
        <w:t>Additionally, during the year ended December 31, 2020, we repurchased $17 million of our outstanding senior notes on the open market and recognized a gain of $3 million on these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transactions.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January 2022, we provided notice of our intention to redeem our 3.65% senior notes due June 2022 early, on March 1, 2022.</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Registration Statements</w:t>
      </w:r>
    </w:p>
    <w:p>
      <w:pPr>
        <w:spacing w:after="0" w:line="204"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2021. We also have access to a universal shelf registration statement (“WKSI Shelf”), which provides us with the ability to offer and sell an unlimited amount of debt and equity securities, subject to market conditions and our capital needs. The offerings of our $750 million, 3.80% senior notes in June 2020 and $1.0 billion, 3.55% senior notes in September 2019 were conducted under our WKSI Shelf.</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Common Equity Repurchase Program</w:t>
      </w:r>
    </w:p>
    <w:p>
      <w:pPr>
        <w:spacing w:after="0" w:line="20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17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We repurchased 18.1 million and 6.2 million common units under the Program through open market purchases that settled during the years ended December 31, 2021 and 2020, respectively, for a total purchase price of $178 million and $50 million respectively, including commissions and fees. The remaining available capacity under the Program as of December 31, 2021 was $272 million.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94" w:name="page95"/>
    <w:bookmarkEnd w:id="9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Distributions to Our Unitholders</w:t>
      </w:r>
    </w:p>
    <w:p>
      <w:pPr>
        <w:spacing w:after="0" w:line="204"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156"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i w:val="1"/>
          <w:iCs w:val="1"/>
          <w:color w:val="auto"/>
        </w:rPr>
        <w:t xml:space="preserve">Distributions to our Series A preferred unitholders. </w:t>
      </w:r>
      <w:r>
        <w:rPr>
          <w:rFonts w:ascii="Arial" w:cs="Arial" w:eastAsia="Arial" w:hAnsi="Arial"/>
          <w:sz w:val="14"/>
          <w:szCs w:val="14"/>
          <w:color w:val="auto"/>
        </w:rPr>
        <w:t>Holders of our Series A preferred units are entitled to receive quarterly distributions, subject to customary anti-dilution adjustments, of</w:t>
      </w:r>
      <w:r>
        <w:rPr>
          <w:rFonts w:ascii="Arial" w:cs="Arial" w:eastAsia="Arial" w:hAnsi="Arial"/>
          <w:sz w:val="14"/>
          <w:szCs w:val="14"/>
          <w:i w:val="1"/>
          <w:iCs w:val="1"/>
          <w:color w:val="auto"/>
        </w:rPr>
        <w:t xml:space="preserve"> </w:t>
      </w:r>
      <w:r>
        <w:rPr>
          <w:rFonts w:ascii="Arial" w:cs="Arial" w:eastAsia="Arial" w:hAnsi="Arial"/>
          <w:sz w:val="14"/>
          <w:szCs w:val="14"/>
          <w:color w:val="auto"/>
        </w:rPr>
        <w:t>$0.525 per unit ($2.10 per unit annualized). Subject to certain limitations, following January 28, 2021, the holders of our Series A preferred units may make a one-time election to reset the distribution rate. See Note 12 to our Consolidated Financial Statements for additional information.</w:t>
      </w:r>
    </w:p>
    <w:p>
      <w:pPr>
        <w:spacing w:after="0" w:line="16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i w:val="1"/>
          <w:iCs w:val="1"/>
          <w:color w:val="auto"/>
        </w:rPr>
        <w:t xml:space="preserve">Distributions to our Series B preferred unitholders. </w:t>
      </w:r>
      <w:r>
        <w:rPr>
          <w:rFonts w:ascii="Arial" w:cs="Arial" w:eastAsia="Arial" w:hAnsi="Arial"/>
          <w:sz w:val="14"/>
          <w:szCs w:val="14"/>
          <w:color w:val="auto"/>
        </w:rPr>
        <w:t>Holders of our Series B preferred units are entitled to receive, when, as and if declared by our general partner out of legally available</w:t>
      </w:r>
      <w:r>
        <w:rPr>
          <w:rFonts w:ascii="Arial" w:cs="Arial" w:eastAsia="Arial" w:hAnsi="Arial"/>
          <w:sz w:val="14"/>
          <w:szCs w:val="14"/>
          <w:i w:val="1"/>
          <w:iCs w:val="1"/>
          <w:color w:val="auto"/>
        </w:rPr>
        <w:t xml:space="preserve"> </w:t>
      </w:r>
      <w:r>
        <w:rPr>
          <w:rFonts w:ascii="Arial" w:cs="Arial" w:eastAsia="Arial" w:hAnsi="Arial"/>
          <w:sz w:val="14"/>
          <w:szCs w:val="14"/>
          <w:color w:val="auto"/>
        </w:rPr>
        <w:t>funds for such purpose, cumulative cash distributions, as applicable. Through and including November 15, 2022, holders are entitled to a distribution equal to $61.25 per unit per year, payable semiannually in arrears on the 15th day of May and November. See Note 12 to our Consolidated Financial Statements for further discussion of our Series B preferred units, including distribution rates and payment dates after November 15, 2022.</w:t>
      </w:r>
    </w:p>
    <w:p>
      <w:pPr>
        <w:spacing w:after="0" w:line="167" w:lineRule="exact"/>
        <w:rPr>
          <w:sz w:val="20"/>
          <w:szCs w:val="20"/>
          <w:color w:val="auto"/>
        </w:rPr>
      </w:pPr>
    </w:p>
    <w:p>
      <w:pPr>
        <w:jc w:val="both"/>
        <w:ind w:right="420" w:firstLine="509"/>
        <w:spacing w:after="0" w:line="267" w:lineRule="auto"/>
        <w:rPr>
          <w:sz w:val="20"/>
          <w:szCs w:val="20"/>
          <w:color w:val="auto"/>
        </w:rPr>
      </w:pPr>
      <w:r>
        <w:rPr>
          <w:rFonts w:ascii="Arial" w:cs="Arial" w:eastAsia="Arial" w:hAnsi="Arial"/>
          <w:sz w:val="14"/>
          <w:szCs w:val="14"/>
          <w:i w:val="1"/>
          <w:iCs w:val="1"/>
          <w:color w:val="auto"/>
        </w:rPr>
        <w:t xml:space="preserve">Distributions to our common unitholders. </w:t>
      </w:r>
      <w:r>
        <w:rPr>
          <w:rFonts w:ascii="Arial" w:cs="Arial" w:eastAsia="Arial" w:hAnsi="Arial"/>
          <w:sz w:val="14"/>
          <w:szCs w:val="14"/>
          <w:color w:val="auto"/>
        </w:rPr>
        <w:t>On February 14, 2022, we paid a quarterly distribution of $0.18 per common unit ($0.72 per common unit on an annualized basis). The total</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of $127 million was paid to common unitholders of record as of January 31, 2022, with respect to the quarter ended December 31, 2021. See Note 12 to our Consolidated Financial Statements for details of distributions paid during the three years ended December 31, 2021.</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Distributions to Noncontrolling Interests</w:t>
      </w:r>
    </w:p>
    <w:p>
      <w:pPr>
        <w:spacing w:after="0" w:line="204"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Distributions to noncontrolling interests represent amounts paid on interests in consolidated entities that are not owned by us. As of December 31, 2021, noncontrolling interests in our subsidiaries consisted of (i) a 35% interest in the Permian JV and (ii) a 33% interest in Red River Pipeline LLC. See Note 12 to our Consolidated Financial Statements for details of distributions paid to noncontrolling interests in Red River Pipeline LLC during the three years ended December 31, 2021.</w:t>
      </w:r>
    </w:p>
    <w:p>
      <w:pPr>
        <w:spacing w:after="0" w:line="163" w:lineRule="exact"/>
        <w:rPr>
          <w:sz w:val="20"/>
          <w:szCs w:val="20"/>
          <w:color w:val="auto"/>
        </w:rPr>
      </w:pPr>
    </w:p>
    <w:p>
      <w:pPr>
        <w:ind w:right="400" w:firstLine="509"/>
        <w:spacing w:after="0" w:line="321" w:lineRule="auto"/>
        <w:rPr>
          <w:sz w:val="20"/>
          <w:szCs w:val="20"/>
          <w:color w:val="auto"/>
        </w:rPr>
      </w:pPr>
      <w:r>
        <w:rPr>
          <w:rFonts w:ascii="Arial" w:cs="Arial" w:eastAsia="Arial" w:hAnsi="Arial"/>
          <w:sz w:val="13"/>
          <w:szCs w:val="13"/>
          <w:color w:val="auto"/>
        </w:rPr>
        <w:t>The initial distribution from the Permian JV of approximately $155 million was paid during the first quarter of 2022, with 65% of the distribution paid to us and 35% to noncontrolling interests. Subsequent distributions will be allocated based on a modified sharing arrangement. See Note 7 to our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Contingencies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a discussion of contingencies that may impact us, see Note 19 to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Note 11 to our Consolidated Financial Statements for information regarding our debt obligations and Note 19 for information regarding our leases and other commitments.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5" w:name="page96"/>
    <w:bookmarkEnd w:id="9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Purchase Obligations</w:t>
      </w:r>
    </w:p>
    <w:p>
      <w:pPr>
        <w:spacing w:after="0" w:line="20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In the ordinary course of doing business, we purchase crude oil and NGL from third parties under contracts, the majority of which range in term from thirty-day evergreen to five years, with a limited number of contracts with remaining terms extending up to 14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includes our best estimate and the timing of these payments as of December 31, 2021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2027 and</w:t>
            </w:r>
          </w:p>
        </w:tc>
        <w:tc>
          <w:tcPr>
            <w:tcW w:w="220" w:type="dxa"/>
            <w:vAlign w:val="bottom"/>
          </w:tcPr>
          <w:p>
            <w:pPr>
              <w:spacing w:after="0"/>
              <w:rPr>
                <w:sz w:val="10"/>
                <w:szCs w:val="10"/>
                <w:color w:val="auto"/>
              </w:rPr>
            </w:pPr>
          </w:p>
        </w:tc>
        <w:tc>
          <w:tcPr>
            <w:tcW w:w="74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Thereafter</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2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Crude oil, NGL and other purchases </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47,079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24657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20" w:right="180" w:hanging="515"/>
        <w:spacing w:after="0" w:line="235" w:lineRule="auto"/>
        <w:tabs>
          <w:tab w:leader="none" w:pos="51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Amounts are primarily based on estimated volumes and market prices based on average activity during December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67"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i w:val="1"/>
          <w:iCs w:val="1"/>
          <w:color w:val="auto"/>
        </w:rPr>
        <w:t xml:space="preserve">Letters of Credit. </w:t>
      </w:r>
      <w:r>
        <w:rPr>
          <w:rFonts w:ascii="Arial" w:cs="Arial" w:eastAsia="Arial" w:hAnsi="Arial"/>
          <w:sz w:val="14"/>
          <w:szCs w:val="14"/>
          <w:color w:val="auto"/>
        </w:rPr>
        <w:t>In connection with our merchant activities, we provide certain suppliers with irrevocable standby letters of credit to secure our obligation for the purchase and transportation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2021 and 2020, we had outstanding letters of credit of approximately $98 million and $129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off-balance sheet arrangements as defined by Item 303 of Regulation 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6" w:name="page97"/>
    <w:bookmarkEnd w:id="9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Unconsolidated Entities</w:t>
      </w:r>
    </w:p>
    <w:p>
      <w:pPr>
        <w:spacing w:after="0" w:line="20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We have invested in entities that are not consolidated in our financial statements. Certain of these entities are borrowers under credit facilities. We are neither a co-borrower nor a guarantor under these credit facilities. We may elect at any time to make additional capital contributions to any of these entities. The following table sets forth selected information regarding these entities as of December 31, 2021 (unaudited,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Our</w:t>
            </w:r>
          </w:p>
        </w:tc>
        <w:tc>
          <w:tcPr>
            <w:tcW w:w="280" w:type="dxa"/>
            <w:vAlign w:val="bottom"/>
          </w:tcPr>
          <w:p>
            <w:pPr>
              <w:spacing w:after="0"/>
              <w:rPr>
                <w:sz w:val="10"/>
                <w:szCs w:val="10"/>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Total Cash</w:t>
            </w:r>
          </w:p>
        </w:tc>
        <w:tc>
          <w:tcPr>
            <w:tcW w:w="260" w:type="dxa"/>
            <w:vAlign w:val="bottom"/>
          </w:tcPr>
          <w:p>
            <w:pPr>
              <w:spacing w:after="0"/>
              <w:rPr>
                <w:sz w:val="10"/>
                <w:szCs w:val="10"/>
                <w:color w:val="auto"/>
              </w:rPr>
            </w:pPr>
          </w:p>
        </w:tc>
        <w:tc>
          <w:tcPr>
            <w:tcW w:w="940" w:type="dxa"/>
            <w:vAlign w:val="bottom"/>
            <w:vMerge w:val="restart"/>
          </w:tcPr>
          <w:p>
            <w:pPr>
              <w:jc w:val="center"/>
              <w:ind w:right="2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1"/>
              </w:rPr>
              <w:t>and</w:t>
            </w: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Entity</w:t>
            </w: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3"/>
              </w:rPr>
              <w:t>Type of Operation</w:t>
            </w:r>
          </w:p>
        </w:tc>
        <w:tc>
          <w:tcPr>
            <w:tcW w:w="128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4"/>
              </w:rPr>
              <w:t>Ownership</w:t>
            </w:r>
          </w:p>
        </w:tc>
        <w:tc>
          <w:tcPr>
            <w:tcW w:w="280" w:type="dxa"/>
            <w:vAlign w:val="bottom"/>
          </w:tcPr>
          <w:p>
            <w:pPr>
              <w:spacing w:after="0"/>
              <w:rPr>
                <w:sz w:val="9"/>
                <w:szCs w:val="9"/>
                <w:color w:val="auto"/>
              </w:rPr>
            </w:pPr>
          </w:p>
        </w:tc>
        <w:tc>
          <w:tcPr>
            <w:tcW w:w="1020" w:type="dxa"/>
            <w:vAlign w:val="bottom"/>
            <w:gridSpan w:val="2"/>
          </w:tcPr>
          <w:p>
            <w:pPr>
              <w:ind w:left="180"/>
              <w:spacing w:after="0" w:line="106" w:lineRule="exact"/>
              <w:rPr>
                <w:sz w:val="20"/>
                <w:szCs w:val="20"/>
                <w:color w:val="auto"/>
              </w:rPr>
            </w:pPr>
            <w:r>
              <w:rPr>
                <w:rFonts w:ascii="Arial" w:cs="Arial" w:eastAsia="Arial" w:hAnsi="Arial"/>
                <w:sz w:val="11"/>
                <w:szCs w:val="11"/>
                <w:b w:val="1"/>
                <w:bCs w:val="1"/>
                <w:color w:val="auto"/>
              </w:rPr>
              <w:t>Entity</w:t>
            </w:r>
          </w:p>
        </w:tc>
        <w:tc>
          <w:tcPr>
            <w:tcW w:w="220" w:type="dxa"/>
            <w:vAlign w:val="bottom"/>
          </w:tcPr>
          <w:p>
            <w:pPr>
              <w:spacing w:after="0"/>
              <w:rPr>
                <w:sz w:val="9"/>
                <w:szCs w:val="9"/>
                <w:color w:val="auto"/>
              </w:rPr>
            </w:pPr>
          </w:p>
        </w:tc>
        <w:tc>
          <w:tcPr>
            <w:tcW w:w="108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89"/>
              </w:rPr>
              <w:t>Restricted</w:t>
            </w:r>
          </w:p>
        </w:tc>
        <w:tc>
          <w:tcPr>
            <w:tcW w:w="260" w:type="dxa"/>
            <w:vAlign w:val="bottom"/>
          </w:tcPr>
          <w:p>
            <w:pPr>
              <w:spacing w:after="0"/>
              <w:rPr>
                <w:sz w:val="9"/>
                <w:szCs w:val="9"/>
                <w:color w:val="auto"/>
              </w:rPr>
            </w:pPr>
          </w:p>
        </w:tc>
        <w:tc>
          <w:tcPr>
            <w:tcW w:w="940" w:type="dxa"/>
            <w:vAlign w:val="bottom"/>
          </w:tcPr>
          <w:p>
            <w:pPr>
              <w:jc w:val="center"/>
              <w:ind w:right="212"/>
              <w:spacing w:after="0" w:line="106" w:lineRule="exact"/>
              <w:rPr>
                <w:sz w:val="20"/>
                <w:szCs w:val="20"/>
                <w:color w:val="auto"/>
              </w:rPr>
            </w:pPr>
            <w:r>
              <w:rPr>
                <w:rFonts w:ascii="Arial" w:cs="Arial" w:eastAsia="Arial" w:hAnsi="Arial"/>
                <w:sz w:val="11"/>
                <w:szCs w:val="11"/>
                <w:b w:val="1"/>
                <w:bCs w:val="1"/>
                <w:color w:val="auto"/>
                <w:w w:val="98"/>
              </w:rPr>
              <w:t>Entity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Interest</w:t>
            </w:r>
          </w:p>
        </w:tc>
        <w:tc>
          <w:tcPr>
            <w:tcW w:w="280" w:type="dxa"/>
            <w:vAlign w:val="bottom"/>
          </w:tcPr>
          <w:p>
            <w:pPr>
              <w:spacing w:after="0"/>
              <w:rPr>
                <w:sz w:val="12"/>
                <w:szCs w:val="12"/>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Assets</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Cash</w:t>
            </w:r>
          </w:p>
        </w:tc>
        <w:tc>
          <w:tcPr>
            <w:tcW w:w="260" w:type="dxa"/>
            <w:vAlign w:val="bottom"/>
          </w:tcPr>
          <w:p>
            <w:pPr>
              <w:spacing w:after="0"/>
              <w:rPr>
                <w:sz w:val="12"/>
                <w:szCs w:val="12"/>
                <w:color w:val="auto"/>
              </w:rPr>
            </w:pPr>
          </w:p>
        </w:tc>
        <w:tc>
          <w:tcPr>
            <w:tcW w:w="940" w:type="dxa"/>
            <w:vAlign w:val="bottom"/>
          </w:tcPr>
          <w:p>
            <w:pPr>
              <w:jc w:val="center"/>
              <w:ind w:right="212"/>
              <w:spacing w:after="0"/>
              <w:rPr>
                <w:sz w:val="20"/>
                <w:szCs w:val="20"/>
                <w:color w:val="auto"/>
              </w:rPr>
            </w:pPr>
            <w:r>
              <w:rPr>
                <w:rFonts w:ascii="Arial" w:cs="Arial" w:eastAsia="Arial" w:hAnsi="Arial"/>
                <w:sz w:val="11"/>
                <w:szCs w:val="11"/>
                <w:b w:val="1"/>
                <w:bCs w:val="1"/>
                <w:color w:val="auto"/>
                <w:w w:val="89"/>
              </w:rPr>
              <w:t>Debt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BridgeTex Pipeline Company, LLC</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4"/>
                <w:szCs w:val="14"/>
                <w:color w:val="auto"/>
                <w:w w:val="93"/>
              </w:rPr>
              <w:t>Crude Oil Pipeline</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Cactus II Pipeline LLC</w:t>
            </w:r>
          </w:p>
        </w:tc>
        <w:tc>
          <w:tcPr>
            <w:tcW w:w="220" w:type="dxa"/>
            <w:vAlign w:val="bottom"/>
          </w:tcPr>
          <w:p>
            <w:pPr>
              <w:spacing w:after="0"/>
              <w:rPr>
                <w:sz w:val="15"/>
                <w:szCs w:val="15"/>
                <w:color w:val="auto"/>
              </w:rPr>
            </w:pPr>
          </w:p>
        </w:tc>
        <w:tc>
          <w:tcPr>
            <w:tcW w:w="2320" w:type="dxa"/>
            <w:vAlign w:val="bottom"/>
            <w:gridSpan w:val="2"/>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Capline Pipeline Company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Diamond Pipeline LLC</w:t>
            </w:r>
          </w:p>
        </w:tc>
        <w:tc>
          <w:tcPr>
            <w:tcW w:w="220" w:type="dxa"/>
            <w:vAlign w:val="bottom"/>
          </w:tcPr>
          <w:p>
            <w:pPr>
              <w:spacing w:after="0"/>
              <w:rPr>
                <w:sz w:val="15"/>
                <w:szCs w:val="15"/>
                <w:color w:val="auto"/>
              </w:rPr>
            </w:pPr>
          </w:p>
        </w:tc>
        <w:tc>
          <w:tcPr>
            <w:tcW w:w="2320" w:type="dxa"/>
            <w:vAlign w:val="bottom"/>
            <w:gridSpan w:val="2"/>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Eagle Ford Pipeline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Eagle Ford Terminals Corpus Christi LLC</w:t>
            </w:r>
          </w:p>
        </w:tc>
        <w:tc>
          <w:tcPr>
            <w:tcW w:w="220" w:type="dxa"/>
            <w:vAlign w:val="bottom"/>
          </w:tcPr>
          <w:p>
            <w:pPr>
              <w:spacing w:after="0"/>
              <w:rPr>
                <w:sz w:val="15"/>
                <w:szCs w:val="15"/>
                <w:color w:val="auto"/>
              </w:rPr>
            </w:pPr>
          </w:p>
        </w:tc>
        <w:tc>
          <w:tcPr>
            <w:tcW w:w="2320" w:type="dxa"/>
            <w:vAlign w:val="bottom"/>
            <w:gridSpan w:val="2"/>
          </w:tcPr>
          <w:p>
            <w:pPr>
              <w:jc w:val="center"/>
              <w:ind w:right="340"/>
              <w:spacing w:after="0" w:line="181" w:lineRule="exact"/>
              <w:rPr>
                <w:sz w:val="20"/>
                <w:szCs w:val="20"/>
                <w:color w:val="auto"/>
              </w:rPr>
            </w:pPr>
            <w:r>
              <w:rPr>
                <w:rFonts w:ascii="Arial" w:cs="Arial" w:eastAsia="Arial" w:hAnsi="Arial"/>
                <w:sz w:val="14"/>
                <w:szCs w:val="14"/>
                <w:color w:val="auto"/>
                <w:w w:val="91"/>
              </w:rPr>
              <w:t xml:space="preserve">Crude Oil Terminal and Dock </w:t>
            </w:r>
            <w:r>
              <w:rPr>
                <w:rFonts w:ascii="Arial" w:cs="Arial" w:eastAsia="Arial" w:hAnsi="Arial"/>
                <w:sz w:val="18"/>
                <w:szCs w:val="18"/>
                <w:color w:val="auto"/>
                <w:w w:val="91"/>
                <w:vertAlign w:val="superscript"/>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OMOG JV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Saddlehorn Pipeline Company, LLC</w:t>
            </w:r>
          </w:p>
        </w:tc>
        <w:tc>
          <w:tcPr>
            <w:tcW w:w="220" w:type="dxa"/>
            <w:vAlign w:val="bottom"/>
          </w:tcPr>
          <w:p>
            <w:pPr>
              <w:spacing w:after="0"/>
              <w:rPr>
                <w:sz w:val="15"/>
                <w:szCs w:val="15"/>
                <w:color w:val="auto"/>
              </w:rPr>
            </w:pPr>
          </w:p>
        </w:tc>
        <w:tc>
          <w:tcPr>
            <w:tcW w:w="23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White Cliffs Pipeline,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Wink to Webster Pipeline LLC</w:t>
            </w:r>
          </w:p>
        </w:tc>
        <w:tc>
          <w:tcPr>
            <w:tcW w:w="220" w:type="dxa"/>
            <w:vAlign w:val="bottom"/>
          </w:tcPr>
          <w:p>
            <w:pPr>
              <w:spacing w:after="0"/>
              <w:rPr>
                <w:sz w:val="15"/>
                <w:szCs w:val="15"/>
                <w:color w:val="auto"/>
              </w:rPr>
            </w:pPr>
          </w:p>
        </w:tc>
        <w:tc>
          <w:tcPr>
            <w:tcW w:w="23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16%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investments</w:t>
            </w:r>
          </w:p>
        </w:tc>
        <w:tc>
          <w:tcPr>
            <w:tcW w:w="2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420" w:type="dxa"/>
            <w:vAlign w:val="bottom"/>
            <w:tcBorders>
              <w:bottom w:val="single" w:sz="8" w:color="auto"/>
            </w:tcBorders>
            <w:gridSpan w:val="2"/>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20" w:type="dxa"/>
            <w:vAlign w:val="bottom"/>
            <w:gridSpan w:val="2"/>
          </w:tcPr>
          <w:p>
            <w:pPr>
              <w:jc w:val="right"/>
              <w:ind w:right="230"/>
              <w:spacing w:after="0"/>
              <w:rPr>
                <w:sz w:val="20"/>
                <w:szCs w:val="20"/>
                <w:color w:val="auto"/>
              </w:rPr>
            </w:pPr>
            <w:r>
              <w:rPr>
                <w:rFonts w:ascii="Arial" w:cs="Arial" w:eastAsia="Arial" w:hAnsi="Arial"/>
                <w:sz w:val="9"/>
                <w:szCs w:val="9"/>
                <w:color w:val="auto"/>
                <w:w w:val="90"/>
              </w:rPr>
              <w:t>(1)</w:t>
            </w:r>
          </w:p>
        </w:tc>
        <w:tc>
          <w:tcPr>
            <w:tcW w:w="3240" w:type="dxa"/>
            <w:vAlign w:val="bottom"/>
            <w:gridSpan w:val="2"/>
            <w:vMerge w:val="restart"/>
          </w:tcPr>
          <w:p>
            <w:pPr>
              <w:ind w:left="80"/>
              <w:spacing w:after="0"/>
              <w:rPr>
                <w:sz w:val="20"/>
                <w:szCs w:val="20"/>
                <w:color w:val="auto"/>
              </w:rPr>
            </w:pPr>
            <w:r>
              <w:rPr>
                <w:rFonts w:ascii="Arial" w:cs="Arial" w:eastAsia="Arial" w:hAnsi="Arial"/>
                <w:sz w:val="14"/>
                <w:szCs w:val="14"/>
                <w:color w:val="auto"/>
              </w:rPr>
              <w:t>We serve as operator of the asset.</w:t>
            </w:r>
          </w:p>
        </w:tc>
        <w:tc>
          <w:tcPr>
            <w:tcW w:w="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4" w:lineRule="exact"/>
        <w:rPr>
          <w:sz w:val="20"/>
          <w:szCs w:val="20"/>
          <w:color w:val="auto"/>
        </w:rPr>
      </w:pPr>
    </w:p>
    <w:p>
      <w:pPr>
        <w:ind w:right="160" w:firstLine="509"/>
        <w:spacing w:after="0" w:line="288" w:lineRule="auto"/>
        <w:rPr>
          <w:sz w:val="20"/>
          <w:szCs w:val="20"/>
          <w:color w:val="auto"/>
        </w:rPr>
      </w:pPr>
      <w:r>
        <w:rPr>
          <w:rFonts w:ascii="Arial" w:cs="Arial" w:eastAsia="Arial" w:hAnsi="Arial"/>
          <w:sz w:val="13"/>
          <w:szCs w:val="13"/>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52"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71"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i w:val="1"/>
          <w:iCs w:val="1"/>
          <w:color w:val="auto"/>
        </w:rPr>
        <w:t xml:space="preserve">Fair Value of Assets and Liabilities Acquired and Identification of Associated Goodwill and Intangible Assets. </w:t>
      </w:r>
      <w:r>
        <w:rPr>
          <w:rFonts w:ascii="Arial" w:cs="Arial" w:eastAsia="Arial" w:hAnsi="Arial"/>
          <w:sz w:val="13"/>
          <w:szCs w:val="13"/>
          <w:color w:val="auto"/>
        </w:rPr>
        <w:t>In accordance with Financial Accounting Standards Board (“FASB”) guidance</w:t>
      </w:r>
      <w:r>
        <w:rPr>
          <w:rFonts w:ascii="Arial" w:cs="Arial" w:eastAsia="Arial" w:hAnsi="Arial"/>
          <w:sz w:val="13"/>
          <w:szCs w:val="13"/>
          <w:i w:val="1"/>
          <w:iCs w:val="1"/>
          <w:color w:val="auto"/>
        </w:rPr>
        <w:t xml:space="preserve"> </w:t>
      </w:r>
      <w:r>
        <w:rPr>
          <w:rFonts w:ascii="Arial" w:cs="Arial" w:eastAsia="Arial" w:hAnsi="Arial"/>
          <w:sz w:val="13"/>
          <w:szCs w:val="13"/>
          <w:color w:val="auto"/>
        </w:rPr>
        <w:t>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52" w:lineRule="exact"/>
        <w:rPr>
          <w:sz w:val="20"/>
          <w:szCs w:val="20"/>
          <w:color w:val="auto"/>
        </w:rPr>
      </w:pPr>
    </w:p>
    <w:p>
      <w:pPr>
        <w:ind w:right="160" w:firstLine="509"/>
        <w:spacing w:after="0" w:line="368" w:lineRule="auto"/>
        <w:rPr>
          <w:sz w:val="20"/>
          <w:szCs w:val="20"/>
          <w:color w:val="auto"/>
        </w:rPr>
      </w:pPr>
      <w:r>
        <w:rPr>
          <w:rFonts w:ascii="Arial" w:cs="Arial" w:eastAsia="Arial" w:hAnsi="Arial"/>
          <w:sz w:val="12"/>
          <w:szCs w:val="12"/>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7" w:name="page98"/>
    <w:bookmarkEnd w:id="9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53"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i w:val="1"/>
          <w:iCs w:val="1"/>
          <w:color w:val="auto"/>
        </w:rPr>
        <w:t xml:space="preserve">Fair Value of Derivatives. </w:t>
      </w:r>
      <w:r>
        <w:rPr>
          <w:rFonts w:ascii="Arial" w:cs="Arial" w:eastAsia="Arial" w:hAnsi="Arial"/>
          <w:sz w:val="13"/>
          <w:szCs w:val="13"/>
          <w:color w:val="auto"/>
        </w:rPr>
        <w:t>The fair value of a derivative at a particular period end does not reflect the end results of a particular transaction, and will most likely not reflect the gain or loss at</w:t>
      </w:r>
      <w:r>
        <w:rPr>
          <w:rFonts w:ascii="Arial" w:cs="Arial" w:eastAsia="Arial" w:hAnsi="Arial"/>
          <w:sz w:val="13"/>
          <w:szCs w:val="13"/>
          <w:i w:val="1"/>
          <w:iCs w:val="1"/>
          <w:color w:val="auto"/>
        </w:rPr>
        <w:t xml:space="preserve"> </w:t>
      </w:r>
      <w:r>
        <w:rPr>
          <w:rFonts w:ascii="Arial" w:cs="Arial" w:eastAsia="Arial" w:hAnsi="Arial"/>
          <w:sz w:val="13"/>
          <w:szCs w:val="13"/>
          <w:color w:val="auto"/>
        </w:rPr>
        <w:t>the conclusion of a transaction. We reflect estimates for these items based on our internal records and information from third parties. We have commodity derivatives, interest rate derivatives</w:t>
      </w:r>
    </w:p>
    <w:p>
      <w:pPr>
        <w:spacing w:after="0" w:line="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55"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We also have embedded derivatives that are recorded at fair value on our Consolidated Balance Sheets. These embedded derivatives are valued using models that contain inputs, some of which involve management judgment.</w:t>
      </w:r>
    </w:p>
    <w:p>
      <w:pPr>
        <w:spacing w:after="0" w:line="153" w:lineRule="exact"/>
        <w:rPr>
          <w:sz w:val="20"/>
          <w:szCs w:val="20"/>
          <w:color w:val="auto"/>
        </w:rPr>
      </w:pPr>
    </w:p>
    <w:p>
      <w:pPr>
        <w:ind w:right="400" w:firstLine="509"/>
        <w:spacing w:after="0" w:line="267" w:lineRule="auto"/>
        <w:rPr>
          <w:sz w:val="20"/>
          <w:szCs w:val="20"/>
          <w:color w:val="auto"/>
        </w:rPr>
      </w:pPr>
      <w:r>
        <w:rPr>
          <w:rFonts w:ascii="Arial" w:cs="Arial" w:eastAsia="Arial" w:hAnsi="Arial"/>
          <w:sz w:val="14"/>
          <w:szCs w:val="14"/>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163"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i w:val="1"/>
          <w:iCs w:val="1"/>
          <w:color w:val="auto"/>
        </w:rPr>
        <w:t xml:space="preserve">Accruals and Contingent Liabilities. </w:t>
      </w:r>
      <w:r>
        <w:rPr>
          <w:rFonts w:ascii="Arial" w:cs="Arial" w:eastAsia="Arial" w:hAnsi="Arial"/>
          <w:sz w:val="14"/>
          <w:szCs w:val="14"/>
          <w:color w:val="auto"/>
        </w:rPr>
        <w:t>We record accruals or liabilities for, among other things, environmental remediation, potential legal claims or settlements and fees for legal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$21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71" w:lineRule="exact"/>
        <w:rPr>
          <w:sz w:val="20"/>
          <w:szCs w:val="20"/>
          <w:color w:val="auto"/>
        </w:rPr>
      </w:pPr>
    </w:p>
    <w:p>
      <w:pPr>
        <w:ind w:right="220" w:firstLine="509"/>
        <w:spacing w:after="0" w:line="260" w:lineRule="auto"/>
        <w:rPr>
          <w:sz w:val="20"/>
          <w:szCs w:val="20"/>
          <w:color w:val="auto"/>
        </w:rPr>
      </w:pPr>
      <w:r>
        <w:rPr>
          <w:rFonts w:ascii="Arial" w:cs="Arial" w:eastAsia="Arial" w:hAnsi="Arial"/>
          <w:sz w:val="14"/>
          <w:szCs w:val="14"/>
          <w:i w:val="1"/>
          <w:iCs w:val="1"/>
          <w:color w:val="auto"/>
        </w:rPr>
        <w:t xml:space="preserve">Property and Equipment, Depreciation and Amortization Expense and Asset Retirement Obligations. </w:t>
      </w:r>
      <w:r>
        <w:rPr>
          <w:rFonts w:ascii="Arial" w:cs="Arial" w:eastAsia="Arial" w:hAnsi="Arial"/>
          <w:sz w:val="14"/>
          <w:szCs w:val="14"/>
          <w:color w:val="auto"/>
        </w:rPr>
        <w:t>We compute depreciation and amortization using the straight-line method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68"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6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See Note 6 and Note 10 to our Consolidated Financial Statements for additional information on our property and equipment and depreciation and amortization expense. See Note 2 to our Consolidated Financial Statements for additional information on our asset retirement obligations.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98" w:name="page99"/>
    <w:bookmarkEnd w:id="9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right="100" w:firstLine="509"/>
        <w:spacing w:after="0" w:line="262" w:lineRule="auto"/>
        <w:rPr>
          <w:sz w:val="20"/>
          <w:szCs w:val="20"/>
          <w:color w:val="auto"/>
        </w:rPr>
      </w:pPr>
      <w:r>
        <w:rPr>
          <w:rFonts w:ascii="Arial" w:cs="Arial" w:eastAsia="Arial" w:hAnsi="Arial"/>
          <w:sz w:val="14"/>
          <w:szCs w:val="14"/>
          <w:i w:val="1"/>
          <w:iCs w:val="1"/>
          <w:color w:val="auto"/>
        </w:rPr>
        <w:t xml:space="preserve">Impairment Assessments of Property and Equipment, Investments in Unconsolidated Entities and Intangible Assets. </w:t>
      </w:r>
      <w:r>
        <w:rPr>
          <w:rFonts w:ascii="Arial" w:cs="Arial" w:eastAsia="Arial" w:hAnsi="Arial"/>
          <w:sz w:val="14"/>
          <w:szCs w:val="14"/>
          <w:color w:val="auto"/>
        </w:rPr>
        <w:t>We periodically evaluate property and equipment for impairment when</w:t>
      </w:r>
      <w:r>
        <w:rPr>
          <w:rFonts w:ascii="Arial" w:cs="Arial" w:eastAsia="Arial" w:hAnsi="Arial"/>
          <w:sz w:val="14"/>
          <w:szCs w:val="14"/>
          <w:i w:val="1"/>
          <w:iCs w:val="1"/>
          <w:color w:val="auto"/>
        </w:rPr>
        <w:t xml:space="preserve"> </w:t>
      </w:r>
      <w:r>
        <w:rPr>
          <w:rFonts w:ascii="Arial" w:cs="Arial" w:eastAsia="Arial" w:hAnsi="Arial"/>
          <w:sz w:val="14"/>
          <w:szCs w:val="14"/>
          <w:color w:val="auto"/>
        </w:rPr>
        <w:t>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46" w:lineRule="exact"/>
        <w:rPr>
          <w:sz w:val="20"/>
          <w:szCs w:val="20"/>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whether there is an event or circumstance that may be indicative of an impairment;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grouping of assets;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intention of “holding”, “abandoning” or “selling” an asset;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forecast of undiscounted expected future cash flow over the asset’s estimated useful life;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if an impairment exists, the fair value of the asset or asset group.</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when we evaluate property and equipment and other long-lived assets for recoverability, it may also be necessary to review related depreciation estimates and methods.</w:t>
      </w:r>
    </w:p>
    <w:p>
      <w:pPr>
        <w:spacing w:after="0" w:line="211"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68" w:lineRule="exact"/>
        <w:rPr>
          <w:sz w:val="20"/>
          <w:szCs w:val="20"/>
          <w:color w:val="auto"/>
        </w:rPr>
      </w:pPr>
    </w:p>
    <w:p>
      <w:pPr>
        <w:ind w:left="760" w:hanging="246"/>
        <w:spacing w:after="0"/>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whether there is an event or circumstance that may be indicative of a decline in value of the investment;</w:t>
      </w:r>
    </w:p>
    <w:p>
      <w:pPr>
        <w:spacing w:after="0" w:line="83" w:lineRule="exact"/>
        <w:rPr>
          <w:rFonts w:ascii="Arial" w:cs="Arial" w:eastAsia="Arial" w:hAnsi="Arial"/>
          <w:sz w:val="14"/>
          <w:szCs w:val="14"/>
          <w:color w:val="auto"/>
        </w:rPr>
      </w:pPr>
    </w:p>
    <w:p>
      <w:pPr>
        <w:ind w:left="760" w:hanging="246"/>
        <w:spacing w:after="0"/>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whether the decline in value is other than temporary;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fair value of the investment.</w:t>
      </w:r>
    </w:p>
    <w:p>
      <w:pPr>
        <w:spacing w:after="0" w:line="200"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56"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A change in our outlook or use could result in impairments that may be material to our results of operations or financial condition. See “—Executive Summary— Market Overview and Outlook” and Note 6, Note 9 and Note 10 to our Consolidated Financial Statements for additional information.</w:t>
      </w:r>
    </w:p>
    <w:p>
      <w:pPr>
        <w:spacing w:after="0" w:line="153"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i w:val="1"/>
          <w:iCs w:val="1"/>
          <w:color w:val="auto"/>
        </w:rPr>
        <w:t xml:space="preserve">Inventory Valuations. </w:t>
      </w:r>
      <w:r>
        <w:rPr>
          <w:rFonts w:ascii="Arial" w:cs="Arial" w:eastAsia="Arial" w:hAnsi="Arial"/>
          <w:sz w:val="13"/>
          <w:szCs w:val="13"/>
          <w:color w:val="auto"/>
        </w:rPr>
        <w:t>Inventory, including long-term inventory, primarily consists of crude oil and NGL and is valued at the lower of cost or net realizable value, with cost determined using</w:t>
      </w:r>
      <w:r>
        <w:rPr>
          <w:rFonts w:ascii="Arial" w:cs="Arial" w:eastAsia="Arial" w:hAnsi="Arial"/>
          <w:sz w:val="13"/>
          <w:szCs w:val="13"/>
          <w:i w:val="1"/>
          <w:iCs w:val="1"/>
          <w:color w:val="auto"/>
        </w:rPr>
        <w:t xml:space="preserve"> </w:t>
      </w:r>
      <w:r>
        <w:rPr>
          <w:rFonts w:ascii="Arial" w:cs="Arial" w:eastAsia="Arial" w:hAnsi="Arial"/>
          <w:sz w:val="13"/>
          <w:szCs w:val="13"/>
          <w:color w:val="auto"/>
        </w:rPr>
        <w:t>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2020 and 2019, we recorded charges of $233 million and $11 million, respectively, related to the valuation adjustment of our crude oil inventory due to declines in prices. See Note 5 to our Consolidated Financial Statements for further discussion regarding inventory.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2 to our Consolidated Financial Statements for information regarding the effect of recent accounting pronouncements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9" w:name="page100"/>
    <w:bookmarkEnd w:id="9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Price Risk</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use derivative instruments to hedge price risk associated with the following commodities:</w:t>
      </w:r>
    </w:p>
    <w:p>
      <w:pPr>
        <w:spacing w:after="0" w:line="94" w:lineRule="exact"/>
        <w:rPr>
          <w:sz w:val="20"/>
          <w:szCs w:val="20"/>
          <w:color w:val="auto"/>
        </w:rPr>
      </w:pPr>
    </w:p>
    <w:p>
      <w:pPr>
        <w:ind w:left="760" w:hanging="246"/>
        <w:spacing w:after="0"/>
        <w:tabs>
          <w:tab w:leader="none" w:pos="760" w:val="left"/>
        </w:tabs>
        <w:numPr>
          <w:ilvl w:val="0"/>
          <w:numId w:val="70"/>
        </w:numPr>
        <w:rPr>
          <w:rFonts w:ascii="Arial" w:cs="Arial" w:eastAsia="Arial" w:hAnsi="Arial"/>
          <w:sz w:val="10"/>
          <w:szCs w:val="10"/>
          <w:i w:val="1"/>
          <w:iCs w:val="1"/>
          <w:color w:val="auto"/>
        </w:rPr>
      </w:pPr>
      <w:r>
        <w:rPr>
          <w:rFonts w:ascii="Arial" w:cs="Arial" w:eastAsia="Arial" w:hAnsi="Arial"/>
          <w:sz w:val="14"/>
          <w:szCs w:val="14"/>
          <w:i w:val="1"/>
          <w:iCs w:val="1"/>
          <w:u w:val="single" w:color="auto"/>
          <w:color w:val="auto"/>
        </w:rPr>
        <w:t>Crude oil</w:t>
      </w:r>
    </w:p>
    <w:p>
      <w:pPr>
        <w:spacing w:after="0" w:line="93" w:lineRule="exact"/>
        <w:rPr>
          <w:rFonts w:ascii="Arial" w:cs="Arial" w:eastAsia="Arial" w:hAnsi="Arial"/>
          <w:sz w:val="10"/>
          <w:szCs w:val="10"/>
          <w:i w:val="1"/>
          <w:iCs w:val="1"/>
          <w:color w:val="auto"/>
        </w:rPr>
      </w:pPr>
    </w:p>
    <w:p>
      <w:pPr>
        <w:ind w:left="760"/>
        <w:spacing w:after="0" w:line="321" w:lineRule="auto"/>
        <w:rPr>
          <w:rFonts w:ascii="Arial" w:cs="Arial" w:eastAsia="Arial" w:hAnsi="Arial"/>
          <w:sz w:val="10"/>
          <w:szCs w:val="10"/>
          <w:i w:val="1"/>
          <w:iCs w:val="1"/>
          <w:color w:val="auto"/>
        </w:rPr>
      </w:pPr>
      <w:r>
        <w:rPr>
          <w:rFonts w:ascii="Arial" w:cs="Arial" w:eastAsia="Arial" w:hAnsi="Arial"/>
          <w:sz w:val="13"/>
          <w:szCs w:val="13"/>
          <w:color w:val="auto"/>
        </w:rPr>
        <w:t>We utilize crude oil derivatives to hedge commodity price risk inherent in our pipeline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24" w:lineRule="exact"/>
        <w:rPr>
          <w:rFonts w:ascii="Arial" w:cs="Arial" w:eastAsia="Arial" w:hAnsi="Arial"/>
          <w:sz w:val="10"/>
          <w:szCs w:val="10"/>
          <w:i w:val="1"/>
          <w:iCs w:val="1"/>
          <w:color w:val="auto"/>
        </w:rPr>
      </w:pPr>
    </w:p>
    <w:p>
      <w:pPr>
        <w:ind w:left="760" w:hanging="246"/>
        <w:spacing w:after="0"/>
        <w:tabs>
          <w:tab w:leader="none" w:pos="760" w:val="left"/>
        </w:tabs>
        <w:numPr>
          <w:ilvl w:val="0"/>
          <w:numId w:val="70"/>
        </w:numPr>
        <w:rPr>
          <w:rFonts w:ascii="Arial" w:cs="Arial" w:eastAsia="Arial" w:hAnsi="Arial"/>
          <w:sz w:val="10"/>
          <w:szCs w:val="10"/>
          <w:color w:val="auto"/>
        </w:rPr>
      </w:pPr>
      <w:r>
        <w:rPr>
          <w:rFonts w:ascii="Arial" w:cs="Arial" w:eastAsia="Arial" w:hAnsi="Arial"/>
          <w:sz w:val="14"/>
          <w:szCs w:val="14"/>
          <w:i w:val="1"/>
          <w:iCs w:val="1"/>
          <w:u w:val="single" w:color="auto"/>
          <w:color w:val="auto"/>
        </w:rPr>
        <w:t>Natural gas</w:t>
      </w:r>
    </w:p>
    <w:p>
      <w:pPr>
        <w:spacing w:after="0" w:line="93" w:lineRule="exact"/>
        <w:rPr>
          <w:rFonts w:ascii="Arial" w:cs="Arial" w:eastAsia="Arial" w:hAnsi="Arial"/>
          <w:sz w:val="10"/>
          <w:szCs w:val="10"/>
          <w:color w:val="auto"/>
        </w:rPr>
      </w:pPr>
    </w:p>
    <w:p>
      <w:pPr>
        <w:ind w:left="760" w:right="40"/>
        <w:spacing w:after="0" w:line="281" w:lineRule="auto"/>
        <w:rPr>
          <w:rFonts w:ascii="Arial" w:cs="Arial" w:eastAsia="Arial" w:hAnsi="Arial"/>
          <w:sz w:val="10"/>
          <w:szCs w:val="10"/>
          <w:color w:val="auto"/>
        </w:rPr>
      </w:pPr>
      <w:r>
        <w:rPr>
          <w:rFonts w:ascii="Arial" w:cs="Arial" w:eastAsia="Arial" w:hAnsi="Arial"/>
          <w:sz w:val="14"/>
          <w:szCs w:val="14"/>
          <w:color w:val="auto"/>
        </w:rPr>
        <w:t>We utilize natural gas derivatives to hedge commodity price risk inherent in our merchant activities. Our objectives for these derivatives include hedging anticipated purchases of natural gas. We manage these exposures with various instruments including futures, swaps and options.</w:t>
      </w:r>
    </w:p>
    <w:p>
      <w:pPr>
        <w:spacing w:after="0" w:line="47" w:lineRule="exact"/>
        <w:rPr>
          <w:rFonts w:ascii="Arial" w:cs="Arial" w:eastAsia="Arial" w:hAnsi="Arial"/>
          <w:sz w:val="10"/>
          <w:szCs w:val="10"/>
          <w:color w:val="auto"/>
        </w:rPr>
      </w:pPr>
    </w:p>
    <w:p>
      <w:pPr>
        <w:ind w:left="760" w:hanging="246"/>
        <w:spacing w:after="0"/>
        <w:tabs>
          <w:tab w:leader="none" w:pos="760" w:val="left"/>
        </w:tabs>
        <w:numPr>
          <w:ilvl w:val="0"/>
          <w:numId w:val="70"/>
        </w:numPr>
        <w:rPr>
          <w:rFonts w:ascii="Arial" w:cs="Arial" w:eastAsia="Arial" w:hAnsi="Arial"/>
          <w:sz w:val="10"/>
          <w:szCs w:val="10"/>
          <w:color w:val="auto"/>
        </w:rPr>
      </w:pPr>
      <w:r>
        <w:rPr>
          <w:rFonts w:ascii="Arial" w:cs="Arial" w:eastAsia="Arial" w:hAnsi="Arial"/>
          <w:sz w:val="14"/>
          <w:szCs w:val="14"/>
          <w:i w:val="1"/>
          <w:iCs w:val="1"/>
          <w:u w:val="single" w:color="auto"/>
          <w:color w:val="auto"/>
        </w:rPr>
        <w:t>NGL and other</w:t>
      </w:r>
    </w:p>
    <w:p>
      <w:pPr>
        <w:spacing w:after="0" w:line="93" w:lineRule="exact"/>
        <w:rPr>
          <w:rFonts w:ascii="Arial" w:cs="Arial" w:eastAsia="Arial" w:hAnsi="Arial"/>
          <w:sz w:val="10"/>
          <w:szCs w:val="10"/>
          <w:color w:val="auto"/>
        </w:rPr>
      </w:pPr>
    </w:p>
    <w:p>
      <w:pPr>
        <w:ind w:left="760" w:right="260"/>
        <w:spacing w:after="0" w:line="321" w:lineRule="auto"/>
        <w:rPr>
          <w:rFonts w:ascii="Arial" w:cs="Arial" w:eastAsia="Arial" w:hAnsi="Arial"/>
          <w:sz w:val="10"/>
          <w:szCs w:val="10"/>
          <w:color w:val="auto"/>
        </w:rPr>
      </w:pPr>
      <w:r>
        <w:rPr>
          <w:rFonts w:ascii="Arial" w:cs="Arial" w:eastAsia="Arial" w:hAnsi="Arial"/>
          <w:sz w:val="13"/>
          <w:szCs w:val="13"/>
          <w:color w:val="auto"/>
        </w:rPr>
        <w:t>We utilize NGL derivatives, primarily propane and butane derivatives, to hedge commodity price risk inherent in our merchant activities. Our objectives for these derivatives include hedging anticipated purchases and sales and stored inventory. We manage these exposures with various instruments including futures, forwards, swaps and options.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13 to our Consolidated Financial Statements for further discussion regarding our hedging strategies and objectives.</w:t>
      </w:r>
    </w:p>
    <w:p>
      <w:pPr>
        <w:spacing w:after="0" w:line="200"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The fair value of our commodity derivatives and the change in fair value as of December 31, 2021 that would be expected from a 10% price increase or decrease is shown in the table below (in millions):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Effect of 10%</w:t>
            </w:r>
          </w:p>
        </w:tc>
        <w:tc>
          <w:tcPr>
            <w:tcW w:w="220" w:type="dxa"/>
            <w:vAlign w:val="bottom"/>
          </w:tcPr>
          <w:p>
            <w:pPr>
              <w:spacing w:after="0"/>
              <w:rPr>
                <w:sz w:val="10"/>
                <w:szCs w:val="10"/>
                <w:color w:val="auto"/>
              </w:rPr>
            </w:pPr>
          </w:p>
        </w:tc>
        <w:tc>
          <w:tcPr>
            <w:tcW w:w="1220" w:type="dxa"/>
            <w:vAlign w:val="bottom"/>
          </w:tcPr>
          <w:p>
            <w:pPr>
              <w:jc w:val="center"/>
              <w:ind w:right="175"/>
              <w:spacing w:after="0"/>
              <w:rPr>
                <w:sz w:val="20"/>
                <w:szCs w:val="20"/>
                <w:color w:val="auto"/>
              </w:rPr>
            </w:pPr>
            <w:r>
              <w:rPr>
                <w:rFonts w:ascii="Arial" w:cs="Arial" w:eastAsia="Arial" w:hAnsi="Arial"/>
                <w:sz w:val="11"/>
                <w:szCs w:val="11"/>
                <w:b w:val="1"/>
                <w:bCs w:val="1"/>
                <w:color w:val="auto"/>
                <w:w w:val="95"/>
              </w:rPr>
              <w:t>Effect of 10%</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Price Increase</w:t>
            </w:r>
          </w:p>
        </w:tc>
        <w:tc>
          <w:tcPr>
            <w:tcW w:w="220" w:type="dxa"/>
            <w:vAlign w:val="bottom"/>
          </w:tcPr>
          <w:p>
            <w:pPr>
              <w:spacing w:after="0"/>
              <w:rPr>
                <w:sz w:val="12"/>
                <w:szCs w:val="12"/>
                <w:color w:val="auto"/>
              </w:rPr>
            </w:pPr>
          </w:p>
        </w:tc>
        <w:tc>
          <w:tcPr>
            <w:tcW w:w="1220" w:type="dxa"/>
            <w:vAlign w:val="bottom"/>
          </w:tcPr>
          <w:p>
            <w:pPr>
              <w:jc w:val="center"/>
              <w:ind w:right="155"/>
              <w:spacing w:after="0"/>
              <w:rPr>
                <w:sz w:val="20"/>
                <w:szCs w:val="20"/>
                <w:color w:val="auto"/>
              </w:rPr>
            </w:pPr>
            <w:r>
              <w:rPr>
                <w:rFonts w:ascii="Arial" w:cs="Arial" w:eastAsia="Arial" w:hAnsi="Arial"/>
                <w:sz w:val="11"/>
                <w:szCs w:val="11"/>
                <w:b w:val="1"/>
                <w:bCs w:val="1"/>
                <w:color w:val="auto"/>
                <w:w w:val="91"/>
              </w:rPr>
              <w:t>Price Decrease</w:t>
            </w:r>
          </w:p>
        </w:tc>
        <w:tc>
          <w:tcPr>
            <w:tcW w:w="0" w:type="dxa"/>
            <w:vAlign w:val="bottom"/>
          </w:tcPr>
          <w:p>
            <w:pPr>
              <w:spacing w:after="0"/>
              <w:rPr>
                <w:sz w:val="1"/>
                <w:szCs w:val="1"/>
                <w:color w:val="auto"/>
              </w:rPr>
            </w:pPr>
          </w:p>
        </w:tc>
      </w:tr>
      <w:tr>
        <w:trPr>
          <w:trHeight w:val="172"/>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Crude oil</w:t>
            </w:r>
          </w:p>
        </w:tc>
        <w:tc>
          <w:tcPr>
            <w:tcW w:w="104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center"/>
              <w:ind w:left="855"/>
              <w:spacing w:after="0"/>
              <w:rPr>
                <w:sz w:val="20"/>
                <w:szCs w:val="20"/>
                <w:color w:val="auto"/>
              </w:rPr>
            </w:pPr>
            <w:r>
              <w:rPr>
                <w:rFonts w:ascii="Arial" w:cs="Arial" w:eastAsia="Arial" w:hAnsi="Arial"/>
                <w:sz w:val="14"/>
                <w:szCs w:val="14"/>
                <w:color w:val="auto"/>
                <w:w w:val="96"/>
              </w:rPr>
              <w:t>(41)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center"/>
              <w:ind w:left="895"/>
              <w:spacing w:after="0"/>
              <w:rPr>
                <w:sz w:val="20"/>
                <w:szCs w:val="20"/>
                <w:color w:val="auto"/>
              </w:rPr>
            </w:pPr>
            <w:r>
              <w:rPr>
                <w:rFonts w:ascii="Arial" w:cs="Arial" w:eastAsia="Arial" w:hAnsi="Arial"/>
                <w:sz w:val="14"/>
                <w:szCs w:val="14"/>
                <w:color w:val="auto"/>
                <w:w w:val="89"/>
              </w:rPr>
              <w:t>41</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Natural gas</w:t>
            </w: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875"/>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center"/>
              <w:ind w:left="875"/>
              <w:spacing w:after="0"/>
              <w:rPr>
                <w:sz w:val="20"/>
                <w:szCs w:val="20"/>
                <w:color w:val="auto"/>
              </w:rPr>
            </w:pPr>
            <w:r>
              <w:rPr>
                <w:rFonts w:ascii="Arial" w:cs="Arial" w:eastAsia="Arial" w:hAnsi="Arial"/>
                <w:sz w:val="14"/>
                <w:szCs w:val="14"/>
                <w:color w:val="auto"/>
                <w:w w:val="96"/>
              </w:rPr>
              <w:t>(19)</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NGL and other</w:t>
            </w: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855"/>
              <w:spacing w:after="0"/>
              <w:rPr>
                <w:sz w:val="20"/>
                <w:szCs w:val="20"/>
                <w:color w:val="auto"/>
              </w:rPr>
            </w:pPr>
            <w:r>
              <w:rPr>
                <w:rFonts w:ascii="Arial" w:cs="Arial" w:eastAsia="Arial" w:hAnsi="Arial"/>
                <w:sz w:val="14"/>
                <w:szCs w:val="14"/>
                <w:color w:val="auto"/>
                <w:w w:val="96"/>
              </w:rPr>
              <w:t>(78)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center"/>
              <w:ind w:left="895"/>
              <w:spacing w:after="0"/>
              <w:rPr>
                <w:sz w:val="20"/>
                <w:szCs w:val="20"/>
                <w:color w:val="auto"/>
              </w:rPr>
            </w:pPr>
            <w:r>
              <w:rPr>
                <w:rFonts w:ascii="Arial" w:cs="Arial" w:eastAsia="Arial" w:hAnsi="Arial"/>
                <w:sz w:val="14"/>
                <w:szCs w:val="14"/>
                <w:color w:val="auto"/>
                <w:w w:val="89"/>
              </w:rPr>
              <w:t>78</w:t>
            </w:r>
          </w:p>
        </w:tc>
        <w:tc>
          <w:tcPr>
            <w:tcW w:w="0" w:type="dxa"/>
            <w:vAlign w:val="bottom"/>
          </w:tcPr>
          <w:p>
            <w:pPr>
              <w:spacing w:after="0"/>
              <w:rPr>
                <w:sz w:val="1"/>
                <w:szCs w:val="1"/>
                <w:color w:val="auto"/>
              </w:rPr>
            </w:pPr>
          </w:p>
        </w:tc>
      </w:tr>
      <w:tr>
        <w:trPr>
          <w:trHeight w:val="171"/>
        </w:trPr>
        <w:tc>
          <w:tcPr>
            <w:tcW w:w="6760" w:type="dxa"/>
            <w:vAlign w:val="bottom"/>
          </w:tcPr>
          <w:p>
            <w:pPr>
              <w:ind w:left="100"/>
              <w:spacing w:after="0"/>
              <w:rPr>
                <w:sz w:val="20"/>
                <w:szCs w:val="20"/>
                <w:color w:val="auto"/>
              </w:rPr>
            </w:pPr>
            <w:r>
              <w:rPr>
                <w:rFonts w:ascii="Arial" w:cs="Arial" w:eastAsia="Arial" w:hAnsi="Arial"/>
                <w:sz w:val="14"/>
                <w:szCs w:val="14"/>
                <w:color w:val="auto"/>
              </w:rPr>
              <w:t>Total fair value</w:t>
            </w: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0" w:name="page101"/>
    <w:bookmarkEnd w:id="10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2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4"/>
          <w:szCs w:val="14"/>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December 31, 2021. The average interest rate on variable rate debt that was outstanding during the year ended December 31, 2021 was 0.8%, based upon rates in effect during the year. The fair value of our interest rate derivatives was an asset of $65 million as of December 31, 2021. A 10% increase in the forward LIBOR curve as of December 31, 2021 would have resulted in an increase of $16 million to the fair value of our interest rate derivatives. A 10% decrease in the forward LIBOR curve as of December 31, 2021 would have resulted in a decrease of $16 million to the fair value of our interest rate derivatives. See Note 13 to our Consolidated Financial Statements for a discussion of our interest rate risk hedging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Distribution Rate Reset Option</w:t>
      </w:r>
    </w:p>
    <w:p>
      <w:pPr>
        <w:spacing w:after="0" w:line="183"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The Preferred Distribution Rate Reset Option of our Series A preferred units is an embedded derivative that must be bifurcated from the related host contract, our partnership agreement, and recorded at fair value in our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less than $1 million as of December 31, 2021. A 10% increase or decrease in the fair value would have an impact of less than $1 million. See Note 13 to our Consolidated Financial Statements for a discussion of embedded derivatives.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“Index to the Consolidated Financial Statements” on page F-1.</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Disclosure Controls and Procedures</w:t>
      </w:r>
    </w:p>
    <w:p>
      <w:pPr>
        <w:spacing w:after="0" w:line="200" w:lineRule="exact"/>
        <w:rPr>
          <w:sz w:val="20"/>
          <w:szCs w:val="20"/>
          <w:color w:val="auto"/>
        </w:rPr>
      </w:pPr>
    </w:p>
    <w:p>
      <w:pPr>
        <w:ind w:right="20" w:firstLine="509"/>
        <w:spacing w:after="0" w:line="297" w:lineRule="auto"/>
        <w:rPr>
          <w:sz w:val="20"/>
          <w:szCs w:val="20"/>
          <w:color w:val="auto"/>
        </w:rPr>
      </w:pPr>
      <w:r>
        <w:rPr>
          <w:rFonts w:ascii="Arial" w:cs="Arial" w:eastAsia="Arial" w:hAnsi="Arial"/>
          <w:sz w:val="13"/>
          <w:szCs w:val="13"/>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45"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2021,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1" w:name="page102"/>
    <w:bookmarkEnd w:id="10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Control over Financial Reporting</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2021. See “Management’s Report on Internal Control Over Financial Reporting” on page F-2 of our Consolidated Financial Statements.</w:t>
      </w:r>
    </w:p>
    <w:p>
      <w:pPr>
        <w:spacing w:after="0" w:line="168"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3"/>
          <w:szCs w:val="13"/>
          <w:color w:val="auto"/>
        </w:rPr>
        <w:t>Report of Independent Registered Public Accounting Firm</w:t>
      </w:r>
      <w:r>
        <w:rPr>
          <w:rFonts w:ascii="Arial" w:cs="Arial" w:eastAsia="Arial" w:hAnsi="Arial"/>
          <w:sz w:val="14"/>
          <w:szCs w:val="14"/>
          <w:color w:val="auto"/>
        </w:rPr>
        <w:t>” on page F-3 of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200"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during the fourth quarter of 2021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Certifications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certifications of our Chief Executive Officer and Chief Financial Officer pursuant to Exchange Act Rules 13a-14(a) and 15d-14(a) are filed with this report as Exhibits 31.1 and 31.2.</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certifications of our Chief Executive Officer and Chief Financial Officer pursuant to 18 U.S.C. 1350 are furnished with this report as Exhibits 32.1 and 32.2.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9B. </w:t>
      </w:r>
      <w:r>
        <w:rPr>
          <w:rFonts w:ascii="Arial" w:cs="Arial" w:eastAsia="Arial" w:hAnsi="Arial"/>
          <w:sz w:val="14"/>
          <w:szCs w:val="14"/>
          <w:b w:val="1"/>
          <w:bCs w:val="1"/>
          <w:i w:val="1"/>
          <w:iCs w:val="1"/>
          <w:color w:val="auto"/>
        </w:rPr>
        <w:t>Other Information</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was no information that was required to be disclosed in a report on Form 8-K during the fourth quarter of 2021 that has not previously been reported.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02" w:name="page103"/>
    <w:bookmarkEnd w:id="102"/>
    <w:p>
      <w:pPr>
        <w:ind w:left="59"/>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ind w:left="59"/>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41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b w:val="1"/>
          <w:bCs w:val="1"/>
          <w:i w:val="1"/>
          <w:iCs w:val="1"/>
          <w:color w:val="auto"/>
        </w:rPr>
        <w:t>Directors and Executive Officers of Our General Partner and Corporate Governance</w:t>
      </w:r>
    </w:p>
    <w:p>
      <w:pPr>
        <w:spacing w:after="0" w:line="151" w:lineRule="exact"/>
        <w:rPr>
          <w:sz w:val="20"/>
          <w:szCs w:val="20"/>
          <w:color w:val="auto"/>
        </w:rPr>
      </w:pPr>
    </w:p>
    <w:p>
      <w:pPr>
        <w:ind w:left="59" w:right="60"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107"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Directors and Executive Officers</w:t>
      </w:r>
    </w:p>
    <w:p>
      <w:pPr>
        <w:spacing w:after="0" w:line="151" w:lineRule="exact"/>
        <w:rPr>
          <w:sz w:val="20"/>
          <w:szCs w:val="20"/>
          <w:color w:val="auto"/>
        </w:rPr>
      </w:pPr>
    </w:p>
    <w:p>
      <w:pPr>
        <w:ind w:left="579"/>
        <w:spacing w:after="0"/>
        <w:rPr>
          <w:sz w:val="20"/>
          <w:szCs w:val="20"/>
          <w:color w:val="auto"/>
        </w:rPr>
      </w:pPr>
      <w:r>
        <w:rPr>
          <w:rFonts w:ascii="Arial" w:cs="Arial" w:eastAsia="Arial" w:hAnsi="Arial"/>
          <w:sz w:val="14"/>
          <w:szCs w:val="14"/>
          <w:color w:val="auto"/>
        </w:rPr>
        <w:t>As of the date of filing this report, the following individuals were serving as our executive officers and/or directors:</w:t>
      </w:r>
    </w:p>
    <w:p>
      <w:pPr>
        <w:spacing w:after="0" w:line="172" w:lineRule="exact"/>
        <w:rPr>
          <w:sz w:val="20"/>
          <w:szCs w:val="20"/>
          <w:color w:val="auto"/>
        </w:rPr>
      </w:pPr>
    </w:p>
    <w:tbl>
      <w:tblPr>
        <w:tblLayout w:type="fixed"/>
        <w:tblInd w:w="59" w:type="dxa"/>
        <w:tblCellMar>
          <w:top w:w="0" w:type="dxa"/>
          <w:left w:w="0" w:type="dxa"/>
          <w:bottom w:w="0" w:type="dxa"/>
          <w:right w:w="0" w:type="dxa"/>
        </w:tblCellMar>
      </w:tblPr>
      <w:tr>
        <w:trPr>
          <w:trHeight w:val="151"/>
        </w:trPr>
        <w:tc>
          <w:tcPr>
            <w:tcW w:w="260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8640" w:type="dxa"/>
            <w:vAlign w:val="bottom"/>
          </w:tcPr>
          <w:p>
            <w:pPr>
              <w:ind w:left="20"/>
              <w:spacing w:after="0"/>
              <w:rPr>
                <w:sz w:val="20"/>
                <w:szCs w:val="20"/>
                <w:color w:val="auto"/>
              </w:rPr>
            </w:pPr>
            <w:r>
              <w:rPr>
                <w:rFonts w:ascii="Arial" w:cs="Arial" w:eastAsia="Arial" w:hAnsi="Arial"/>
                <w:sz w:val="11"/>
                <w:szCs w:val="11"/>
                <w:b w:val="1"/>
                <w:bCs w:val="1"/>
                <w:color w:val="auto"/>
              </w:rPr>
              <w:t>Principal Occupation or Employment</w:t>
            </w:r>
          </w:p>
        </w:tc>
      </w:tr>
      <w:tr>
        <w:trPr>
          <w:trHeight w:val="175"/>
        </w:trPr>
        <w:tc>
          <w:tcPr>
            <w:tcW w:w="250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Willie Chiang </w:t>
            </w:r>
            <w:r>
              <w:rPr>
                <w:rFonts w:ascii="Arial" w:cs="Arial" w:eastAsia="Arial" w:hAnsi="Arial"/>
                <w:sz w:val="18"/>
                <w:szCs w:val="18"/>
                <w:color w:val="auto"/>
                <w:vertAlign w:val="superscript"/>
              </w:rPr>
              <w:t>(1)(2)</w:t>
            </w:r>
          </w:p>
        </w:tc>
        <w:tc>
          <w:tcPr>
            <w:tcW w:w="100" w:type="dxa"/>
            <w:vAlign w:val="bottom"/>
            <w:tcBorders>
              <w:top w:val="single" w:sz="8" w:color="CCEEFF"/>
            </w:tcBorders>
            <w:shd w:val="clear" w:color="auto" w:fill="CCEEFF"/>
          </w:tcPr>
          <w:p>
            <w:pPr>
              <w:spacing w:after="0"/>
              <w:rPr>
                <w:sz w:val="15"/>
                <w:szCs w:val="15"/>
                <w:color w:val="auto"/>
              </w:rPr>
            </w:pPr>
          </w:p>
        </w:tc>
        <w:tc>
          <w:tcPr>
            <w:tcW w:w="8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Chairman of the Board and Chief Executive Officer</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Harry N. Pefanis </w:t>
            </w:r>
            <w:r>
              <w:rPr>
                <w:rFonts w:ascii="Arial" w:cs="Arial" w:eastAsia="Arial" w:hAnsi="Arial"/>
                <w:sz w:val="18"/>
                <w:szCs w:val="18"/>
                <w:color w:val="auto"/>
                <w:vertAlign w:val="superscript"/>
              </w:rPr>
              <w:t>(1)(2)</w:t>
            </w:r>
          </w:p>
        </w:tc>
        <w:tc>
          <w:tcPr>
            <w:tcW w:w="8640" w:type="dxa"/>
            <w:vAlign w:val="bottom"/>
          </w:tcPr>
          <w:p>
            <w:pPr>
              <w:ind w:left="20"/>
              <w:spacing w:after="0"/>
              <w:rPr>
                <w:sz w:val="20"/>
                <w:szCs w:val="20"/>
                <w:color w:val="auto"/>
              </w:rPr>
            </w:pPr>
            <w:r>
              <w:rPr>
                <w:rFonts w:ascii="Arial" w:cs="Arial" w:eastAsia="Arial" w:hAnsi="Arial"/>
                <w:sz w:val="14"/>
                <w:szCs w:val="14"/>
                <w:color w:val="auto"/>
              </w:rPr>
              <w:t>President</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Chris R. Chandler </w:t>
            </w:r>
            <w:r>
              <w:rPr>
                <w:rFonts w:ascii="Arial" w:cs="Arial" w:eastAsia="Arial" w:hAnsi="Arial"/>
                <w:sz w:val="18"/>
                <w:szCs w:val="18"/>
                <w:color w:val="auto"/>
                <w:vertAlign w:val="superscript"/>
              </w:rPr>
              <w:t>(1)</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and Chief Operating Officer</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Al Swanson </w:t>
            </w:r>
            <w:r>
              <w:rPr>
                <w:rFonts w:ascii="Arial" w:cs="Arial" w:eastAsia="Arial" w:hAnsi="Arial"/>
                <w:sz w:val="18"/>
                <w:szCs w:val="18"/>
                <w:color w:val="auto"/>
                <w:vertAlign w:val="superscript"/>
              </w:rPr>
              <w:t>(1)</w:t>
            </w:r>
          </w:p>
        </w:tc>
        <w:tc>
          <w:tcPr>
            <w:tcW w:w="864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Jeremy L. Goebel </w:t>
            </w:r>
            <w:r>
              <w:rPr>
                <w:rFonts w:ascii="Arial" w:cs="Arial" w:eastAsia="Arial" w:hAnsi="Arial"/>
                <w:sz w:val="18"/>
                <w:szCs w:val="18"/>
                <w:color w:val="auto"/>
                <w:vertAlign w:val="superscript"/>
              </w:rPr>
              <w:t>(1)</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and Chief Commercial Officer</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Richard K. McGee </w:t>
            </w:r>
            <w:r>
              <w:rPr>
                <w:rFonts w:ascii="Arial" w:cs="Arial" w:eastAsia="Arial" w:hAnsi="Arial"/>
                <w:sz w:val="18"/>
                <w:szCs w:val="18"/>
                <w:color w:val="auto"/>
                <w:vertAlign w:val="superscript"/>
              </w:rPr>
              <w:t>(1)</w:t>
            </w:r>
          </w:p>
        </w:tc>
        <w:tc>
          <w:tcPr>
            <w:tcW w:w="8640" w:type="dxa"/>
            <w:vAlign w:val="bottom"/>
          </w:tcPr>
          <w:p>
            <w:pPr>
              <w:ind w:left="2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Chris Herbold </w:t>
            </w:r>
            <w:r>
              <w:rPr>
                <w:rFonts w:ascii="Arial" w:cs="Arial" w:eastAsia="Arial" w:hAnsi="Arial"/>
                <w:sz w:val="18"/>
                <w:szCs w:val="18"/>
                <w:color w:val="auto"/>
                <w:vertAlign w:val="superscript"/>
              </w:rPr>
              <w:t>(1)</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Finance and Chief Accounting Officer</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Greg L. Armstrong </w:t>
            </w:r>
            <w:r>
              <w:rPr>
                <w:rFonts w:ascii="Arial" w:cs="Arial" w:eastAsia="Arial" w:hAnsi="Arial"/>
                <w:sz w:val="18"/>
                <w:szCs w:val="18"/>
                <w:color w:val="auto"/>
                <w:vertAlign w:val="superscript"/>
              </w:rPr>
              <w:t>(2)</w:t>
            </w:r>
          </w:p>
        </w:tc>
        <w:tc>
          <w:tcPr>
            <w:tcW w:w="8640" w:type="dxa"/>
            <w:vAlign w:val="bottom"/>
          </w:tcPr>
          <w:p>
            <w:pPr>
              <w:ind w:left="20"/>
              <w:spacing w:after="0"/>
              <w:rPr>
                <w:sz w:val="20"/>
                <w:szCs w:val="20"/>
                <w:color w:val="auto"/>
              </w:rPr>
            </w:pPr>
            <w:r>
              <w:rPr>
                <w:rFonts w:ascii="Arial" w:cs="Arial" w:eastAsia="Arial" w:hAnsi="Arial"/>
                <w:sz w:val="14"/>
                <w:szCs w:val="14"/>
                <w:color w:val="auto"/>
              </w:rPr>
              <w:t>Senior Advisor to the Chief Executive Officer (former Chairman and Chief Executive Officer)</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Victor Burk </w:t>
            </w:r>
            <w:r>
              <w:rPr>
                <w:rFonts w:ascii="Arial" w:cs="Arial" w:eastAsia="Arial" w:hAnsi="Arial"/>
                <w:sz w:val="18"/>
                <w:szCs w:val="18"/>
                <w:color w:val="auto"/>
                <w:vertAlign w:val="superscript"/>
              </w:rPr>
              <w:t>(2)</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Managing Director, Alvarez and Marsal</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Kevin McCarthy </w:t>
            </w:r>
            <w:r>
              <w:rPr>
                <w:rFonts w:ascii="Arial" w:cs="Arial" w:eastAsia="Arial" w:hAnsi="Arial"/>
                <w:sz w:val="18"/>
                <w:szCs w:val="18"/>
                <w:color w:val="auto"/>
                <w:vertAlign w:val="superscript"/>
              </w:rPr>
              <w:t>(2)</w:t>
            </w:r>
          </w:p>
        </w:tc>
        <w:tc>
          <w:tcPr>
            <w:tcW w:w="8640" w:type="dxa"/>
            <w:vAlign w:val="bottom"/>
          </w:tcPr>
          <w:p>
            <w:pPr>
              <w:ind w:left="20"/>
              <w:spacing w:after="0"/>
              <w:rPr>
                <w:sz w:val="20"/>
                <w:szCs w:val="20"/>
                <w:color w:val="auto"/>
              </w:rPr>
            </w:pPr>
            <w:r>
              <w:rPr>
                <w:rFonts w:ascii="Arial" w:cs="Arial" w:eastAsia="Arial" w:hAnsi="Arial"/>
                <w:sz w:val="14"/>
                <w:szCs w:val="14"/>
                <w:color w:val="auto"/>
              </w:rPr>
              <w:t>Vice Chairman, Kayne Anderson Capital Advisors, L.P.</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Gary R. Petersen </w:t>
            </w:r>
            <w:r>
              <w:rPr>
                <w:rFonts w:ascii="Arial" w:cs="Arial" w:eastAsia="Arial" w:hAnsi="Arial"/>
                <w:sz w:val="18"/>
                <w:szCs w:val="18"/>
                <w:color w:val="auto"/>
                <w:vertAlign w:val="superscript"/>
              </w:rPr>
              <w:t>(2)</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Managing Partner, EnCap Investments L.P.</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Alexandra D. Pruner </w:t>
            </w:r>
            <w:r>
              <w:rPr>
                <w:rFonts w:ascii="Arial" w:cs="Arial" w:eastAsia="Arial" w:hAnsi="Arial"/>
                <w:sz w:val="18"/>
                <w:szCs w:val="18"/>
                <w:color w:val="auto"/>
                <w:vertAlign w:val="superscript"/>
              </w:rPr>
              <w:t>(2)</w:t>
            </w:r>
          </w:p>
        </w:tc>
        <w:tc>
          <w:tcPr>
            <w:tcW w:w="8640" w:type="dxa"/>
            <w:vAlign w:val="bottom"/>
          </w:tcPr>
          <w:p>
            <w:pPr>
              <w:ind w:left="20"/>
              <w:spacing w:after="0"/>
              <w:rPr>
                <w:sz w:val="20"/>
                <w:szCs w:val="20"/>
                <w:color w:val="auto"/>
              </w:rPr>
            </w:pPr>
            <w:r>
              <w:rPr>
                <w:rFonts w:ascii="Arial" w:cs="Arial" w:eastAsia="Arial" w:hAnsi="Arial"/>
                <w:sz w:val="14"/>
                <w:szCs w:val="14"/>
                <w:color w:val="auto"/>
              </w:rPr>
              <w:t>Senior Advisor, Perella Weinberg Partners</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John T. Raymond </w:t>
            </w:r>
            <w:r>
              <w:rPr>
                <w:rFonts w:ascii="Arial" w:cs="Arial" w:eastAsia="Arial" w:hAnsi="Arial"/>
                <w:sz w:val="18"/>
                <w:szCs w:val="18"/>
                <w:color w:val="auto"/>
                <w:vertAlign w:val="superscript"/>
              </w:rPr>
              <w:t>(2)</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Managing Partner and Chief Executive Officer, The Energy &amp; Minerals Group</w:t>
            </w:r>
          </w:p>
        </w:tc>
      </w:tr>
      <w:tr>
        <w:trPr>
          <w:trHeight w:val="180"/>
        </w:trPr>
        <w:tc>
          <w:tcPr>
            <w:tcW w:w="26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Bobby S. Shackouls </w:t>
            </w:r>
            <w:r>
              <w:rPr>
                <w:rFonts w:ascii="Arial" w:cs="Arial" w:eastAsia="Arial" w:hAnsi="Arial"/>
                <w:sz w:val="18"/>
                <w:szCs w:val="18"/>
                <w:color w:val="auto"/>
                <w:vertAlign w:val="superscript"/>
              </w:rPr>
              <w:t>(2)</w:t>
            </w:r>
          </w:p>
        </w:tc>
        <w:tc>
          <w:tcPr>
            <w:tcW w:w="8640" w:type="dxa"/>
            <w:vAlign w:val="bottom"/>
          </w:tcPr>
          <w:p>
            <w:pPr>
              <w:ind w:left="20"/>
              <w:spacing w:after="0"/>
              <w:rPr>
                <w:sz w:val="20"/>
                <w:szCs w:val="20"/>
                <w:color w:val="auto"/>
              </w:rPr>
            </w:pPr>
            <w:r>
              <w:rPr>
                <w:rFonts w:ascii="Arial" w:cs="Arial" w:eastAsia="Arial" w:hAnsi="Arial"/>
                <w:sz w:val="14"/>
                <w:szCs w:val="14"/>
                <w:color w:val="auto"/>
              </w:rPr>
              <w:t>Former Chairman and CEO, Burlington Resources Inc.</w:t>
            </w: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Christopher M. Temple </w:t>
            </w:r>
            <w:r>
              <w:rPr>
                <w:rFonts w:ascii="Arial" w:cs="Arial" w:eastAsia="Arial" w:hAnsi="Arial"/>
                <w:sz w:val="18"/>
                <w:szCs w:val="18"/>
                <w:color w:val="auto"/>
                <w:vertAlign w:val="superscript"/>
              </w:rPr>
              <w:t>(2)</w:t>
            </w:r>
          </w:p>
        </w:tc>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DelTex Capital LLC</w:t>
            </w: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 xml:space="preserve">Lawrence M. Ziemba </w:t>
            </w:r>
            <w:r>
              <w:rPr>
                <w:rFonts w:ascii="Arial" w:cs="Arial" w:eastAsia="Arial" w:hAnsi="Arial"/>
                <w:sz w:val="18"/>
                <w:szCs w:val="18"/>
                <w:color w:val="auto"/>
                <w:vertAlign w:val="superscript"/>
              </w:rPr>
              <w:t>(2)</w:t>
            </w:r>
          </w:p>
        </w:tc>
        <w:tc>
          <w:tcPr>
            <w:tcW w:w="8640" w:type="dxa"/>
            <w:vAlign w:val="bottom"/>
          </w:tcPr>
          <w:p>
            <w:pPr>
              <w:ind w:left="20"/>
              <w:spacing w:after="0"/>
              <w:rPr>
                <w:sz w:val="20"/>
                <w:szCs w:val="20"/>
                <w:color w:val="auto"/>
              </w:rPr>
            </w:pPr>
            <w:r>
              <w:rPr>
                <w:rFonts w:ascii="Arial" w:cs="Arial" w:eastAsia="Arial" w:hAnsi="Arial"/>
                <w:sz w:val="14"/>
                <w:szCs w:val="14"/>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134620</wp:posOffset>
            </wp:positionV>
            <wp:extent cx="22974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239" w:lineRule="exact"/>
        <w:rPr>
          <w:sz w:val="20"/>
          <w:szCs w:val="20"/>
          <w:color w:val="auto"/>
        </w:rPr>
      </w:pPr>
    </w:p>
    <w:p>
      <w:pPr>
        <w:ind w:left="279" w:hanging="279"/>
        <w:spacing w:after="0"/>
        <w:tabs>
          <w:tab w:leader="none" w:pos="279"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Executive officer (for purposes of Item 401(b) of Regulation S-K)</w:t>
      </w:r>
    </w:p>
    <w:p>
      <w:pPr>
        <w:spacing w:after="0" w:line="1" w:lineRule="exact"/>
        <w:rPr>
          <w:rFonts w:ascii="Arial" w:cs="Arial" w:eastAsia="Arial" w:hAnsi="Arial"/>
          <w:sz w:val="18"/>
          <w:szCs w:val="18"/>
          <w:color w:val="auto"/>
          <w:vertAlign w:val="superscript"/>
        </w:rPr>
      </w:pPr>
    </w:p>
    <w:p>
      <w:pPr>
        <w:ind w:left="279" w:hanging="279"/>
        <w:spacing w:after="0" w:line="194" w:lineRule="auto"/>
        <w:tabs>
          <w:tab w:leader="none" w:pos="279"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Director</w:t>
      </w:r>
    </w:p>
    <w:p>
      <w:pPr>
        <w:spacing w:after="0" w:line="181" w:lineRule="exact"/>
        <w:rPr>
          <w:sz w:val="20"/>
          <w:szCs w:val="20"/>
          <w:color w:val="auto"/>
        </w:rPr>
      </w:pPr>
    </w:p>
    <w:p>
      <w:pPr>
        <w:ind w:left="579"/>
        <w:spacing w:after="0"/>
        <w:rPr>
          <w:sz w:val="20"/>
          <w:szCs w:val="20"/>
          <w:color w:val="auto"/>
        </w:rPr>
      </w:pPr>
      <w:r>
        <w:rPr>
          <w:rFonts w:ascii="Arial" w:cs="Arial" w:eastAsia="Arial" w:hAnsi="Arial"/>
          <w:sz w:val="14"/>
          <w:szCs w:val="14"/>
          <w:color w:val="auto"/>
        </w:rPr>
        <w:t xml:space="preserve">A complete list of our officers, including the executive officers listed above, is available on our website at </w:t>
      </w:r>
      <w:r>
        <w:rPr>
          <w:rFonts w:ascii="Arial" w:cs="Arial" w:eastAsia="Arial" w:hAnsi="Arial"/>
          <w:sz w:val="14"/>
          <w:szCs w:val="14"/>
          <w:i w:val="1"/>
          <w:iCs w:val="1"/>
          <w:color w:val="auto"/>
        </w:rPr>
        <w:t>www.plains.com</w:t>
      </w:r>
      <w:r>
        <w:rPr>
          <w:rFonts w:ascii="Arial" w:cs="Arial" w:eastAsia="Arial" w:hAnsi="Arial"/>
          <w:sz w:val="14"/>
          <w:szCs w:val="14"/>
          <w:color w:val="auto"/>
        </w:rPr>
        <w:t xml:space="preserve"> under About Us—Leadership.</w:t>
      </w:r>
    </w:p>
    <w:p>
      <w:pPr>
        <w:spacing w:after="0" w:line="196"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b w:val="1"/>
          <w:bCs w:val="1"/>
          <w:i w:val="1"/>
          <w:iCs w:val="1"/>
          <w:color w:val="auto"/>
        </w:rPr>
        <w:t>Executive Compensation</w:t>
      </w:r>
    </w:p>
    <w:p>
      <w:pPr>
        <w:spacing w:after="0" w:line="151" w:lineRule="exact"/>
        <w:rPr>
          <w:sz w:val="20"/>
          <w:szCs w:val="20"/>
          <w:color w:val="auto"/>
        </w:rPr>
      </w:pPr>
    </w:p>
    <w:p>
      <w:pPr>
        <w:ind w:left="59" w:right="60"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149"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b w:val="1"/>
          <w:bCs w:val="1"/>
          <w:i w:val="1"/>
          <w:iCs w:val="1"/>
          <w:color w:val="auto"/>
        </w:rPr>
        <w:t>Security Ownership of Certain Beneficial Owners and Management and Related Unitholder Matters</w:t>
      </w:r>
    </w:p>
    <w:p>
      <w:pPr>
        <w:spacing w:after="0" w:line="161" w:lineRule="exact"/>
        <w:rPr>
          <w:sz w:val="20"/>
          <w:szCs w:val="20"/>
          <w:color w:val="auto"/>
        </w:rPr>
      </w:pPr>
    </w:p>
    <w:p>
      <w:pPr>
        <w:ind w:left="59" w:right="60"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200" w:lineRule="exact"/>
        <w:rPr>
          <w:sz w:val="20"/>
          <w:szCs w:val="20"/>
          <w:color w:val="auto"/>
        </w:rPr>
      </w:pPr>
    </w:p>
    <w:p>
      <w:pPr>
        <w:spacing w:after="0" w:line="389" w:lineRule="exact"/>
        <w:rPr>
          <w:sz w:val="20"/>
          <w:szCs w:val="20"/>
          <w:color w:val="auto"/>
        </w:rPr>
      </w:pPr>
    </w:p>
    <w:p>
      <w:pPr>
        <w:jc w:val="center"/>
        <w:ind w:right="-98"/>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99"/>
          </w:cols>
          <w:pgMar w:left="241" w:top="133" w:right="359" w:bottom="1440" w:gutter="0" w:footer="0" w:header="0"/>
        </w:sectPr>
      </w:pPr>
    </w:p>
    <w:bookmarkStart w:id="103" w:name="page104"/>
    <w:bookmarkEnd w:id="10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b w:val="1"/>
          <w:bCs w:val="1"/>
          <w:i w:val="1"/>
          <w:iCs w:val="1"/>
          <w:color w:val="auto"/>
        </w:rPr>
        <w:t>Certain Relationships and Related Transactions, and Director Independence</w:t>
      </w:r>
    </w:p>
    <w:p>
      <w:pPr>
        <w:spacing w:after="0" w:line="151"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b w:val="1"/>
          <w:bCs w:val="1"/>
          <w:i w:val="1"/>
          <w:iCs w:val="1"/>
          <w:color w:val="auto"/>
        </w:rPr>
        <w:t>Principal Accountant Fees and Services</w:t>
      </w:r>
    </w:p>
    <w:p>
      <w:pPr>
        <w:spacing w:after="0" w:line="161"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3" w:right="419" w:bottom="1440" w:gutter="0" w:footer="0" w:header="0"/>
        </w:sectPr>
      </w:pPr>
    </w:p>
    <w:bookmarkStart w:id="104" w:name="page105"/>
    <w:bookmarkEnd w:id="10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and Financial Statement Schedules</w:t>
      </w:r>
    </w:p>
    <w:p>
      <w:pPr>
        <w:spacing w:after="0" w:line="200" w:lineRule="exact"/>
        <w:rPr>
          <w:sz w:val="20"/>
          <w:szCs w:val="20"/>
          <w:color w:val="auto"/>
        </w:rPr>
      </w:pPr>
    </w:p>
    <w:p>
      <w:pPr>
        <w:ind w:left="460" w:hanging="200"/>
        <w:spacing w:after="0"/>
        <w:tabs>
          <w:tab w:leader="none" w:pos="46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(1)  </w:t>
      </w:r>
      <w:r>
        <w:rPr>
          <w:rFonts w:ascii="Arial" w:cs="Arial" w:eastAsia="Arial" w:hAnsi="Arial"/>
          <w:sz w:val="14"/>
          <w:szCs w:val="14"/>
          <w:i w:val="1"/>
          <w:iCs w:val="1"/>
          <w:color w:val="auto"/>
        </w:rPr>
        <w:t>Financial Statements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“Index to the Consolidated Financial Statements” set forth on Page F-1.</w:t>
      </w:r>
    </w:p>
    <w:p>
      <w:pPr>
        <w:spacing w:after="0" w:line="200" w:lineRule="exact"/>
        <w:rPr>
          <w:sz w:val="20"/>
          <w:szCs w:val="20"/>
          <w:color w:val="auto"/>
        </w:rPr>
      </w:pPr>
    </w:p>
    <w:p>
      <w:pPr>
        <w:ind w:left="820" w:hanging="306"/>
        <w:spacing w:after="0"/>
        <w:tabs>
          <w:tab w:leader="none" w:pos="820" w:val="left"/>
        </w:tabs>
        <w:numPr>
          <w:ilvl w:val="0"/>
          <w:numId w:val="73"/>
        </w:numPr>
        <w:rPr>
          <w:rFonts w:ascii="Arial" w:cs="Arial" w:eastAsia="Arial" w:hAnsi="Arial"/>
          <w:sz w:val="14"/>
          <w:szCs w:val="14"/>
          <w:b w:val="1"/>
          <w:bCs w:val="1"/>
          <w:color w:val="auto"/>
        </w:rPr>
      </w:pPr>
      <w:r>
        <w:rPr>
          <w:rFonts w:ascii="Arial" w:cs="Arial" w:eastAsia="Arial" w:hAnsi="Arial"/>
          <w:sz w:val="14"/>
          <w:szCs w:val="14"/>
          <w:i w:val="1"/>
          <w:iCs w:val="1"/>
          <w:color w:val="auto"/>
        </w:rPr>
        <w:t>Financial Statement Schedules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schedules are omitted because they are either not applicable or the required information is shown in the Consolidated Financial Statements or notes thereto.</w:t>
      </w:r>
    </w:p>
    <w:p>
      <w:pPr>
        <w:spacing w:after="0" w:line="200" w:lineRule="exact"/>
        <w:rPr>
          <w:sz w:val="20"/>
          <w:szCs w:val="20"/>
          <w:color w:val="auto"/>
        </w:rPr>
      </w:pPr>
    </w:p>
    <w:p>
      <w:pPr>
        <w:ind w:left="820" w:hanging="306"/>
        <w:spacing w:after="0"/>
        <w:tabs>
          <w:tab w:leader="none" w:pos="820" w:val="left"/>
        </w:tabs>
        <w:numPr>
          <w:ilvl w:val="0"/>
          <w:numId w:val="74"/>
        </w:numPr>
        <w:rPr>
          <w:rFonts w:ascii="Arial" w:cs="Arial" w:eastAsia="Arial" w:hAnsi="Arial"/>
          <w:sz w:val="14"/>
          <w:szCs w:val="14"/>
          <w:b w:val="1"/>
          <w:bCs w:val="1"/>
          <w:color w:val="auto"/>
        </w:rPr>
      </w:pPr>
      <w:r>
        <w:rPr>
          <w:rFonts w:ascii="Arial" w:cs="Arial" w:eastAsia="Arial" w:hAnsi="Arial"/>
          <w:sz w:val="14"/>
          <w:szCs w:val="14"/>
          <w:i w:val="1"/>
          <w:iCs w:val="1"/>
          <w:color w:val="auto"/>
        </w:rPr>
        <w:t>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520" w:type="dxa"/>
            <w:vAlign w:val="bottom"/>
            <w:gridSpan w:val="18"/>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140"/>
        </w:trPr>
        <w:tc>
          <w:tcPr>
            <w:tcW w:w="1180" w:type="dxa"/>
            <w:vAlign w:val="bottom"/>
            <w:tcBorders>
              <w:top w:val="single" w:sz="8" w:color="auto"/>
            </w:tcBorders>
          </w:tcPr>
          <w:p>
            <w:pPr>
              <w:ind w:left="20"/>
              <w:spacing w:after="0" w:line="140" w:lineRule="exact"/>
              <w:rPr>
                <w:sz w:val="20"/>
                <w:szCs w:val="20"/>
                <w:color w:val="auto"/>
              </w:rPr>
            </w:pPr>
            <w:r>
              <w:rPr>
                <w:rFonts w:ascii="Arial" w:cs="Arial" w:eastAsia="Arial" w:hAnsi="Arial"/>
                <w:sz w:val="14"/>
                <w:szCs w:val="14"/>
                <w:color w:val="auto"/>
              </w:rPr>
              <w:t>2.1*</w:t>
            </w:r>
          </w:p>
        </w:tc>
        <w:tc>
          <w:tcPr>
            <w:tcW w:w="540" w:type="dxa"/>
            <w:vAlign w:val="bottom"/>
          </w:tcPr>
          <w:p>
            <w:pPr>
              <w:ind w:left="120"/>
              <w:spacing w:after="0" w:line="140" w:lineRule="exact"/>
              <w:rPr>
                <w:sz w:val="20"/>
                <w:szCs w:val="20"/>
                <w:color w:val="auto"/>
              </w:rPr>
            </w:pPr>
            <w:r>
              <w:rPr>
                <w:rFonts w:ascii="Arial" w:cs="Arial" w:eastAsia="Arial" w:hAnsi="Arial"/>
                <w:sz w:val="14"/>
                <w:szCs w:val="14"/>
                <w:color w:val="auto"/>
              </w:rPr>
              <w:t>—</w:t>
            </w:r>
          </w:p>
        </w:tc>
        <w:tc>
          <w:tcPr>
            <w:tcW w:w="9540" w:type="dxa"/>
            <w:vAlign w:val="bottom"/>
            <w:tcBorders>
              <w:top w:val="single" w:sz="8" w:color="auto"/>
            </w:tcBorders>
            <w:gridSpan w:val="18"/>
          </w:tcPr>
          <w:p>
            <w:pPr>
              <w:spacing w:after="0" w:line="140" w:lineRule="exact"/>
              <w:rPr>
                <w:rFonts w:ascii="Arial" w:cs="Arial" w:eastAsia="Arial" w:hAnsi="Arial"/>
                <w:sz w:val="14"/>
                <w:szCs w:val="14"/>
                <w:color w:val="0000FF"/>
                <w:w w:val="93"/>
              </w:rPr>
            </w:pPr>
            <w:hyperlink r:id="rId136">
              <w:r>
                <w:rPr>
                  <w:rFonts w:ascii="Arial" w:cs="Arial" w:eastAsia="Arial" w:hAnsi="Arial"/>
                  <w:sz w:val="14"/>
                  <w:szCs w:val="14"/>
                  <w:color w:val="0000FF"/>
                  <w:w w:val="93"/>
                </w:rPr>
                <w:t>Simplification Agreement dated as of July 11, 2016, by and among PAA GP Holdings LLC, Plains GP Holdings, L.P., Plains All American GP LLC, Plains AAP, L.P.,</w:t>
              </w:r>
            </w:hyperlink>
          </w:p>
        </w:tc>
        <w:tc>
          <w:tcPr>
            <w:tcW w:w="20" w:type="dxa"/>
            <w:vAlign w:val="bottom"/>
          </w:tcPr>
          <w:p>
            <w:pPr>
              <w:spacing w:after="0"/>
              <w:rPr>
                <w:sz w:val="12"/>
                <w:szCs w:val="12"/>
                <w:color w:val="auto"/>
              </w:rPr>
            </w:pPr>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4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36">
              <w:r>
                <w:rPr>
                  <w:rFonts w:ascii="Arial" w:cs="Arial" w:eastAsia="Arial" w:hAnsi="Arial"/>
                  <w:sz w:val="13"/>
                  <w:szCs w:val="13"/>
                  <w:color w:val="0000FF"/>
                </w:rPr>
                <w:t>PAA GP LLC and Plains All American Pipeline, L.P. (incorporated by reference to Exhibit 2.1 to our Current Report on Form 8-K filed July 14, 2016).</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2.2*</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3"/>
              </w:rPr>
            </w:pPr>
            <w:hyperlink r:id="rId137">
              <w:r>
                <w:rPr>
                  <w:rFonts w:ascii="Arial" w:cs="Arial" w:eastAsia="Arial" w:hAnsi="Arial"/>
                  <w:sz w:val="14"/>
                  <w:szCs w:val="14"/>
                  <w:color w:val="0000FF"/>
                  <w:w w:val="93"/>
                </w:rPr>
                <w:t>Agreement and Plan of Merger dated as of July 12, 2021 by and among Plains Pipeline, L.P., Plains Marketing, L.P., Oryx Midstream Holdings LLC, Middle Cadence</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2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Holdings LLC, POP HoldCo LLC, Oryx Wink Oil Marketing LLC, Oryx Permian Oil Marketing LLC, Plains Oryx Permian Basin LLC, Plains Oryx Permian Basin</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32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Marketing LLC and Plains Oryx Permian Basin Pipeline LLC (incorporated by reference to Exhibit 2.1 to our Current Report on Form 8-K filed July 13, 2021).</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3.1</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4"/>
              </w:rPr>
            </w:pPr>
            <w:hyperlink r:id="rId138">
              <w:r>
                <w:rPr>
                  <w:rFonts w:ascii="Arial" w:cs="Arial" w:eastAsia="Arial" w:hAnsi="Arial"/>
                  <w:sz w:val="14"/>
                  <w:szCs w:val="14"/>
                  <w:color w:val="0000FF"/>
                  <w:w w:val="94"/>
                </w:rPr>
                <w:t>Seventh Amended and Restated Agreement of Limited Partnership of Plains All American Pipeline, L.P. dated as of October 10, 2017 (incorporated by reference to</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8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r:id="rId138">
              <w:r>
                <w:rPr>
                  <w:rFonts w:ascii="Arial" w:cs="Arial" w:eastAsia="Arial" w:hAnsi="Arial"/>
                  <w:sz w:val="13"/>
                  <w:szCs w:val="13"/>
                  <w:color w:val="0000FF"/>
                </w:rPr>
                <w:t>Exhibit 3.1 to our Current Report on Form 8-K filed October 12, 2017).</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3.2</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5"/>
              </w:rPr>
            </w:pPr>
            <w:hyperlink r:id="rId139">
              <w:r>
                <w:rPr>
                  <w:rFonts w:ascii="Arial" w:cs="Arial" w:eastAsia="Arial" w:hAnsi="Arial"/>
                  <w:sz w:val="14"/>
                  <w:szCs w:val="14"/>
                  <w:color w:val="0000FF"/>
                  <w:w w:val="95"/>
                </w:rPr>
                <w:t>Third Amended and Restated Agreement of Limited Partnership of Plains Marketing, L.P. dated as of April 1, 2004 (incorporated by reference to Exhibit 3.2 to our</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6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Quarterly Report on Form 10-Q for the quarter ended March 31, 2004).</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3.3</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7"/>
              </w:rPr>
            </w:pPr>
            <w:hyperlink r:id="rId140">
              <w:r>
                <w:rPr>
                  <w:rFonts w:ascii="Arial" w:cs="Arial" w:eastAsia="Arial" w:hAnsi="Arial"/>
                  <w:sz w:val="14"/>
                  <w:szCs w:val="14"/>
                  <w:color w:val="0000FF"/>
                  <w:w w:val="97"/>
                </w:rPr>
                <w:t>Amendment No. 1 dated December 31, 2010 to the Third Amended and Restated Agreement of Limited Partnership of Plains Marketing, L.P. (incorporated by</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72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140">
              <w:r>
                <w:rPr>
                  <w:rFonts w:ascii="Arial" w:cs="Arial" w:eastAsia="Arial" w:hAnsi="Arial"/>
                  <w:sz w:val="13"/>
                  <w:szCs w:val="13"/>
                  <w:color w:val="0000FF"/>
                  <w:w w:val="99"/>
                </w:rPr>
                <w:t>reference to Exhibit 3.9 to our Annual Report on Form 10-K for the year ended December 31, 2010).</w:t>
              </w:r>
            </w:hyperlink>
          </w:p>
        </w:tc>
        <w:tc>
          <w:tcPr>
            <w:tcW w:w="3340" w:type="dxa"/>
            <w:vAlign w:val="bottom"/>
            <w:tcBorders>
              <w:top w:val="single" w:sz="8" w:color="0000FF"/>
            </w:tcBorders>
            <w:gridSpan w:val="2"/>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3.4</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2"/>
              </w:rPr>
            </w:pPr>
            <w:hyperlink r:id="rId141">
              <w:r>
                <w:rPr>
                  <w:rFonts w:ascii="Arial" w:cs="Arial" w:eastAsia="Arial" w:hAnsi="Arial"/>
                  <w:sz w:val="14"/>
                  <w:szCs w:val="14"/>
                  <w:color w:val="0000FF"/>
                  <w:w w:val="92"/>
                </w:rPr>
                <w:t>Amendment No. 2 dated January 1, 2011 to the Third Amended and Restated Agreement of Limited Partnership of Plains Marketing, L.P. (incorporated by reference to</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50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41">
              <w:r>
                <w:rPr>
                  <w:rFonts w:ascii="Arial" w:cs="Arial" w:eastAsia="Arial" w:hAnsi="Arial"/>
                  <w:sz w:val="13"/>
                  <w:szCs w:val="13"/>
                  <w:color w:val="0000FF"/>
                </w:rPr>
                <w:t>Exhibit 3.10 to our Annual Report on Form 10-K for the year ended December 31, 2010).</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3.5</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3"/>
              </w:rPr>
            </w:pPr>
            <w:hyperlink r:id="rId142">
              <w:r>
                <w:rPr>
                  <w:rFonts w:ascii="Arial" w:cs="Arial" w:eastAsia="Arial" w:hAnsi="Arial"/>
                  <w:sz w:val="14"/>
                  <w:szCs w:val="14"/>
                  <w:color w:val="0000FF"/>
                  <w:w w:val="93"/>
                </w:rPr>
                <w:t>Amendment No. 3 dated June 30, 2011 to the Third Amended and Restated Agreement of Limited Partnership of Plains Marketing, L.P. (incorporated by reference to</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42">
              <w:r>
                <w:rPr>
                  <w:rFonts w:ascii="Arial" w:cs="Arial" w:eastAsia="Arial" w:hAnsi="Arial"/>
                  <w:sz w:val="13"/>
                  <w:szCs w:val="13"/>
                  <w:color w:val="0000FF"/>
                </w:rPr>
                <w:t>Exhibit 3.7 to our Annual Report on Form 10-K for the year ended December 31, 2013).</w:t>
              </w:r>
            </w:hyperlink>
          </w:p>
        </w:tc>
        <w:tc>
          <w:tcPr>
            <w:tcW w:w="4300" w:type="dxa"/>
            <w:vAlign w:val="bottom"/>
            <w:tcBorders>
              <w:top w:val="single" w:sz="8" w:color="0000FF"/>
            </w:tcBorders>
            <w:gridSpan w:val="10"/>
          </w:tcPr>
          <w:p>
            <w:pPr>
              <w:spacing w:after="0"/>
              <w:rPr>
                <w:sz w:val="10"/>
                <w:szCs w:val="10"/>
                <w:color w:val="auto"/>
              </w:rPr>
            </w:pPr>
          </w:p>
        </w:tc>
        <w:tc>
          <w:tcPr>
            <w:tcW w:w="1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3.6</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2"/>
              </w:rPr>
            </w:pPr>
            <w:hyperlink r:id="rId143">
              <w:r>
                <w:rPr>
                  <w:rFonts w:ascii="Arial" w:cs="Arial" w:eastAsia="Arial" w:hAnsi="Arial"/>
                  <w:sz w:val="14"/>
                  <w:szCs w:val="14"/>
                  <w:color w:val="0000FF"/>
                  <w:w w:val="92"/>
                </w:rPr>
                <w:t>Amendment No. 4 dated January 1, 2013 to the Third Amended and Restated Agreement of Limited Partnership of Plains Marketing, L.P (incorporated by reference to</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43">
              <w:r>
                <w:rPr>
                  <w:rFonts w:ascii="Arial" w:cs="Arial" w:eastAsia="Arial" w:hAnsi="Arial"/>
                  <w:sz w:val="13"/>
                  <w:szCs w:val="13"/>
                  <w:color w:val="0000FF"/>
                </w:rPr>
                <w:t>Exhibit 3.8 to our Annual Report on Form 10-K for the year ended December 31, 2013).</w:t>
              </w:r>
            </w:hyperlink>
          </w:p>
        </w:tc>
        <w:tc>
          <w:tcPr>
            <w:tcW w:w="440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3.7</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2"/>
              </w:rPr>
            </w:pPr>
            <w:hyperlink r:id="rId144">
              <w:r>
                <w:rPr>
                  <w:rFonts w:ascii="Arial" w:cs="Arial" w:eastAsia="Arial" w:hAnsi="Arial"/>
                  <w:sz w:val="14"/>
                  <w:szCs w:val="14"/>
                  <w:color w:val="0000FF"/>
                  <w:w w:val="92"/>
                </w:rPr>
                <w:t>Amendment No. 5 dated December 1, 2019 to the Third Amended and Restated Agreement of Limited Partnership of Plains Marketing, L.P. (incorporated by reference</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9"/>
              </w:rPr>
            </w:pPr>
            <w:hyperlink r:id="rId144">
              <w:r>
                <w:rPr>
                  <w:rFonts w:ascii="Arial" w:cs="Arial" w:eastAsia="Arial" w:hAnsi="Arial"/>
                  <w:sz w:val="13"/>
                  <w:szCs w:val="13"/>
                  <w:color w:val="0000FF"/>
                  <w:w w:val="99"/>
                </w:rPr>
                <w:t>to Exhibit 3.7 to our Annual Report on Form 10-K for the year ended December 31, 2019.)</w:t>
              </w:r>
            </w:hyperlink>
          </w:p>
        </w:tc>
        <w:tc>
          <w:tcPr>
            <w:tcW w:w="436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3.8</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6"/>
              </w:rPr>
            </w:pPr>
            <w:hyperlink r:id="rId145">
              <w:r>
                <w:rPr>
                  <w:rFonts w:ascii="Arial" w:cs="Arial" w:eastAsia="Arial" w:hAnsi="Arial"/>
                  <w:sz w:val="14"/>
                  <w:szCs w:val="14"/>
                  <w:color w:val="0000FF"/>
                  <w:w w:val="96"/>
                </w:rPr>
                <w:t>Third Amended and Restated Agreement of Limited Partnership of Plains Pipeline, L.P. dated as of April 1, 2004 (incorporated by reference to Exhibit 3.3 to our</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120" w:type="dxa"/>
            <w:vAlign w:val="bottom"/>
            <w:tcBorders>
              <w:top w:val="single" w:sz="8" w:color="0000FF"/>
            </w:tcBorders>
            <w:gridSpan w:val="7"/>
          </w:tcPr>
          <w:p>
            <w:pPr>
              <w:spacing w:after="0" w:line="118" w:lineRule="exact"/>
              <w:rPr>
                <w:rFonts w:ascii="Arial" w:cs="Arial" w:eastAsia="Arial" w:hAnsi="Arial"/>
                <w:sz w:val="13"/>
                <w:szCs w:val="13"/>
                <w:color w:val="0000FF"/>
              </w:rPr>
            </w:pPr>
            <w:hyperlink r:id="rId145">
              <w:r>
                <w:rPr>
                  <w:rFonts w:ascii="Arial" w:cs="Arial" w:eastAsia="Arial" w:hAnsi="Arial"/>
                  <w:sz w:val="13"/>
                  <w:szCs w:val="13"/>
                  <w:color w:val="0000FF"/>
                </w:rPr>
                <w:t>Quarterly Report on Form 10-Q for the quarter ended March 31, 2004).</w:t>
              </w:r>
            </w:hyperlink>
          </w:p>
        </w:tc>
        <w:tc>
          <w:tcPr>
            <w:tcW w:w="240" w:type="dxa"/>
            <w:vAlign w:val="bottom"/>
            <w:gridSpan w:val="4"/>
          </w:tcPr>
          <w:p>
            <w:pPr>
              <w:spacing w:after="0"/>
              <w:rPr>
                <w:sz w:val="10"/>
                <w:szCs w:val="10"/>
                <w:color w:val="auto"/>
              </w:rPr>
            </w:pPr>
          </w:p>
        </w:tc>
        <w:tc>
          <w:tcPr>
            <w:tcW w:w="200" w:type="dxa"/>
            <w:vAlign w:val="bottom"/>
            <w:gridSpan w:val="8"/>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4"/>
                <w:szCs w:val="14"/>
                <w:color w:val="auto"/>
              </w:rPr>
              <w:t>3.9</w:t>
            </w: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9560" w:type="dxa"/>
            <w:vAlign w:val="bottom"/>
            <w:gridSpan w:val="19"/>
          </w:tcPr>
          <w:p>
            <w:pPr>
              <w:spacing w:after="0"/>
              <w:rPr>
                <w:rFonts w:ascii="Arial" w:cs="Arial" w:eastAsia="Arial" w:hAnsi="Arial"/>
                <w:sz w:val="14"/>
                <w:szCs w:val="14"/>
                <w:color w:val="0000FF"/>
                <w:w w:val="93"/>
              </w:rPr>
            </w:pPr>
            <w:hyperlink r:id="rId146">
              <w:r>
                <w:rPr>
                  <w:rFonts w:ascii="Arial" w:cs="Arial" w:eastAsia="Arial" w:hAnsi="Arial"/>
                  <w:sz w:val="14"/>
                  <w:szCs w:val="14"/>
                  <w:color w:val="0000FF"/>
                  <w:w w:val="93"/>
                </w:rPr>
                <w:t>Amendment No. 1 dated January 1, 2013 to the Third Amended and Restated Agreement of Limited Partnership of Plains Pipeline, L.P. (incorporated by reference to</w:t>
              </w:r>
            </w:hyperlink>
          </w:p>
        </w:tc>
      </w:tr>
      <w:tr>
        <w:trPr>
          <w:trHeight w:val="118"/>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36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146">
              <w:r>
                <w:rPr>
                  <w:rFonts w:ascii="Arial" w:cs="Arial" w:eastAsia="Arial" w:hAnsi="Arial"/>
                  <w:sz w:val="13"/>
                  <w:szCs w:val="13"/>
                  <w:color w:val="0000FF"/>
                </w:rPr>
                <w:t>Exhibit 3.10 to our Annual Report on Form 10-K for the year ended December 31, 2013).</w:t>
              </w:r>
            </w:hyperlink>
          </w:p>
        </w:tc>
        <w:tc>
          <w:tcPr>
            <w:tcW w:w="200" w:type="dxa"/>
            <w:vAlign w:val="bottom"/>
            <w:gridSpan w:val="8"/>
          </w:tcPr>
          <w:p>
            <w:pPr>
              <w:spacing w:after="0"/>
              <w:rPr>
                <w:sz w:val="10"/>
                <w:szCs w:val="10"/>
                <w:color w:val="auto"/>
              </w:rPr>
            </w:pPr>
          </w:p>
        </w:tc>
      </w:tr>
      <w:tr>
        <w:trPr>
          <w:trHeight w:val="775"/>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Borders>
              <w:top w:val="single" w:sz="8" w:color="0000FF"/>
            </w:tcBorders>
          </w:tcPr>
          <w:p>
            <w:pPr>
              <w:ind w:left="3820"/>
              <w:spacing w:after="0"/>
              <w:rPr>
                <w:sz w:val="20"/>
                <w:szCs w:val="20"/>
                <w:color w:val="auto"/>
              </w:rPr>
            </w:pPr>
            <w:r>
              <w:rPr>
                <w:rFonts w:ascii="Arial" w:cs="Arial" w:eastAsia="Arial" w:hAnsi="Arial"/>
                <w:sz w:val="14"/>
                <w:szCs w:val="14"/>
                <w:color w:val="auto"/>
                <w:w w:val="76"/>
              </w:rPr>
              <w:t>105</w:t>
            </w:r>
          </w:p>
        </w:tc>
        <w:tc>
          <w:tcPr>
            <w:tcW w:w="10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5" w:name="page106"/>
    <w:bookmarkEnd w:id="10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3.10</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7"/>
              </w:rPr>
            </w:pPr>
            <w:hyperlink r:id="rId149">
              <w:r>
                <w:rPr>
                  <w:rFonts w:ascii="Arial" w:cs="Arial" w:eastAsia="Arial" w:hAnsi="Arial"/>
                  <w:sz w:val="14"/>
                  <w:szCs w:val="14"/>
                  <w:color w:val="0000FF"/>
                  <w:w w:val="97"/>
                </w:rPr>
                <w:t>Seventh Amended and Restated Limited Liability Company Agreement of Plains All American GP LLC dated November 15, 2016 (incorporated by reference to</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10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Exhibit 3.3 to our Current Report on Form 8-K filed November 21, 2016).</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4"/>
              </w:rPr>
            </w:pPr>
            <w:hyperlink r:id="rId150">
              <w:r>
                <w:rPr>
                  <w:rFonts w:ascii="Arial" w:cs="Arial" w:eastAsia="Arial" w:hAnsi="Arial"/>
                  <w:sz w:val="14"/>
                  <w:szCs w:val="14"/>
                  <w:color w:val="0000FF"/>
                  <w:w w:val="94"/>
                </w:rPr>
                <w:t>Eighth Amended and Restated Limited Partnership Agreement of Plains AAP, L.P. dated November 15, 2016 (incorporated by reference to Exhibit 3.4 to our Current</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Report on Form 8-K filed November 21,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4"/>
              </w:rPr>
            </w:pPr>
            <w:hyperlink r:id="rId151">
              <w:r>
                <w:rPr>
                  <w:rFonts w:ascii="Arial" w:cs="Arial" w:eastAsia="Arial" w:hAnsi="Arial"/>
                  <w:sz w:val="14"/>
                  <w:szCs w:val="14"/>
                  <w:color w:val="0000FF"/>
                  <w:w w:val="94"/>
                </w:rPr>
                <w:t>Amendment No. 1 dated September 26, 2018 to the Eighth Amended and Restated Limited Partnership Agreement of Plains AAP, L.P. (incorporated by reference to</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151">
              <w:r>
                <w:rPr>
                  <w:rFonts w:ascii="Arial" w:cs="Arial" w:eastAsia="Arial" w:hAnsi="Arial"/>
                  <w:sz w:val="13"/>
                  <w:szCs w:val="13"/>
                  <w:color w:val="0000FF"/>
                </w:rPr>
                <w:t>Exhibit 3.1 to our Current Report on Form 8-K filed October 2, 2018).</w:t>
              </w:r>
            </w:hyperlink>
          </w:p>
        </w:tc>
        <w:tc>
          <w:tcPr>
            <w:tcW w:w="532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3.13</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3"/>
              </w:rPr>
            </w:pPr>
            <w:hyperlink r:id="rId152">
              <w:r>
                <w:rPr>
                  <w:rFonts w:ascii="Arial" w:cs="Arial" w:eastAsia="Arial" w:hAnsi="Arial"/>
                  <w:sz w:val="14"/>
                  <w:szCs w:val="14"/>
                  <w:color w:val="0000FF"/>
                  <w:w w:val="93"/>
                </w:rPr>
                <w:t>Amendment No. 2 dated May 23, 2019 to the Eighth Amended and Restated Limited Partnership Agreement of Plains AAP, L.P. (incorporated by reference to Exhibit</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152">
              <w:r>
                <w:rPr>
                  <w:rFonts w:ascii="Arial" w:cs="Arial" w:eastAsia="Arial" w:hAnsi="Arial"/>
                  <w:sz w:val="13"/>
                  <w:szCs w:val="13"/>
                  <w:color w:val="0000FF"/>
                </w:rPr>
                <w:t>3.</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our Current Report on Form 8-K filed May 30, 2019).</w:t>
              </w:r>
            </w:hyperlink>
          </w:p>
        </w:tc>
        <w:tc>
          <w:tcPr>
            <w:tcW w:w="604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3.14</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4"/>
              </w:rPr>
            </w:pPr>
            <w:hyperlink r:id="rId153">
              <w:r>
                <w:rPr>
                  <w:rFonts w:ascii="Arial" w:cs="Arial" w:eastAsia="Arial" w:hAnsi="Arial"/>
                  <w:sz w:val="14"/>
                  <w:szCs w:val="14"/>
                  <w:color w:val="0000FF"/>
                  <w:w w:val="94"/>
                </w:rPr>
                <w:t>Certificate of Incorporation of PAA Finance Corp. (f/k/a Pacific Energy Finance Corporation, successor-by-merger to PAA Finance Corp.) (incorporated by reference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4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53">
              <w:r>
                <w:rPr>
                  <w:rFonts w:ascii="Arial" w:cs="Arial" w:eastAsia="Arial" w:hAnsi="Arial"/>
                  <w:sz w:val="13"/>
                  <w:szCs w:val="13"/>
                  <w:color w:val="0000FF"/>
                </w:rPr>
                <w:t>to Exhibit 3.10 to our Annual Report on Form 10-K for the year ended December 31, 2006).</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3.15</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3"/>
              </w:rPr>
            </w:pPr>
            <w:hyperlink r:id="rId154">
              <w:r>
                <w:rPr>
                  <w:rFonts w:ascii="Arial" w:cs="Arial" w:eastAsia="Arial" w:hAnsi="Arial"/>
                  <w:sz w:val="14"/>
                  <w:szCs w:val="14"/>
                  <w:color w:val="0000FF"/>
                  <w:w w:val="93"/>
                </w:rPr>
                <w:t>Bylaws of PAA Finance Corp. (f/k/a Pacific Energy Finance Corporation, successor-by-merger to PAA Finance Corp.) (incorporated by reference to Exhibit 3.11 to our</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154">
              <w:r>
                <w:rPr>
                  <w:rFonts w:ascii="Arial" w:cs="Arial" w:eastAsia="Arial" w:hAnsi="Arial"/>
                  <w:sz w:val="13"/>
                  <w:szCs w:val="13"/>
                  <w:color w:val="0000FF"/>
                  <w:w w:val="98"/>
                </w:rPr>
                <w:t>Annual Report on Form 10-K for the year ended December 31, 2006).</w:t>
              </w:r>
            </w:hyperlink>
          </w:p>
        </w:tc>
        <w:tc>
          <w:tcPr>
            <w:tcW w:w="556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3.16</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5"/>
              </w:rPr>
            </w:pPr>
            <w:hyperlink r:id="rId155">
              <w:r>
                <w:rPr>
                  <w:rFonts w:ascii="Arial" w:cs="Arial" w:eastAsia="Arial" w:hAnsi="Arial"/>
                  <w:sz w:val="14"/>
                  <w:szCs w:val="14"/>
                  <w:color w:val="0000FF"/>
                  <w:w w:val="95"/>
                </w:rPr>
                <w:t>Limited Liability Company Agreement of PAA GP LLC dated December 28, 2007 (incorporated by reference to Exhibit 3.3 to our Current Report on Form 8-K filed</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38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55">
              <w:r>
                <w:rPr>
                  <w:rFonts w:ascii="Arial" w:cs="Arial" w:eastAsia="Arial" w:hAnsi="Arial"/>
                  <w:sz w:val="13"/>
                  <w:szCs w:val="13"/>
                  <w:color w:val="0000FF"/>
                </w:rPr>
                <w:t>January 4, 2008).</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3.17</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4"/>
              </w:rPr>
            </w:pPr>
            <w:hyperlink r:id="rId156">
              <w:r>
                <w:rPr>
                  <w:rFonts w:ascii="Arial" w:cs="Arial" w:eastAsia="Arial" w:hAnsi="Arial"/>
                  <w:sz w:val="14"/>
                  <w:szCs w:val="14"/>
                  <w:color w:val="0000FF"/>
                  <w:w w:val="94"/>
                </w:rPr>
                <w:t>Certificate of Limited Partnership of Plains GP Holdings, L.P. (incorporated by reference to Exhibit 3.1 to PAGP’s Registration Statement on Form S-1 (333-190227)</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56">
              <w:r>
                <w:rPr>
                  <w:rFonts w:ascii="Arial" w:cs="Arial" w:eastAsia="Arial" w:hAnsi="Arial"/>
                  <w:sz w:val="13"/>
                  <w:szCs w:val="13"/>
                  <w:color w:val="0000FF"/>
                </w:rPr>
                <w:t>filed July 29, 2013).</w:t>
              </w:r>
            </w:hyperlink>
          </w:p>
        </w:tc>
        <w:tc>
          <w:tcPr>
            <w:tcW w:w="8260" w:type="dxa"/>
            <w:vAlign w:val="bottom"/>
            <w:tcBorders>
              <w:top w:val="single" w:sz="8" w:color="0000FF"/>
            </w:tcBorders>
            <w:gridSpan w:val="2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3.18</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2"/>
              </w:rPr>
            </w:pPr>
            <w:hyperlink r:id="rId157">
              <w:r>
                <w:rPr>
                  <w:rFonts w:ascii="Arial" w:cs="Arial" w:eastAsia="Arial" w:hAnsi="Arial"/>
                  <w:sz w:val="14"/>
                  <w:szCs w:val="14"/>
                  <w:color w:val="0000FF"/>
                  <w:w w:val="92"/>
                </w:rPr>
                <w:t>Second Amended and Restated Agreement of Limited Partnership of Plains GP Holdings, L.P. dated as of November 15, 2016 (incorporated by reference to Exhibit 3.2</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57">
              <w:r>
                <w:rPr>
                  <w:rFonts w:ascii="Arial" w:cs="Arial" w:eastAsia="Arial" w:hAnsi="Arial"/>
                  <w:sz w:val="13"/>
                  <w:szCs w:val="13"/>
                  <w:color w:val="0000FF"/>
                  <w:w w:val="99"/>
                </w:rPr>
                <w:t>to PAGP’s Current Report on Form 8-K filed November 21, 2016).</w:t>
              </w:r>
            </w:hyperlink>
          </w:p>
        </w:tc>
        <w:tc>
          <w:tcPr>
            <w:tcW w:w="578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3.19</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3"/>
              </w:rPr>
            </w:pPr>
            <w:hyperlink r:id="rId158">
              <w:r>
                <w:rPr>
                  <w:rFonts w:ascii="Arial" w:cs="Arial" w:eastAsia="Arial" w:hAnsi="Arial"/>
                  <w:sz w:val="14"/>
                  <w:szCs w:val="14"/>
                  <w:color w:val="0000FF"/>
                  <w:w w:val="93"/>
                </w:rPr>
                <w:t>Amendment No. 1 dated April 6, 2020 to the Second Amended and Restated Agreement of Limited Partnership of Plains GP Holdings, L.P. (incorporated by reference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58">
              <w:r>
                <w:rPr>
                  <w:rFonts w:ascii="Arial" w:cs="Arial" w:eastAsia="Arial" w:hAnsi="Arial"/>
                  <w:sz w:val="13"/>
                  <w:szCs w:val="13"/>
                  <w:color w:val="0000FF"/>
                </w:rPr>
                <w:t>to Exhibit 3.1 to PAGP’s Current Report on Form 8-K filed April 9, 2020).</w:t>
              </w:r>
            </w:hyperlink>
          </w:p>
        </w:tc>
        <w:tc>
          <w:tcPr>
            <w:tcW w:w="52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3.20</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5"/>
              </w:rPr>
            </w:pPr>
            <w:hyperlink r:id="rId159">
              <w:r>
                <w:rPr>
                  <w:rFonts w:ascii="Arial" w:cs="Arial" w:eastAsia="Arial" w:hAnsi="Arial"/>
                  <w:sz w:val="14"/>
                  <w:szCs w:val="14"/>
                  <w:color w:val="0000FF"/>
                  <w:w w:val="95"/>
                </w:rPr>
                <w:t>Certificate of Formation of PAA GP Holdings LLC (incorporated by reference to Exhibit 3.3 to PAGP’s Registration Statement on Form S-1 (333-190227) filed July</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5"/>
              </w:rPr>
            </w:pPr>
            <w:hyperlink r:id="rId159">
              <w:r>
                <w:rPr>
                  <w:rFonts w:ascii="Arial" w:cs="Arial" w:eastAsia="Arial" w:hAnsi="Arial"/>
                  <w:sz w:val="13"/>
                  <w:szCs w:val="13"/>
                  <w:color w:val="0000FF"/>
                  <w:w w:val="95"/>
                </w:rPr>
                <w:t>29, 2013).</w:t>
              </w:r>
            </w:hyperlink>
          </w:p>
        </w:tc>
        <w:tc>
          <w:tcPr>
            <w:tcW w:w="4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3.21 †</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rPr>
            </w:pPr>
            <w:hyperlink w:anchor="page179">
              <w:r>
                <w:rPr>
                  <w:rFonts w:ascii="Arial" w:cs="Arial" w:eastAsia="Arial" w:hAnsi="Arial"/>
                  <w:sz w:val="14"/>
                  <w:szCs w:val="14"/>
                  <w:color w:val="0000FF"/>
                </w:rPr>
                <w:t>Fourth Amended and Restated Limited Liability Company Agreement of PAA GP Holdings LLC dated effective as of August 19, 2021.</w:t>
              </w:r>
            </w:hyperlink>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40" w:type="dxa"/>
            <w:vAlign w:val="bottom"/>
            <w:gridSpan w:val="9"/>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2"/>
              </w:rPr>
            </w:pPr>
            <w:hyperlink r:id="rId160">
              <w:r>
                <w:rPr>
                  <w:rFonts w:ascii="Arial" w:cs="Arial" w:eastAsia="Arial" w:hAnsi="Arial"/>
                  <w:sz w:val="14"/>
                  <w:szCs w:val="14"/>
                  <w:color w:val="0000FF"/>
                  <w:w w:val="92"/>
                </w:rPr>
                <w:t>Indenture dated September 25, 2002 among Plains All American Pipeline, L.P., PAA Finance Corp. and Wachovia Bank, National Association, as trustee (incorporated</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8"/>
              </w:rPr>
            </w:pPr>
            <w:hyperlink r:id="rId160">
              <w:r>
                <w:rPr>
                  <w:rFonts w:ascii="Arial" w:cs="Arial" w:eastAsia="Arial" w:hAnsi="Arial"/>
                  <w:sz w:val="13"/>
                  <w:szCs w:val="13"/>
                  <w:color w:val="0000FF"/>
                  <w:w w:val="98"/>
                </w:rPr>
                <w:t>by reference to Exhibit 4.1 to our Quarterly Report on Form 10-Q for the quarter ended September 30, 2002).</w:t>
              </w:r>
            </w:hyperlink>
          </w:p>
        </w:tc>
        <w:tc>
          <w:tcPr>
            <w:tcW w:w="332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5"/>
              </w:rPr>
            </w:pPr>
            <w:hyperlink r:id="rId161">
              <w:r>
                <w:rPr>
                  <w:rFonts w:ascii="Arial" w:cs="Arial" w:eastAsia="Arial" w:hAnsi="Arial"/>
                  <w:sz w:val="14"/>
                  <w:szCs w:val="14"/>
                  <w:color w:val="0000FF"/>
                  <w:w w:val="95"/>
                </w:rPr>
                <w:t>Sixth Supplemental Indenture (Series A and Series B 6.70% Senior Notes due 2036) dated May 12, 2006 among Plains All American Pipeline, L.P., PAA Finance</w:t>
              </w:r>
            </w:hyperlink>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520" w:type="dxa"/>
            <w:vAlign w:val="bottom"/>
            <w:gridSpan w:val="10"/>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0" w:type="dxa"/>
            <w:vAlign w:val="bottom"/>
            <w:gridSpan w:val="35"/>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Corp., the Subsidiary Guarantors named therein and Wachovia Bank, National Association, as trustee (incorporated by reference to Exhibit 4.1 to our Current Report</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36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on Form 8-K filed May 12, 2006).</w:t>
              </w:r>
            </w:hyperlink>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2"/>
              </w:rPr>
            </w:pPr>
            <w:hyperlink r:id="rId162">
              <w:r>
                <w:rPr>
                  <w:rFonts w:ascii="Arial" w:cs="Arial" w:eastAsia="Arial" w:hAnsi="Arial"/>
                  <w:sz w:val="14"/>
                  <w:szCs w:val="14"/>
                  <w:color w:val="0000FF"/>
                  <w:w w:val="92"/>
                </w:rPr>
                <w:t>Tenth Supplemental Indenture (Series A and Series B 6.650% Senior Notes due 2037) dated October 30, 2006 among Plains All American Pipeline, L.P., PAA Finance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50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Corp., the Subsidiary Guarantors named therein and U.S. Bank National Association, as trustee (incorporated by reference to Exhibit 4.2 to our Current Report on</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1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Form 8-K filed October 30, 2006).</w:t>
              </w:r>
            </w:hyperlink>
          </w:p>
        </w:tc>
        <w:tc>
          <w:tcPr>
            <w:tcW w:w="160" w:type="dxa"/>
            <w:vAlign w:val="bottom"/>
            <w:gridSpan w:val="2"/>
          </w:tcPr>
          <w:p>
            <w:pPr>
              <w:spacing w:after="0"/>
              <w:rPr>
                <w:sz w:val="10"/>
                <w:szCs w:val="10"/>
                <w:color w:val="auto"/>
              </w:rPr>
            </w:pPr>
          </w:p>
        </w:tc>
        <w:tc>
          <w:tcPr>
            <w:tcW w:w="220" w:type="dxa"/>
            <w:vAlign w:val="bottom"/>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2"/>
              </w:rPr>
            </w:pPr>
            <w:hyperlink r:id="rId163">
              <w:r>
                <w:rPr>
                  <w:rFonts w:ascii="Arial" w:cs="Arial" w:eastAsia="Arial" w:hAnsi="Arial"/>
                  <w:sz w:val="14"/>
                  <w:szCs w:val="14"/>
                  <w:color w:val="0000FF"/>
                  <w:w w:val="92"/>
                </w:rPr>
                <w:t>Twentieth Supplemental Indenture (3.65% Senior Notes due 2022) dated March 22, 2012 among Plains All American Pipeline, L.P., PAA Finance Corp. and U.S. Bank</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560" w:type="dxa"/>
            <w:vAlign w:val="bottom"/>
            <w:tcBorders>
              <w:top w:val="single" w:sz="8" w:color="0000FF"/>
            </w:tcBorders>
            <w:gridSpan w:val="33"/>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National Association, as trustee (incorporated by reference to Exhibit 4.1 to our Current Report on Form 8-K filed March 26, 2012).</w:t>
              </w:r>
            </w:hyperlink>
          </w:p>
        </w:tc>
        <w:tc>
          <w:tcPr>
            <w:tcW w:w="4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80" w:type="dxa"/>
            <w:vAlign w:val="bottom"/>
            <w:gridSpan w:val="1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00" w:type="dxa"/>
            <w:vAlign w:val="bottom"/>
            <w:gridSpan w:val="35"/>
          </w:tcPr>
          <w:p>
            <w:pPr>
              <w:spacing w:after="0"/>
              <w:rPr>
                <w:rFonts w:ascii="Arial" w:cs="Arial" w:eastAsia="Arial" w:hAnsi="Arial"/>
                <w:sz w:val="14"/>
                <w:szCs w:val="14"/>
                <w:color w:val="0000FF"/>
                <w:w w:val="94"/>
              </w:rPr>
            </w:pPr>
            <w:hyperlink r:id="rId164">
              <w:r>
                <w:rPr>
                  <w:rFonts w:ascii="Arial" w:cs="Arial" w:eastAsia="Arial" w:hAnsi="Arial"/>
                  <w:sz w:val="14"/>
                  <w:szCs w:val="14"/>
                  <w:color w:val="0000FF"/>
                  <w:w w:val="94"/>
                </w:rPr>
                <w:t>Twenty-First Supplemental Indenture (5.15% Senior Notes due 2042) dated March 22, 2012 among Plains All American Pipeline, L.P., PAA Finance Corp. and U.S.</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34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Bank National Association, as trustee (incorporated by reference to Exhibit 4.3 to our Current Report on Form 8-K filed March 26, 2012).</w:t>
              </w:r>
            </w:hyperlink>
          </w:p>
        </w:tc>
        <w:tc>
          <w:tcPr>
            <w:tcW w:w="260" w:type="dxa"/>
            <w:vAlign w:val="bottom"/>
            <w:gridSpan w:val="13"/>
          </w:tcPr>
          <w:p>
            <w:pPr>
              <w:spacing w:after="0"/>
              <w:rPr>
                <w:sz w:val="10"/>
                <w:szCs w:val="10"/>
                <w:color w:val="auto"/>
              </w:rPr>
            </w:pPr>
          </w:p>
        </w:tc>
      </w:tr>
      <w:tr>
        <w:trPr>
          <w:trHeight w:val="775"/>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Borders>
              <w:top w:val="single" w:sz="8" w:color="0000FF"/>
            </w:tcBorders>
            <w:gridSpan w:val="11"/>
          </w:tcPr>
          <w:p>
            <w:pPr>
              <w:ind w:left="3820"/>
              <w:spacing w:after="0"/>
              <w:rPr>
                <w:sz w:val="20"/>
                <w:szCs w:val="20"/>
                <w:color w:val="auto"/>
              </w:rPr>
            </w:pPr>
            <w:r>
              <w:rPr>
                <w:rFonts w:ascii="Arial" w:cs="Arial" w:eastAsia="Arial" w:hAnsi="Arial"/>
                <w:sz w:val="14"/>
                <w:szCs w:val="14"/>
                <w:color w:val="auto"/>
              </w:rPr>
              <w:t>106</w:t>
            </w:r>
          </w:p>
        </w:tc>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6" w:name="page107"/>
    <w:bookmarkEnd w:id="10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4.6</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4"/>
              </w:rPr>
            </w:pPr>
            <w:hyperlink r:id="rId167">
              <w:r>
                <w:rPr>
                  <w:rFonts w:ascii="Arial" w:cs="Arial" w:eastAsia="Arial" w:hAnsi="Arial"/>
                  <w:sz w:val="14"/>
                  <w:szCs w:val="14"/>
                  <w:color w:val="0000FF"/>
                  <w:w w:val="94"/>
                </w:rPr>
                <w:t>Twenty-Second Supplemental Indenture (2.85% Senior Notes due 2023) dated December 10, 2012, by and among Plains All American Pipeline, L.P., PAA Finance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9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67">
              <w:r>
                <w:rPr>
                  <w:rFonts w:ascii="Arial" w:cs="Arial" w:eastAsia="Arial" w:hAnsi="Arial"/>
                  <w:sz w:val="13"/>
                  <w:szCs w:val="13"/>
                  <w:color w:val="0000FF"/>
                  <w:w w:val="99"/>
                </w:rPr>
                <w:t>Corp. and U.S. Bank National Association, as trustee (incorporated by reference to Exhibit 4.1 to our Current Report on Form 8-K filed December 12, 2012).</w:t>
              </w:r>
            </w:hyperlink>
          </w:p>
        </w:tc>
        <w:tc>
          <w:tcPr>
            <w:tcW w:w="360" w:type="dxa"/>
            <w:vAlign w:val="bottom"/>
            <w:tcBorders>
              <w:top w:val="single" w:sz="8" w:color="0000FF"/>
            </w:tcBorders>
            <w:gridSpan w:val="4"/>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4.7</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6"/>
              </w:rPr>
            </w:pPr>
            <w:hyperlink r:id="rId168">
              <w:r>
                <w:rPr>
                  <w:rFonts w:ascii="Arial" w:cs="Arial" w:eastAsia="Arial" w:hAnsi="Arial"/>
                  <w:sz w:val="14"/>
                  <w:szCs w:val="14"/>
                  <w:color w:val="0000FF"/>
                  <w:w w:val="96"/>
                </w:rPr>
                <w:t>Twenty-Third Supplemental Indenture (4.30% Senior Notes due 2043) dated December 10, 2012, by and among Plains All American Pipeline, L.P., PAA Finance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9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68">
              <w:r>
                <w:rPr>
                  <w:rFonts w:ascii="Arial" w:cs="Arial" w:eastAsia="Arial" w:hAnsi="Arial"/>
                  <w:sz w:val="13"/>
                  <w:szCs w:val="13"/>
                  <w:color w:val="0000FF"/>
                  <w:w w:val="99"/>
                </w:rPr>
                <w:t>Corp. and U.S. Bank National Association, as trustee (incorporated by reference to Exhibit 4.3 to our Current Report on Form 8-K filed December 12, 2012).</w:t>
              </w:r>
            </w:hyperlink>
          </w:p>
        </w:tc>
        <w:tc>
          <w:tcPr>
            <w:tcW w:w="260" w:type="dxa"/>
            <w:vAlign w:val="bottom"/>
            <w:tcBorders>
              <w:top w:val="single" w:sz="8" w:color="0000FF"/>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4.8</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3"/>
              </w:rPr>
            </w:pPr>
            <w:hyperlink r:id="rId169">
              <w:r>
                <w:rPr>
                  <w:rFonts w:ascii="Arial" w:cs="Arial" w:eastAsia="Arial" w:hAnsi="Arial"/>
                  <w:sz w:val="14"/>
                  <w:szCs w:val="14"/>
                  <w:color w:val="0000FF"/>
                  <w:w w:val="93"/>
                </w:rPr>
                <w:t>Twenty-Fourth Supplemental Indenture (3.85% Senior Notes due 2023) dated August 15, 2013, by and among Plains All American Pipeline, L.P., PAA Finance Corp.</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2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and U.S. Bank National Association, as trustee (incorporated by reference to Exhibit 4.1 to our Current Report on Form 8-K filed August 15, 2013).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4.9</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4"/>
              </w:rPr>
            </w:pPr>
            <w:hyperlink r:id="rId170">
              <w:r>
                <w:rPr>
                  <w:rFonts w:ascii="Arial" w:cs="Arial" w:eastAsia="Arial" w:hAnsi="Arial"/>
                  <w:sz w:val="14"/>
                  <w:szCs w:val="14"/>
                  <w:color w:val="0000FF"/>
                  <w:w w:val="94"/>
                </w:rPr>
                <w:t>Twenty-Fifth Supplemental Indenture (4.70% Senior Notes due 2044) dated April 23, 2014, by and among Plains All American Pipeline, L.P., PAA Finance Corp. and</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4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U.S. Bank National Association, as trustee (incorporated by reference to Exhibit 4.1 to our Current Report on Form 8-K filed April 29, 2014).</w:t>
              </w:r>
            </w:hyperlink>
          </w:p>
        </w:tc>
        <w:tc>
          <w:tcPr>
            <w:tcW w:w="14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4.10</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3"/>
              </w:rPr>
            </w:pPr>
            <w:hyperlink r:id="rId171">
              <w:r>
                <w:rPr>
                  <w:rFonts w:ascii="Arial" w:cs="Arial" w:eastAsia="Arial" w:hAnsi="Arial"/>
                  <w:sz w:val="14"/>
                  <w:szCs w:val="14"/>
                  <w:color w:val="0000FF"/>
                  <w:w w:val="93"/>
                </w:rPr>
                <w:t>Twenty-Sixth Supplemental Indenture (3.60% Senior Notes due 2024) dated September 9, 2014, by and among Plains All American Pipeline, L.P., PAA Finance Corp.</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58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71">
              <w:r>
                <w:rPr>
                  <w:rFonts w:ascii="Arial" w:cs="Arial" w:eastAsia="Arial" w:hAnsi="Arial"/>
                  <w:sz w:val="13"/>
                  <w:szCs w:val="13"/>
                  <w:color w:val="0000FF"/>
                  <w:w w:val="99"/>
                </w:rPr>
                <w:t>and U.S. Bank National Association, as trustee (incorporated by reference to Exhibit 4.1 to our Current Report on Form 8-K filed September 11, 2014).</w:t>
              </w:r>
            </w:hyperlink>
          </w:p>
        </w:tc>
        <w:tc>
          <w:tcPr>
            <w:tcW w:w="9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4.11</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6"/>
              </w:rPr>
            </w:pPr>
            <w:hyperlink r:id="rId172">
              <w:r>
                <w:rPr>
                  <w:rFonts w:ascii="Arial" w:cs="Arial" w:eastAsia="Arial" w:hAnsi="Arial"/>
                  <w:sz w:val="14"/>
                  <w:szCs w:val="14"/>
                  <w:color w:val="0000FF"/>
                  <w:w w:val="96"/>
                </w:rPr>
                <w:t>Twenty-Eighth Supplemental Indenture (4.90% Senior Notes due 2045) dated December 9, 2014, by and among Plains All American Pipeline, L.P., PAA Finance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16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Corp. and U.S. Bank National Association, as trustee (incorporated by reference to Exhibit 4.3 to our Current Report on Form 8-K filed December 11, 2014).</w:t>
              </w:r>
            </w:hyperlink>
          </w:p>
        </w:tc>
        <w:tc>
          <w:tcPr>
            <w:tcW w:w="10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4.12</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4"/>
              </w:rPr>
            </w:pPr>
            <w:hyperlink r:id="rId173">
              <w:r>
                <w:rPr>
                  <w:rFonts w:ascii="Arial" w:cs="Arial" w:eastAsia="Arial" w:hAnsi="Arial"/>
                  <w:sz w:val="14"/>
                  <w:szCs w:val="14"/>
                  <w:color w:val="0000FF"/>
                  <w:w w:val="94"/>
                </w:rPr>
                <w:t>Twenty-Ninth Supplemental Indenture (4.65% Senior Notes due 2025) dated August 24, 2015, by and among Plains All American Pipeline, L.P., PAA Finance Corp.</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36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and U.S. Bank National Association, as trustee (incorporated by reference to Exhibit 4.1 to our Current Report on Form 8-K filed August 26, 2015).</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4.13</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3"/>
              </w:rPr>
            </w:pPr>
            <w:hyperlink r:id="rId174">
              <w:r>
                <w:rPr>
                  <w:rFonts w:ascii="Arial" w:cs="Arial" w:eastAsia="Arial" w:hAnsi="Arial"/>
                  <w:sz w:val="14"/>
                  <w:szCs w:val="14"/>
                  <w:color w:val="0000FF"/>
                  <w:w w:val="93"/>
                </w:rPr>
                <w:t>Thirtieth Supplemental Indenture (4.50% Senior Notes due 2026) dated November 22, 2016, by and among Plains All American Pipeline, L.P., PAA Finance Corp. and</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38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74">
              <w:r>
                <w:rPr>
                  <w:rFonts w:ascii="Arial" w:cs="Arial" w:eastAsia="Arial" w:hAnsi="Arial"/>
                  <w:sz w:val="13"/>
                  <w:szCs w:val="13"/>
                  <w:color w:val="0000FF"/>
                  <w:w w:val="99"/>
                </w:rPr>
                <w:t>U.S. Bank National Association, as trustee (incorporated by reference to Exhibit 4.1 to our Current Report on Form 8-K filed November 29, 2016).</w:t>
              </w:r>
            </w:hyperlink>
          </w:p>
        </w:tc>
        <w:tc>
          <w:tcPr>
            <w:tcW w:w="120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4.14</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3"/>
              </w:rPr>
            </w:pPr>
            <w:hyperlink r:id="rId175">
              <w:r>
                <w:rPr>
                  <w:rFonts w:ascii="Arial" w:cs="Arial" w:eastAsia="Arial" w:hAnsi="Arial"/>
                  <w:sz w:val="14"/>
                  <w:szCs w:val="14"/>
                  <w:color w:val="0000FF"/>
                  <w:w w:val="93"/>
                </w:rPr>
                <w:t>Thirty-First Supplemental Indenture (3.55% Senior Notes due 2029) dated September 16, 2019, by and among Plains All American Pipeline, L.P., PAA Finance Corp.</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58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75">
              <w:r>
                <w:rPr>
                  <w:rFonts w:ascii="Arial" w:cs="Arial" w:eastAsia="Arial" w:hAnsi="Arial"/>
                  <w:sz w:val="13"/>
                  <w:szCs w:val="13"/>
                  <w:color w:val="0000FF"/>
                  <w:w w:val="99"/>
                </w:rPr>
                <w:t>and U.S. Bank National Association, as trustee (incorporated by reference to Exhibit 4.1 to our Current Report on Form 8-K filed September 17, 2019).</w:t>
              </w:r>
            </w:hyperlink>
          </w:p>
        </w:tc>
        <w:tc>
          <w:tcPr>
            <w:tcW w:w="86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4.15</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2"/>
              </w:rPr>
            </w:pPr>
            <w:hyperlink r:id="rId176">
              <w:r>
                <w:rPr>
                  <w:rFonts w:ascii="Arial" w:cs="Arial" w:eastAsia="Arial" w:hAnsi="Arial"/>
                  <w:sz w:val="14"/>
                  <w:szCs w:val="14"/>
                  <w:color w:val="0000FF"/>
                  <w:w w:val="92"/>
                </w:rPr>
                <w:t>Thirty-Second Supplemental Indenture (3.80% Senior Notes due 2030) dated June 11, 2020, by and among Plains All American Pipeline, L.P., PAA Finance Corp. and</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52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U.S. Bank National Association, as trustee (incorporated by reference to Exhibit 4.1 to our Current Report on Form 8-K filed June 11,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4.16</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2"/>
              </w:rPr>
            </w:pPr>
            <w:hyperlink r:id="rId177">
              <w:r>
                <w:rPr>
                  <w:rFonts w:ascii="Arial" w:cs="Arial" w:eastAsia="Arial" w:hAnsi="Arial"/>
                  <w:sz w:val="14"/>
                  <w:szCs w:val="14"/>
                  <w:color w:val="0000FF"/>
                  <w:w w:val="92"/>
                </w:rPr>
                <w:t>Registration Rights Agreement dated September 3, 2009 by and between Plains All American Pipeline, L.P. and Vulcan Gas Storage LLC (incorporated by reference to</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9"/>
              </w:rPr>
            </w:pPr>
            <w:hyperlink r:id="rId177">
              <w:r>
                <w:rPr>
                  <w:rFonts w:ascii="Arial" w:cs="Arial" w:eastAsia="Arial" w:hAnsi="Arial"/>
                  <w:sz w:val="13"/>
                  <w:szCs w:val="13"/>
                  <w:color w:val="0000FF"/>
                  <w:w w:val="99"/>
                </w:rPr>
                <w:t>Exhibit 4.1 to our Registration Statement on Form S-3, File No. 333-162477).</w:t>
              </w:r>
            </w:hyperlink>
          </w:p>
        </w:tc>
        <w:tc>
          <w:tcPr>
            <w:tcW w:w="518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4.17</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2"/>
              </w:rPr>
            </w:pPr>
            <w:hyperlink r:id="rId178">
              <w:r>
                <w:rPr>
                  <w:rFonts w:ascii="Arial" w:cs="Arial" w:eastAsia="Arial" w:hAnsi="Arial"/>
                  <w:sz w:val="14"/>
                  <w:szCs w:val="14"/>
                  <w:color w:val="0000FF"/>
                  <w:w w:val="92"/>
                </w:rPr>
                <w:t>Registration Rights Agreement dated as of January 28, 2016 among Plains All American Pipeline, L.P. and the Purchasers named therein (incorporated by reference to</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Exhibit 4.1 to our Current Report on Form 8-K filed February 2, 2016).</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4.18</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3"/>
              </w:rPr>
            </w:pPr>
            <w:hyperlink r:id="rId179">
              <w:r>
                <w:rPr>
                  <w:rFonts w:ascii="Arial" w:cs="Arial" w:eastAsia="Arial" w:hAnsi="Arial"/>
                  <w:sz w:val="14"/>
                  <w:szCs w:val="14"/>
                  <w:color w:val="0000FF"/>
                  <w:w w:val="93"/>
                </w:rPr>
                <w:t>Registration Rights Agreement by and among Plains All American Pipeline, L.P. and the Holders defined therein, dated November 15, 2016 (incorporated by reference</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54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to Exhibit 10.4 to our Current Report on Form 8-K filed November 21, 2016).</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4.19 †</w:t>
            </w:r>
          </w:p>
        </w:tc>
        <w:tc>
          <w:tcPr>
            <w:tcW w:w="880" w:type="dxa"/>
            <w:vAlign w:val="bottom"/>
          </w:tcPr>
          <w:p>
            <w:pPr>
              <w:ind w:left="460"/>
              <w:spacing w:after="0"/>
              <w:rPr>
                <w:sz w:val="20"/>
                <w:szCs w:val="20"/>
                <w:color w:val="auto"/>
              </w:rPr>
            </w:pPr>
            <w:r>
              <w:rPr>
                <w:rFonts w:ascii="Arial" w:cs="Arial" w:eastAsia="Arial" w:hAnsi="Arial"/>
                <w:sz w:val="14"/>
                <w:szCs w:val="14"/>
                <w:color w:val="auto"/>
              </w:rPr>
              <w:t>—</w:t>
            </w:r>
          </w:p>
        </w:tc>
        <w:tc>
          <w:tcPr>
            <w:tcW w:w="4420" w:type="dxa"/>
            <w:vAlign w:val="bottom"/>
            <w:tcBorders>
              <w:top w:val="single" w:sz="8" w:color="0000FF"/>
            </w:tcBorders>
            <w:gridSpan w:val="3"/>
          </w:tcPr>
          <w:p>
            <w:pPr>
              <w:spacing w:after="0"/>
              <w:rPr>
                <w:rFonts w:ascii="Arial" w:cs="Arial" w:eastAsia="Arial" w:hAnsi="Arial"/>
                <w:sz w:val="14"/>
                <w:szCs w:val="14"/>
                <w:color w:val="0000FF"/>
              </w:rPr>
            </w:pPr>
            <w:hyperlink w:anchor="page213">
              <w:r>
                <w:rPr>
                  <w:rFonts w:ascii="Arial" w:cs="Arial" w:eastAsia="Arial" w:hAnsi="Arial"/>
                  <w:sz w:val="14"/>
                  <w:szCs w:val="14"/>
                  <w:color w:val="0000FF"/>
                </w:rPr>
                <w:t>Description of Our Securities.</w:t>
              </w:r>
            </w:hyperlink>
          </w:p>
        </w:tc>
        <w:tc>
          <w:tcPr>
            <w:tcW w:w="5200" w:type="dxa"/>
            <w:vAlign w:val="bottom"/>
            <w:gridSpan w:val="23"/>
          </w:tcPr>
          <w:p>
            <w:pPr>
              <w:spacing w:after="0"/>
              <w:rPr>
                <w:sz w:val="21"/>
                <w:szCs w:val="21"/>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880" w:type="dxa"/>
            <w:vAlign w:val="bottom"/>
          </w:tcPr>
          <w:p>
            <w:pPr>
              <w:ind w:left="540"/>
              <w:spacing w:after="0"/>
              <w:rPr>
                <w:sz w:val="20"/>
                <w:szCs w:val="20"/>
                <w:color w:val="auto"/>
              </w:rPr>
            </w:pPr>
            <w:r>
              <w:rPr>
                <w:rFonts w:ascii="Arial" w:cs="Arial" w:eastAsia="Arial" w:hAnsi="Arial"/>
                <w:sz w:val="14"/>
                <w:szCs w:val="14"/>
                <w:color w:val="auto"/>
              </w:rPr>
              <w:t>—</w:t>
            </w:r>
          </w:p>
        </w:tc>
        <w:tc>
          <w:tcPr>
            <w:tcW w:w="9620" w:type="dxa"/>
            <w:vAlign w:val="bottom"/>
            <w:gridSpan w:val="26"/>
          </w:tcPr>
          <w:p>
            <w:pPr>
              <w:spacing w:after="0"/>
              <w:rPr>
                <w:rFonts w:ascii="Arial" w:cs="Arial" w:eastAsia="Arial" w:hAnsi="Arial"/>
                <w:sz w:val="14"/>
                <w:szCs w:val="14"/>
                <w:color w:val="0000FF"/>
                <w:w w:val="95"/>
              </w:rPr>
            </w:pPr>
            <w:hyperlink r:id="rId180">
              <w:r>
                <w:rPr>
                  <w:rFonts w:ascii="Arial" w:cs="Arial" w:eastAsia="Arial" w:hAnsi="Arial"/>
                  <w:sz w:val="14"/>
                  <w:szCs w:val="14"/>
                  <w:color w:val="0000FF"/>
                  <w:w w:val="95"/>
                </w:rPr>
                <w:t>Credit Agreement dated as of August 20, 2021, among Plains All American Pipeline, L.P. and Plains Midstream Canada ULC, as Borrowers; certain subsidiaries of</w:t>
              </w:r>
            </w:hyperlink>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60" w:type="dxa"/>
            <w:vAlign w:val="bottom"/>
            <w:gridSpan w:val="4"/>
            <w:shd w:val="clear" w:color="auto" w:fill="0000FF"/>
          </w:tcPr>
          <w:p>
            <w:pPr>
              <w:spacing w:after="0" w:line="20" w:lineRule="exact"/>
              <w:rPr>
                <w:sz w:val="1"/>
                <w:szCs w:val="1"/>
                <w:color w:val="auto"/>
              </w:rPr>
            </w:pPr>
          </w:p>
        </w:tc>
        <w:tc>
          <w:tcPr>
            <w:tcW w:w="3500" w:type="dxa"/>
            <w:vAlign w:val="bottom"/>
            <w:gridSpan w:val="9"/>
            <w:shd w:val="clear" w:color="auto" w:fill="0000FF"/>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20" w:type="dxa"/>
            <w:vAlign w:val="bottom"/>
            <w:gridSpan w:val="26"/>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Plains All American Pipeline, L.P. from time to time party thereto, as Designated Borrowers; Bank of America, N.A., as Administrative Agent and Swing Line Lender;</w:t>
              </w:r>
            </w:hyperlink>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56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Bank of America, N.A., Citibank, N.A., JPMorgan Chase Bank, N.A. and Wells Fargo Bank, National Association, as L/C Issuers; and the other Lenders party thereto</w:t>
              </w:r>
            </w:hyperlink>
          </w:p>
        </w:tc>
        <w:tc>
          <w:tcPr>
            <w:tcW w:w="60" w:type="dxa"/>
            <w:vAlign w:val="bottom"/>
            <w:gridSpan w:val="3"/>
          </w:tcPr>
          <w:p>
            <w:pPr>
              <w:spacing w:after="0"/>
              <w:rPr>
                <w:sz w:val="10"/>
                <w:szCs w:val="10"/>
                <w:color w:val="auto"/>
              </w:rPr>
            </w:pPr>
          </w:p>
        </w:tc>
      </w:tr>
      <w:tr>
        <w:trPr>
          <w:trHeight w:val="118"/>
        </w:trPr>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(incorporated by reference to Exhibit 10.1 to our Current Report on Form 8-K filed August 26, 2021).</w:t>
              </w:r>
            </w:hyperlink>
          </w:p>
        </w:tc>
        <w:tc>
          <w:tcPr>
            <w:tcW w:w="180" w:type="dxa"/>
            <w:vAlign w:val="bottom"/>
            <w:gridSpan w:val="9"/>
          </w:tcPr>
          <w:p>
            <w:pPr>
              <w:spacing w:after="0"/>
              <w:rPr>
                <w:sz w:val="10"/>
                <w:szCs w:val="10"/>
                <w:color w:val="auto"/>
              </w:rPr>
            </w:pPr>
          </w:p>
        </w:tc>
      </w:tr>
      <w:tr>
        <w:trPr>
          <w:trHeight w:val="690"/>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40" w:type="dxa"/>
            <w:vAlign w:val="bottom"/>
            <w:tcBorders>
              <w:top w:val="single" w:sz="8" w:color="0000FF"/>
            </w:tcBorders>
            <w:gridSpan w:val="2"/>
          </w:tcPr>
          <w:p>
            <w:pPr>
              <w:ind w:left="3820"/>
              <w:spacing w:after="0"/>
              <w:rPr>
                <w:sz w:val="20"/>
                <w:szCs w:val="20"/>
                <w:color w:val="auto"/>
              </w:rPr>
            </w:pPr>
            <w:r>
              <w:rPr>
                <w:rFonts w:ascii="Arial" w:cs="Arial" w:eastAsia="Arial" w:hAnsi="Arial"/>
                <w:sz w:val="14"/>
                <w:szCs w:val="14"/>
                <w:color w:val="auto"/>
                <w:w w:val="85"/>
              </w:rPr>
              <w:t>107</w:t>
            </w:r>
          </w:p>
        </w:tc>
        <w:tc>
          <w:tcPr>
            <w:tcW w:w="38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7" w:name="page108"/>
    <w:bookmarkEnd w:id="10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color w:val="auto"/>
              </w:rPr>
              <w:t>10.2</w:t>
            </w:r>
          </w:p>
        </w:tc>
        <w:tc>
          <w:tcPr>
            <w:tcW w:w="800" w:type="dxa"/>
            <w:vAlign w:val="bottom"/>
          </w:tcPr>
          <w:p>
            <w:pPr>
              <w:ind w:left="46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2"/>
              </w:rPr>
            </w:pPr>
            <w:hyperlink r:id="rId183">
              <w:r>
                <w:rPr>
                  <w:rFonts w:ascii="Arial" w:cs="Arial" w:eastAsia="Arial" w:hAnsi="Arial"/>
                  <w:sz w:val="14"/>
                  <w:szCs w:val="14"/>
                  <w:color w:val="0000FF"/>
                  <w:w w:val="92"/>
                </w:rPr>
                <w:t>Fourth Amended and Restated Credit Agreement dated as of August 20, 2021, among Plains Marketing, L.P. and Plains Midstream Canada ULC, as Borrowers; Plains</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60" w:type="dxa"/>
            <w:vAlign w:val="bottom"/>
            <w:tcBorders>
              <w:top w:val="single" w:sz="8" w:color="0000FF"/>
              <w:bottom w:val="single" w:sz="8" w:color="0000FF"/>
            </w:tcBorders>
            <w:gridSpan w:val="26"/>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All American Pipeline, L.P., as guarantor; Bank of America, N.A., as Administrative Agent and Swing Line Lender; Bank of America, N.A., Citibank, N.A., JPMorgan</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540" w:type="dxa"/>
            <w:vAlign w:val="bottom"/>
            <w:gridSpan w:val="30"/>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Chase Bank, N.A. and Wells Fargo Bank, National Association, as L/C Issuers; and the other Lenders party thereto (incorporated by reference to Exhibit 10.2 to our</w:t>
              </w:r>
            </w:hyperlink>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30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Current Report on Form 8-K filed August 26,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10.3</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3"/>
              </w:rPr>
            </w:pPr>
            <w:hyperlink r:id="rId184">
              <w:r>
                <w:rPr>
                  <w:rFonts w:ascii="Arial" w:cs="Arial" w:eastAsia="Arial" w:hAnsi="Arial"/>
                  <w:sz w:val="14"/>
                  <w:szCs w:val="14"/>
                  <w:color w:val="0000FF"/>
                  <w:w w:val="93"/>
                </w:rPr>
                <w:t>Contribution and Assumption Agreement dated December 28, 2007, by and between Plains AAP, L.P. and PAA GP LLC (incorporated by reference to Exhibit 10.2 to</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2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our Current Report on Form 8-K filed January 4, 2008).</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10.4</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5"/>
              </w:rPr>
            </w:pPr>
            <w:hyperlink r:id="rId185">
              <w:r>
                <w:rPr>
                  <w:rFonts w:ascii="Arial" w:cs="Arial" w:eastAsia="Arial" w:hAnsi="Arial"/>
                  <w:sz w:val="14"/>
                  <w:szCs w:val="14"/>
                  <w:color w:val="0000FF"/>
                  <w:w w:val="95"/>
                </w:rPr>
                <w:t>Omnibus Agreement by and among PAA GP Holdings LLC, Plains GP Holdings, L.P., Plains All American GP LLC, Plains AAP, L.P., PAA GP LLC, and Plains All</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8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85">
              <w:r>
                <w:rPr>
                  <w:rFonts w:ascii="Arial" w:cs="Arial" w:eastAsia="Arial" w:hAnsi="Arial"/>
                  <w:sz w:val="13"/>
                  <w:szCs w:val="13"/>
                  <w:color w:val="0000FF"/>
                  <w:w w:val="99"/>
                </w:rPr>
                <w:t>American Pipeline, L.P., dated November 15, 2016 (incorporated by reference to Exhibit 10.1 to our Current Report on Form 8-K filed November 21, 2016).</w:t>
              </w:r>
            </w:hyperlink>
          </w:p>
        </w:tc>
        <w:tc>
          <w:tcPr>
            <w:tcW w:w="52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10.5</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4"/>
              </w:rPr>
            </w:pPr>
            <w:hyperlink r:id="rId186">
              <w:r>
                <w:rPr>
                  <w:rFonts w:ascii="Arial" w:cs="Arial" w:eastAsia="Arial" w:hAnsi="Arial"/>
                  <w:sz w:val="14"/>
                  <w:szCs w:val="14"/>
                  <w:color w:val="0000FF"/>
                  <w:w w:val="94"/>
                </w:rPr>
                <w:t>Amended and Restated Administrative Agreement by and among PAA GP Holdings LLC, Plains GP Holdings, L.P., Plains All American GP LLC, Plains AAP, L.P.,</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38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PAA GP LLC, and Plains All American Pipeline, L.P., dated November 15, 2016 (incorporated by reference to Exhibit 10.2 to our Current Report on Form 8-K filed</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186">
              <w:r>
                <w:rPr>
                  <w:rFonts w:ascii="Arial" w:cs="Arial" w:eastAsia="Arial" w:hAnsi="Arial"/>
                  <w:sz w:val="13"/>
                  <w:szCs w:val="13"/>
                  <w:color w:val="0000FF"/>
                  <w:w w:val="98"/>
                </w:rPr>
                <w:t>November 21, 2016).</w:t>
              </w:r>
            </w:hyperlink>
          </w:p>
        </w:tc>
        <w:tc>
          <w:tcPr>
            <w:tcW w:w="812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10.6**</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2"/>
              </w:rPr>
            </w:pPr>
            <w:hyperlink r:id="rId187">
              <w:r>
                <w:rPr>
                  <w:rFonts w:ascii="Arial" w:cs="Arial" w:eastAsia="Arial" w:hAnsi="Arial"/>
                  <w:sz w:val="14"/>
                  <w:szCs w:val="14"/>
                  <w:color w:val="0000FF"/>
                  <w:w w:val="92"/>
                </w:rPr>
                <w:t>Amended and Restated Employment Agreement between Plains All American GP LLC and Greg L. Armstrong dated as of June 30, 2001 (incorporated by reference to</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52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87">
              <w:r>
                <w:rPr>
                  <w:rFonts w:ascii="Arial" w:cs="Arial" w:eastAsia="Arial" w:hAnsi="Arial"/>
                  <w:sz w:val="13"/>
                  <w:szCs w:val="13"/>
                  <w:color w:val="0000FF"/>
                </w:rPr>
                <w:t>Exhibit 10.1 to our Quarterly Report on Form 10-Q for the quarter ended September 30, 2001).</w:t>
              </w:r>
            </w:hyperlink>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10.7**</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8"/>
              </w:rPr>
            </w:pPr>
            <w:hyperlink r:id="rId188">
              <w:r>
                <w:rPr>
                  <w:rFonts w:ascii="Arial" w:cs="Arial" w:eastAsia="Arial" w:hAnsi="Arial"/>
                  <w:sz w:val="14"/>
                  <w:szCs w:val="14"/>
                  <w:color w:val="0000FF"/>
                  <w:w w:val="98"/>
                </w:rPr>
                <w:t>First Amendment to Amended and Restated Employment Agreement dated December 4, 2008 between Plains All American GP LLC and Greg L. Armstrong</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4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88">
              <w:r>
                <w:rPr>
                  <w:rFonts w:ascii="Arial" w:cs="Arial" w:eastAsia="Arial" w:hAnsi="Arial"/>
                  <w:sz w:val="13"/>
                  <w:szCs w:val="13"/>
                  <w:color w:val="0000FF"/>
                  <w:w w:val="99"/>
                </w:rPr>
                <w:t>(incorporated by reference to Exhibit 10.49 to our Annual Report on Form 10-K for the year ended December 31, 2008).</w:t>
              </w:r>
            </w:hyperlink>
          </w:p>
        </w:tc>
        <w:tc>
          <w:tcPr>
            <w:tcW w:w="2080" w:type="dxa"/>
            <w:vAlign w:val="bottom"/>
            <w:tcBorders>
              <w:top w:val="single" w:sz="8" w:color="0000FF"/>
            </w:tcBorders>
            <w:gridSpan w:val="3"/>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10.8**</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4"/>
              </w:rPr>
            </w:pPr>
            <w:hyperlink r:id="rId189">
              <w:r>
                <w:rPr>
                  <w:rFonts w:ascii="Arial" w:cs="Arial" w:eastAsia="Arial" w:hAnsi="Arial"/>
                  <w:sz w:val="14"/>
                  <w:szCs w:val="14"/>
                  <w:color w:val="0000FF"/>
                  <w:w w:val="94"/>
                </w:rPr>
                <w:t>Waiver Agreement dated as of December 23, 2010 between Plains All American GP LLC and Greg L. Armstrong (incorporated by reference to Exhibit 10.31 to our</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89">
              <w:r>
                <w:rPr>
                  <w:rFonts w:ascii="Arial" w:cs="Arial" w:eastAsia="Arial" w:hAnsi="Arial"/>
                  <w:sz w:val="13"/>
                  <w:szCs w:val="13"/>
                  <w:color w:val="0000FF"/>
                  <w:w w:val="98"/>
                </w:rPr>
                <w:t>Annual Report on Form 10-K for the year ended December 31, 2010).</w:t>
              </w:r>
            </w:hyperlink>
          </w:p>
        </w:tc>
        <w:tc>
          <w:tcPr>
            <w:tcW w:w="534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10.9**</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7"/>
              </w:rPr>
            </w:pPr>
            <w:hyperlink r:id="rId190">
              <w:r>
                <w:rPr>
                  <w:rFonts w:ascii="Arial" w:cs="Arial" w:eastAsia="Arial" w:hAnsi="Arial"/>
                  <w:sz w:val="14"/>
                  <w:szCs w:val="14"/>
                  <w:color w:val="0000FF"/>
                  <w:w w:val="97"/>
                </w:rPr>
                <w:t>Waiver Agreement dated October 21, 2013 to the Amended and Restated Employment Agreement dated June 30, 2001 of Greg L. Armstrong (incorporated by</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98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90">
              <w:r>
                <w:rPr>
                  <w:rFonts w:ascii="Arial" w:cs="Arial" w:eastAsia="Arial" w:hAnsi="Arial"/>
                  <w:sz w:val="13"/>
                  <w:szCs w:val="13"/>
                  <w:color w:val="0000FF"/>
                </w:rPr>
                <w:t>reference to Exhibit 10.2 to our Current Report on Form 8-K filed October 25, 2013).</w:t>
              </w:r>
            </w:hyperlink>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10.10**</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3"/>
              </w:rPr>
            </w:pPr>
            <w:hyperlink r:id="rId191">
              <w:r>
                <w:rPr>
                  <w:rFonts w:ascii="Arial" w:cs="Arial" w:eastAsia="Arial" w:hAnsi="Arial"/>
                  <w:sz w:val="14"/>
                  <w:szCs w:val="14"/>
                  <w:color w:val="0000FF"/>
                  <w:w w:val="93"/>
                </w:rPr>
                <w:t>Second Amended and Restated Employment Agreement dated effective October 1, 2018 between Plains All American GP LLC and Greg L. Armstrong (incorporated</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8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8"/>
              </w:rPr>
            </w:pPr>
            <w:hyperlink r:id="rId191">
              <w:r>
                <w:rPr>
                  <w:rFonts w:ascii="Arial" w:cs="Arial" w:eastAsia="Arial" w:hAnsi="Arial"/>
                  <w:sz w:val="13"/>
                  <w:szCs w:val="13"/>
                  <w:color w:val="0000FF"/>
                  <w:w w:val="98"/>
                </w:rPr>
                <w:t>by reference to Exhibit 10.6 to our Quarterly Report on Form 10-Q for the quarter ended September 30, 2018).</w:t>
              </w:r>
            </w:hyperlink>
          </w:p>
        </w:tc>
        <w:tc>
          <w:tcPr>
            <w:tcW w:w="316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10.11**</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3"/>
              </w:rPr>
            </w:pPr>
            <w:hyperlink r:id="rId192">
              <w:r>
                <w:rPr>
                  <w:rFonts w:ascii="Arial" w:cs="Arial" w:eastAsia="Arial" w:hAnsi="Arial"/>
                  <w:sz w:val="14"/>
                  <w:szCs w:val="14"/>
                  <w:color w:val="0000FF"/>
                  <w:w w:val="93"/>
                </w:rPr>
                <w:t>Third Amended and Restated Employment Agreement dated effective January 1, 2020 between Plains All American GP LLC and Greg L. Armstrong (incorporated by</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92">
              <w:r>
                <w:rPr>
                  <w:rFonts w:ascii="Arial" w:cs="Arial" w:eastAsia="Arial" w:hAnsi="Arial"/>
                  <w:sz w:val="13"/>
                  <w:szCs w:val="13"/>
                  <w:color w:val="0000FF"/>
                  <w:w w:val="99"/>
                </w:rPr>
                <w:t>reference to Exhibit 10.31 to our Annual Report on Form 10-K for the year ended December 31, 2019.</w:t>
              </w:r>
            </w:hyperlink>
          </w:p>
        </w:tc>
        <w:tc>
          <w:tcPr>
            <w:tcW w:w="36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10.12**†</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5"/>
              </w:rPr>
            </w:pPr>
            <w:hyperlink w:anchor="page221">
              <w:r>
                <w:rPr>
                  <w:rFonts w:ascii="Arial" w:cs="Arial" w:eastAsia="Arial" w:hAnsi="Arial"/>
                  <w:sz w:val="14"/>
                  <w:szCs w:val="14"/>
                  <w:color w:val="0000FF"/>
                  <w:w w:val="95"/>
                </w:rPr>
                <w:t>Amendment No. 1 to Third Amended and Restated Employment Agreement dated effective December 31, 2021 between Plains All American GP LLC and Greg L.</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w:anchor="page221">
              <w:r>
                <w:rPr>
                  <w:rFonts w:ascii="Arial" w:cs="Arial" w:eastAsia="Arial" w:hAnsi="Arial"/>
                  <w:sz w:val="13"/>
                  <w:szCs w:val="13"/>
                  <w:color w:val="0000FF"/>
                </w:rPr>
                <w:t>Armstrong.</w:t>
              </w:r>
            </w:hyperlink>
          </w:p>
        </w:tc>
        <w:tc>
          <w:tcPr>
            <w:tcW w:w="8620" w:type="dxa"/>
            <w:vAlign w:val="bottom"/>
            <w:tcBorders>
              <w:top w:val="single" w:sz="8" w:color="0000FF"/>
            </w:tcBorders>
            <w:gridSpan w:val="16"/>
          </w:tcPr>
          <w:p>
            <w:pPr>
              <w:spacing w:after="0"/>
              <w:rPr>
                <w:sz w:val="10"/>
                <w:szCs w:val="10"/>
                <w:color w:val="auto"/>
              </w:rPr>
            </w:pPr>
          </w:p>
        </w:tc>
        <w:tc>
          <w:tcPr>
            <w:tcW w:w="80" w:type="dxa"/>
            <w:vAlign w:val="bottom"/>
            <w:gridSpan w:val="4"/>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10.13**</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3"/>
              </w:rPr>
            </w:pPr>
            <w:hyperlink r:id="rId193">
              <w:r>
                <w:rPr>
                  <w:rFonts w:ascii="Arial" w:cs="Arial" w:eastAsia="Arial" w:hAnsi="Arial"/>
                  <w:sz w:val="14"/>
                  <w:szCs w:val="14"/>
                  <w:color w:val="0000FF"/>
                  <w:w w:val="93"/>
                </w:rPr>
                <w:t>Amended and Restated Employment Agreement between Plains All American GP LLC and Harry N. Pefanis dated as of June 30, 2001 (incorporated by reference to</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36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Exhibit 10.2 to our Quarterly Report on Form 10-Q for the quarter ended September 30, 2001).</w:t>
              </w:r>
            </w:hyperlink>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10.14**</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rPr>
            </w:pPr>
            <w:hyperlink r:id="rId194">
              <w:r>
                <w:rPr>
                  <w:rFonts w:ascii="Arial" w:cs="Arial" w:eastAsia="Arial" w:hAnsi="Arial"/>
                  <w:sz w:val="14"/>
                  <w:szCs w:val="14"/>
                  <w:color w:val="0000FF"/>
                </w:rPr>
                <w:t>First Amendment to Amended and Restated Employment Agreement dated December 4, 2008 between Plains All American GP LLC and Harry N. Pefanis</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4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94">
              <w:r>
                <w:rPr>
                  <w:rFonts w:ascii="Arial" w:cs="Arial" w:eastAsia="Arial" w:hAnsi="Arial"/>
                  <w:sz w:val="13"/>
                  <w:szCs w:val="13"/>
                  <w:color w:val="0000FF"/>
                  <w:w w:val="99"/>
                </w:rPr>
                <w:t>(incorporated by reference to Exhibit 10.50 to our Annual Report on Form 10-K for the year ended December 31, 2008).</w:t>
              </w:r>
            </w:hyperlink>
          </w:p>
        </w:tc>
        <w:tc>
          <w:tcPr>
            <w:tcW w:w="1940" w:type="dxa"/>
            <w:vAlign w:val="bottom"/>
            <w:tcBorders>
              <w:top w:val="single" w:sz="8" w:color="0000FF"/>
            </w:tcBorders>
          </w:tcPr>
          <w:p>
            <w:pPr>
              <w:spacing w:after="0"/>
              <w:rPr>
                <w:sz w:val="10"/>
                <w:szCs w:val="10"/>
                <w:color w:val="auto"/>
              </w:rPr>
            </w:pPr>
          </w:p>
        </w:tc>
        <w:tc>
          <w:tcPr>
            <w:tcW w:w="380" w:type="dxa"/>
            <w:vAlign w:val="bottom"/>
            <w:gridSpan w:val="4"/>
          </w:tcPr>
          <w:p>
            <w:pPr>
              <w:spacing w:after="0"/>
              <w:rPr>
                <w:sz w:val="10"/>
                <w:szCs w:val="10"/>
                <w:color w:val="auto"/>
              </w:rPr>
            </w:pPr>
          </w:p>
        </w:tc>
        <w:tc>
          <w:tcPr>
            <w:tcW w:w="340" w:type="dxa"/>
            <w:vAlign w:val="bottom"/>
            <w:gridSpan w:val="1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10.15**</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2"/>
              </w:rPr>
            </w:pPr>
            <w:hyperlink r:id="rId195">
              <w:r>
                <w:rPr>
                  <w:rFonts w:ascii="Arial" w:cs="Arial" w:eastAsia="Arial" w:hAnsi="Arial"/>
                  <w:sz w:val="14"/>
                  <w:szCs w:val="14"/>
                  <w:color w:val="0000FF"/>
                  <w:w w:val="92"/>
                </w:rPr>
                <w:t>Amendment No. 2 dated August 15, 2019 to Harry Pefanis Amended and Restated Employment Agreement (incorporated by reference to Exhibit 10.1 to our Quarterly</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50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95">
              <w:r>
                <w:rPr>
                  <w:rFonts w:ascii="Arial" w:cs="Arial" w:eastAsia="Arial" w:hAnsi="Arial"/>
                  <w:sz w:val="13"/>
                  <w:szCs w:val="13"/>
                  <w:color w:val="0000FF"/>
                </w:rPr>
                <w:t>Report on Form 10-Q for the quarter ended September 30, 2019).</w:t>
              </w:r>
            </w:hyperlink>
          </w:p>
        </w:tc>
        <w:tc>
          <w:tcPr>
            <w:tcW w:w="60" w:type="dxa"/>
            <w:vAlign w:val="bottom"/>
            <w:gridSpan w:val="3"/>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Arial" w:cs="Arial" w:eastAsia="Arial" w:hAnsi="Arial"/>
                <w:sz w:val="14"/>
                <w:szCs w:val="14"/>
                <w:color w:val="auto"/>
              </w:rPr>
              <w:t>10.16**</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560" w:type="dxa"/>
            <w:vAlign w:val="bottom"/>
            <w:gridSpan w:val="31"/>
          </w:tcPr>
          <w:p>
            <w:pPr>
              <w:spacing w:after="0"/>
              <w:rPr>
                <w:rFonts w:ascii="Arial" w:cs="Arial" w:eastAsia="Arial" w:hAnsi="Arial"/>
                <w:sz w:val="14"/>
                <w:szCs w:val="14"/>
                <w:color w:val="0000FF"/>
                <w:w w:val="96"/>
              </w:rPr>
            </w:pPr>
            <w:hyperlink r:id="rId196">
              <w:r>
                <w:rPr>
                  <w:rFonts w:ascii="Arial" w:cs="Arial" w:eastAsia="Arial" w:hAnsi="Arial"/>
                  <w:sz w:val="14"/>
                  <w:szCs w:val="14"/>
                  <w:color w:val="0000FF"/>
                  <w:w w:val="96"/>
                </w:rPr>
                <w:t>Waiver Agreement dated as of December 23, 2010 between Plains All American GP LLC and Harry N. Pefanis (incorporated by reference to Exhibit 10.32 to our</w:t>
              </w:r>
            </w:hyperlink>
          </w:p>
        </w:tc>
      </w:tr>
      <w:tr>
        <w:trPr>
          <w:trHeight w:val="118"/>
        </w:trPr>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96">
              <w:r>
                <w:rPr>
                  <w:rFonts w:ascii="Arial" w:cs="Arial" w:eastAsia="Arial" w:hAnsi="Arial"/>
                  <w:sz w:val="13"/>
                  <w:szCs w:val="13"/>
                  <w:color w:val="0000FF"/>
                  <w:w w:val="98"/>
                </w:rPr>
                <w:t>Annual Report on Form 10-K for the year ended December 31, 2010).</w:t>
              </w:r>
            </w:hyperlink>
          </w:p>
        </w:tc>
        <w:tc>
          <w:tcPr>
            <w:tcW w:w="5180" w:type="dxa"/>
            <w:vAlign w:val="bottom"/>
            <w:tcBorders>
              <w:top w:val="single" w:sz="8" w:color="0000FF"/>
            </w:tcBorders>
            <w:gridSpan w:val="10"/>
          </w:tcPr>
          <w:p>
            <w:pPr>
              <w:spacing w:after="0"/>
              <w:rPr>
                <w:sz w:val="10"/>
                <w:szCs w:val="10"/>
                <w:color w:val="auto"/>
              </w:rPr>
            </w:pPr>
          </w:p>
        </w:tc>
        <w:tc>
          <w:tcPr>
            <w:tcW w:w="400" w:type="dxa"/>
            <w:vAlign w:val="bottom"/>
            <w:gridSpan w:val="15"/>
          </w:tcPr>
          <w:p>
            <w:pPr>
              <w:spacing w:after="0"/>
              <w:rPr>
                <w:sz w:val="10"/>
                <w:szCs w:val="10"/>
                <w:color w:val="auto"/>
              </w:rPr>
            </w:pPr>
          </w:p>
        </w:tc>
      </w:tr>
      <w:tr>
        <w:trPr>
          <w:trHeight w:val="775"/>
        </w:trPr>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40" w:type="dxa"/>
            <w:vAlign w:val="bottom"/>
            <w:gridSpan w:val="7"/>
          </w:tcPr>
          <w:p>
            <w:pPr>
              <w:ind w:left="3820"/>
              <w:spacing w:after="0"/>
              <w:rPr>
                <w:sz w:val="20"/>
                <w:szCs w:val="20"/>
                <w:color w:val="auto"/>
              </w:rPr>
            </w:pPr>
            <w:r>
              <w:rPr>
                <w:rFonts w:ascii="Arial" w:cs="Arial" w:eastAsia="Arial" w:hAnsi="Arial"/>
                <w:sz w:val="14"/>
                <w:szCs w:val="14"/>
                <w:color w:val="auto"/>
              </w:rPr>
              <w:t>108</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8" w:name="page109"/>
    <w:bookmarkEnd w:id="10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10.17**</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2"/>
              </w:rPr>
            </w:pPr>
            <w:hyperlink r:id="rId199">
              <w:r>
                <w:rPr>
                  <w:rFonts w:ascii="Arial" w:cs="Arial" w:eastAsia="Arial" w:hAnsi="Arial"/>
                  <w:sz w:val="14"/>
                  <w:szCs w:val="14"/>
                  <w:color w:val="0000FF"/>
                  <w:w w:val="92"/>
                </w:rPr>
                <w:t>Waiver Agreement dated October 21, 2013 to the Amended and Restated Employment Agreement dated June 30, 2001 of Harry N. Pefanis (incorporated by reference</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to Exhibit 10.3 to our Current Report on Form 8-K filed October 25, 2013).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10.18**</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7"/>
              </w:rPr>
            </w:pPr>
            <w:hyperlink r:id="rId200">
              <w:r>
                <w:rPr>
                  <w:rFonts w:ascii="Arial" w:cs="Arial" w:eastAsia="Arial" w:hAnsi="Arial"/>
                  <w:sz w:val="14"/>
                  <w:szCs w:val="14"/>
                  <w:color w:val="0000FF"/>
                  <w:w w:val="97"/>
                </w:rPr>
                <w:t>Employment Agreement between Plains All American GP LLC and Willie Chiang dated July 10, 2015 (incorporated by reference to Exhibit 10.53 to our Annual</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14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Report on Form 10-K for the year ended December 31, 2015).</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10.19**</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3"/>
              </w:rPr>
            </w:pPr>
            <w:hyperlink r:id="rId201">
              <w:r>
                <w:rPr>
                  <w:rFonts w:ascii="Arial" w:cs="Arial" w:eastAsia="Arial" w:hAnsi="Arial"/>
                  <w:sz w:val="14"/>
                  <w:szCs w:val="14"/>
                  <w:color w:val="0000FF"/>
                  <w:w w:val="93"/>
                </w:rPr>
                <w:t>Amended and Restated Employment Agreement dated effective October 1, 2018 between Plains All American GP LLC and Willie Chiang (incorporated by reference</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5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8"/>
              </w:rPr>
            </w:pPr>
            <w:hyperlink r:id="rId201">
              <w:r>
                <w:rPr>
                  <w:rFonts w:ascii="Arial" w:cs="Arial" w:eastAsia="Arial" w:hAnsi="Arial"/>
                  <w:sz w:val="13"/>
                  <w:szCs w:val="13"/>
                  <w:color w:val="0000FF"/>
                  <w:w w:val="98"/>
                </w:rPr>
                <w:t>to Exhibit 10.7 to our Quarterly Report on Form 10-Q for the quarter ended September 30, 2018).</w:t>
              </w:r>
            </w:hyperlink>
          </w:p>
        </w:tc>
        <w:tc>
          <w:tcPr>
            <w:tcW w:w="3840" w:type="dxa"/>
            <w:vAlign w:val="bottom"/>
            <w:tcBorders>
              <w:top w:val="single" w:sz="8" w:color="0000FF"/>
            </w:tcBorders>
            <w:gridSpan w:val="1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10.20**</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5"/>
              </w:rPr>
            </w:pPr>
            <w:hyperlink r:id="rId202">
              <w:r>
                <w:rPr>
                  <w:rFonts w:ascii="Arial" w:cs="Arial" w:eastAsia="Arial" w:hAnsi="Arial"/>
                  <w:sz w:val="14"/>
                  <w:szCs w:val="14"/>
                  <w:color w:val="0000FF"/>
                  <w:w w:val="95"/>
                </w:rPr>
                <w:t>First Amendment to Plains AAP, L.P. Class B Restricted Units Agreement dated August 25, 2016 (Willie Chiang) (incorporated by reference to Exhibit 10.8 to our</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2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202">
              <w:r>
                <w:rPr>
                  <w:rFonts w:ascii="Arial" w:cs="Arial" w:eastAsia="Arial" w:hAnsi="Arial"/>
                  <w:sz w:val="13"/>
                  <w:szCs w:val="13"/>
                  <w:color w:val="0000FF"/>
                </w:rPr>
                <w:t>Quarterly Report on Form 10-Q for the quarter ended September 30,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10.21**</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4"/>
              </w:rPr>
            </w:pPr>
            <w:hyperlink r:id="rId203">
              <w:r>
                <w:rPr>
                  <w:rFonts w:ascii="Arial" w:cs="Arial" w:eastAsia="Arial" w:hAnsi="Arial"/>
                  <w:sz w:val="14"/>
                  <w:szCs w:val="14"/>
                  <w:color w:val="0000FF"/>
                  <w:w w:val="94"/>
                </w:rPr>
                <w:t>Second Amendment dated March 22, 2018 to Plains AAP, L.P. Class B Restricted Units Agreement (Willie Chiang) (incorporated by reference to Exhibit 10.1 to our</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34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Quarterly Report on Form 10-Q for the quarter ended March 31, 2018).</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10.22**</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7"/>
              </w:rPr>
            </w:pPr>
            <w:hyperlink r:id="rId204">
              <w:r>
                <w:rPr>
                  <w:rFonts w:ascii="Arial" w:cs="Arial" w:eastAsia="Arial" w:hAnsi="Arial"/>
                  <w:sz w:val="14"/>
                  <w:szCs w:val="14"/>
                  <w:color w:val="0000FF"/>
                  <w:w w:val="97"/>
                </w:rPr>
                <w:t>LTIP Grant Letter dated August 16, 2018 (Willie Chiang) incorporated by reference to Exhibit 10.8 to our Quarterly Report on Form 10-Q for the quarter ended</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6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204">
              <w:r>
                <w:rPr>
                  <w:rFonts w:ascii="Arial" w:cs="Arial" w:eastAsia="Arial" w:hAnsi="Arial"/>
                  <w:sz w:val="13"/>
                  <w:szCs w:val="13"/>
                  <w:color w:val="0000FF"/>
                </w:rPr>
                <w:t>September 30, 2018).</w:t>
              </w:r>
            </w:hyperlink>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10.23**</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rPr>
            </w:pPr>
            <w:hyperlink r:id="rId205">
              <w:r>
                <w:rPr>
                  <w:rFonts w:ascii="Arial" w:cs="Arial" w:eastAsia="Arial" w:hAnsi="Arial"/>
                  <w:sz w:val="14"/>
                  <w:szCs w:val="14"/>
                  <w:color w:val="0000FF"/>
                </w:rPr>
                <w:t>Plains All American 2021 Long-Term Incentive Plan (incorporated by reference to Exhibit A to our Definitive Proxy Statement filed on April 12, 2021).</w:t>
              </w:r>
            </w:hyperlink>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10.24**</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rPr>
            </w:pPr>
            <w:hyperlink r:id="rId206">
              <w:r>
                <w:rPr>
                  <w:rFonts w:ascii="Arial" w:cs="Arial" w:eastAsia="Arial" w:hAnsi="Arial"/>
                  <w:sz w:val="14"/>
                  <w:szCs w:val="14"/>
                  <w:color w:val="0000FF"/>
                </w:rPr>
                <w:t>Plains All American 2013 Long-Term Incentive Plan (incorporated by reference to Exhibit A to our Definitive Proxy Statement filed on October 3, 2013).</w:t>
              </w:r>
            </w:hyperlink>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10.25**</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2"/>
              </w:rPr>
            </w:pPr>
            <w:hyperlink r:id="rId207">
              <w:r>
                <w:rPr>
                  <w:rFonts w:ascii="Arial" w:cs="Arial" w:eastAsia="Arial" w:hAnsi="Arial"/>
                  <w:sz w:val="14"/>
                  <w:szCs w:val="14"/>
                  <w:color w:val="0000FF"/>
                  <w:w w:val="92"/>
                </w:rPr>
                <w:t>Plains All American PNG Successor Long-Term Incentive Plan (incorporated by reference to Exhibit 4.4 to our Registration Statement on Form S-8 (333-193139) filed</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52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December 31, 2013).</w:t>
              </w:r>
            </w:hyperlink>
          </w:p>
        </w:tc>
        <w:tc>
          <w:tcPr>
            <w:tcW w:w="4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10.26**</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460" w:type="dxa"/>
            <w:vAlign w:val="bottom"/>
            <w:tcBorders>
              <w:bottom w:val="single" w:sz="8" w:color="0000FF"/>
            </w:tcBorders>
            <w:gridSpan w:val="24"/>
          </w:tcPr>
          <w:p>
            <w:pPr>
              <w:spacing w:after="0"/>
              <w:rPr>
                <w:rFonts w:ascii="Arial" w:cs="Arial" w:eastAsia="Arial" w:hAnsi="Arial"/>
                <w:sz w:val="14"/>
                <w:szCs w:val="14"/>
                <w:color w:val="0000FF"/>
                <w:w w:val="92"/>
              </w:rPr>
            </w:pPr>
            <w:hyperlink r:id="rId208">
              <w:r>
                <w:rPr>
                  <w:rFonts w:ascii="Arial" w:cs="Arial" w:eastAsia="Arial" w:hAnsi="Arial"/>
                  <w:sz w:val="14"/>
                  <w:szCs w:val="14"/>
                  <w:color w:val="0000FF"/>
                  <w:w w:val="92"/>
                </w:rPr>
                <w:t>PAA Natural Gas Storage, L.P. 2010 Long-Term Incentive Plan (incorporated by reference to Exhibit 10.2 to PNG’s Current Report on Form 8-K filed May 11, 2010).</w:t>
              </w:r>
            </w:hyperlink>
          </w:p>
        </w:tc>
        <w:tc>
          <w:tcPr>
            <w:tcW w:w="100" w:type="dxa"/>
            <w:vAlign w:val="bottom"/>
            <w:gridSpan w:val="3"/>
          </w:tcPr>
          <w:p>
            <w:pPr>
              <w:spacing w:after="0"/>
              <w:rPr>
                <w:sz w:val="21"/>
                <w:szCs w:val="2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10.27**</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080" w:type="dxa"/>
            <w:vAlign w:val="bottom"/>
            <w:tcBorders>
              <w:bottom w:val="single" w:sz="8" w:color="0000FF"/>
            </w:tcBorders>
            <w:gridSpan w:val="13"/>
          </w:tcPr>
          <w:p>
            <w:pPr>
              <w:spacing w:after="0"/>
              <w:rPr>
                <w:rFonts w:ascii="Arial" w:cs="Arial" w:eastAsia="Arial" w:hAnsi="Arial"/>
                <w:sz w:val="14"/>
                <w:szCs w:val="14"/>
                <w:color w:val="0000FF"/>
                <w:w w:val="92"/>
              </w:rPr>
            </w:pPr>
            <w:hyperlink r:id="rId209">
              <w:r>
                <w:rPr>
                  <w:rFonts w:ascii="Arial" w:cs="Arial" w:eastAsia="Arial" w:hAnsi="Arial"/>
                  <w:sz w:val="14"/>
                  <w:szCs w:val="14"/>
                  <w:color w:val="0000FF"/>
                  <w:w w:val="92"/>
                </w:rPr>
                <w:t>Plains GP Holdings, L.P. Long Term Incentive Plan, (incorporated by reference to Exhibit 10.3 to PAGP’s Current Report on Form 8-K filed October 25, 2013).</w:t>
              </w:r>
            </w:hyperlink>
          </w:p>
        </w:tc>
        <w:tc>
          <w:tcPr>
            <w:tcW w:w="480" w:type="dxa"/>
            <w:vAlign w:val="bottom"/>
            <w:gridSpan w:val="14"/>
          </w:tcPr>
          <w:p>
            <w:pPr>
              <w:spacing w:after="0"/>
              <w:rPr>
                <w:sz w:val="21"/>
                <w:szCs w:val="2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10.28**</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300" w:type="dxa"/>
            <w:vAlign w:val="bottom"/>
            <w:tcBorders>
              <w:bottom w:val="single" w:sz="8" w:color="0000FF"/>
            </w:tcBorders>
            <w:gridSpan w:val="19"/>
          </w:tcPr>
          <w:p>
            <w:pPr>
              <w:spacing w:after="0"/>
              <w:rPr>
                <w:rFonts w:ascii="Arial" w:cs="Arial" w:eastAsia="Arial" w:hAnsi="Arial"/>
                <w:sz w:val="14"/>
                <w:szCs w:val="14"/>
                <w:color w:val="0000FF"/>
                <w:w w:val="92"/>
              </w:rPr>
            </w:pPr>
            <w:hyperlink r:id="rId210">
              <w:r>
                <w:rPr>
                  <w:rFonts w:ascii="Arial" w:cs="Arial" w:eastAsia="Arial" w:hAnsi="Arial"/>
                  <w:sz w:val="14"/>
                  <w:szCs w:val="14"/>
                  <w:color w:val="0000FF"/>
                  <w:w w:val="92"/>
                </w:rPr>
                <w:t>Form of Plains AAP, L.P. Class B Restricted Units Agreement (incorporated by reference to Exhibit 10.1 to our Current Report on Form 8-K filed January 4, 2008).</w:t>
              </w:r>
            </w:hyperlink>
          </w:p>
        </w:tc>
        <w:tc>
          <w:tcPr>
            <w:tcW w:w="260" w:type="dxa"/>
            <w:vAlign w:val="bottom"/>
            <w:gridSpan w:val="8"/>
          </w:tcPr>
          <w:p>
            <w:pPr>
              <w:spacing w:after="0"/>
              <w:rPr>
                <w:sz w:val="21"/>
                <w:szCs w:val="2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10.29**</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4"/>
              </w:rPr>
            </w:pPr>
            <w:hyperlink r:id="rId211">
              <w:r>
                <w:rPr>
                  <w:rFonts w:ascii="Arial" w:cs="Arial" w:eastAsia="Arial" w:hAnsi="Arial"/>
                  <w:sz w:val="14"/>
                  <w:szCs w:val="14"/>
                  <w:color w:val="0000FF"/>
                  <w:w w:val="94"/>
                </w:rPr>
                <w:t>Form of Amendment to the Plains AAP, L.P. Class B Restricted Units Agreement, dated October 18, 2013 (incorporated by reference to Exhibit 10.4 to our Current</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11">
              <w:r>
                <w:rPr>
                  <w:rFonts w:ascii="Arial" w:cs="Arial" w:eastAsia="Arial" w:hAnsi="Arial"/>
                  <w:sz w:val="13"/>
                  <w:szCs w:val="13"/>
                  <w:color w:val="0000FF"/>
                </w:rPr>
                <w:t>Report on Form 8-K filed October 25, 2013).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10.30**</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2"/>
              </w:rPr>
            </w:pPr>
            <w:hyperlink r:id="rId212">
              <w:r>
                <w:rPr>
                  <w:rFonts w:ascii="Arial" w:cs="Arial" w:eastAsia="Arial" w:hAnsi="Arial"/>
                  <w:sz w:val="14"/>
                  <w:szCs w:val="14"/>
                  <w:color w:val="0000FF"/>
                  <w:w w:val="92"/>
                </w:rPr>
                <w:t>Form of Amendment to Plains AAP, L.P. Class B Restricted Units Agreement dated August 25, 2016 (incorporated by reference to Exhibit 10.6 to our Quarterly Report</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8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212">
              <w:r>
                <w:rPr>
                  <w:rFonts w:ascii="Arial" w:cs="Arial" w:eastAsia="Arial" w:hAnsi="Arial"/>
                  <w:sz w:val="13"/>
                  <w:szCs w:val="13"/>
                  <w:color w:val="0000FF"/>
                  <w:w w:val="98"/>
                </w:rPr>
                <w:t>on Form 10-Q for the quarter ended September 30, 2016 filed November 8, 2016).</w:t>
              </w:r>
            </w:hyperlink>
          </w:p>
        </w:tc>
        <w:tc>
          <w:tcPr>
            <w:tcW w:w="4820" w:type="dxa"/>
            <w:vAlign w:val="bottom"/>
            <w:tcBorders>
              <w:top w:val="single" w:sz="8" w:color="0000FF"/>
            </w:tcBorders>
            <w:gridSpan w:val="18"/>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10.31**</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4"/>
              </w:rPr>
            </w:pPr>
            <w:hyperlink r:id="rId213">
              <w:r>
                <w:rPr>
                  <w:rFonts w:ascii="Arial" w:cs="Arial" w:eastAsia="Arial" w:hAnsi="Arial"/>
                  <w:sz w:val="14"/>
                  <w:szCs w:val="14"/>
                  <w:color w:val="0000FF"/>
                  <w:w w:val="94"/>
                </w:rPr>
                <w:t>Form of First Amendment dated March 22, 2018 to Amended and Restated Plains AAP, L.P. Class B Restricted Units Agreement dated August 25, 2016 (Officers)</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4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213">
              <w:r>
                <w:rPr>
                  <w:rFonts w:ascii="Arial" w:cs="Arial" w:eastAsia="Arial" w:hAnsi="Arial"/>
                  <w:sz w:val="13"/>
                  <w:szCs w:val="13"/>
                  <w:color w:val="0000FF"/>
                  <w:w w:val="99"/>
                </w:rPr>
                <w:t>(incorporated by reference to Exhibit 10.2 to our Quarterly Report on Form 10-Q for the quarter ended March 31, 2018).</w:t>
              </w:r>
            </w:hyperlink>
          </w:p>
        </w:tc>
        <w:tc>
          <w:tcPr>
            <w:tcW w:w="240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10.32**</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4"/>
              </w:rPr>
            </w:pPr>
            <w:hyperlink r:id="rId214">
              <w:r>
                <w:rPr>
                  <w:rFonts w:ascii="Arial" w:cs="Arial" w:eastAsia="Arial" w:hAnsi="Arial"/>
                  <w:sz w:val="14"/>
                  <w:szCs w:val="14"/>
                  <w:color w:val="0000FF"/>
                  <w:w w:val="94"/>
                </w:rPr>
                <w:t>Form of Director LTIP Grant Letter (August 2018) (incorporated by reference to Exhibit 10.66 to our Annual Report on Form 10-K for the year ended December 31,</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214">
              <w:r>
                <w:rPr>
                  <w:rFonts w:ascii="Arial" w:cs="Arial" w:eastAsia="Arial" w:hAnsi="Arial"/>
                  <w:sz w:val="13"/>
                  <w:szCs w:val="13"/>
                  <w:color w:val="0000FF"/>
                  <w:w w:val="97"/>
                </w:rPr>
                <w:t>2018).</w:t>
              </w:r>
            </w:hyperlink>
          </w:p>
        </w:tc>
        <w:tc>
          <w:tcPr>
            <w:tcW w:w="82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18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10.33**</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440" w:type="dxa"/>
            <w:vAlign w:val="bottom"/>
            <w:tcBorders>
              <w:bottom w:val="single" w:sz="8" w:color="0000FF"/>
            </w:tcBorders>
            <w:gridSpan w:val="23"/>
          </w:tcPr>
          <w:p>
            <w:pPr>
              <w:spacing w:after="0"/>
              <w:rPr>
                <w:rFonts w:ascii="Arial" w:cs="Arial" w:eastAsia="Arial" w:hAnsi="Arial"/>
                <w:sz w:val="14"/>
                <w:szCs w:val="14"/>
                <w:color w:val="0000FF"/>
                <w:w w:val="92"/>
              </w:rPr>
            </w:pPr>
            <w:hyperlink r:id="rId215">
              <w:r>
                <w:rPr>
                  <w:rFonts w:ascii="Arial" w:cs="Arial" w:eastAsia="Arial" w:hAnsi="Arial"/>
                  <w:sz w:val="14"/>
                  <w:szCs w:val="14"/>
                  <w:color w:val="0000FF"/>
                  <w:w w:val="92"/>
                </w:rPr>
                <w:t>Director LTIP Grant Letter (December 2018) (incorporated by reference to Exhibit 10.67 to our Annual Report on Form 10-K for the year ended December 31, 2018).</w:t>
              </w:r>
            </w:hyperlink>
          </w:p>
        </w:tc>
        <w:tc>
          <w:tcPr>
            <w:tcW w:w="120" w:type="dxa"/>
            <w:vAlign w:val="bottom"/>
            <w:gridSpan w:val="4"/>
          </w:tcPr>
          <w:p>
            <w:pPr>
              <w:spacing w:after="0"/>
              <w:rPr>
                <w:sz w:val="21"/>
                <w:szCs w:val="2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10.34**</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5"/>
              </w:rPr>
            </w:pPr>
            <w:hyperlink r:id="rId216">
              <w:r>
                <w:rPr>
                  <w:rFonts w:ascii="Arial" w:cs="Arial" w:eastAsia="Arial" w:hAnsi="Arial"/>
                  <w:sz w:val="14"/>
                  <w:szCs w:val="14"/>
                  <w:color w:val="0000FF"/>
                  <w:w w:val="95"/>
                </w:rPr>
                <w:t>Form of LTIP Grant Letter dated August 15, 2019 (Officers) (incorporated by reference to Exhibit 10.2 to our Quarterly Report on Form 10-Q for the quarter ended</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8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September 30, 2019).</w:t>
              </w:r>
            </w:hyperlink>
          </w:p>
        </w:tc>
        <w:tc>
          <w:tcPr>
            <w:tcW w:w="20" w:type="dxa"/>
            <w:vAlign w:val="bottom"/>
          </w:tcPr>
          <w:p>
            <w:pPr>
              <w:spacing w:after="0"/>
              <w:rPr>
                <w:sz w:val="10"/>
                <w:szCs w:val="10"/>
                <w:color w:val="auto"/>
              </w:rPr>
            </w:pPr>
          </w:p>
        </w:tc>
        <w:tc>
          <w:tcPr>
            <w:tcW w:w="260" w:type="dxa"/>
            <w:vAlign w:val="bottom"/>
            <w:gridSpan w:val="8"/>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80" w:type="dxa"/>
            <w:vAlign w:val="bottom"/>
            <w:tcBorders>
              <w:left w:val="single" w:sz="8" w:color="0000FF"/>
            </w:tcBorders>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10.35**</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4"/>
              </w:rPr>
            </w:pPr>
            <w:hyperlink r:id="rId217">
              <w:r>
                <w:rPr>
                  <w:rFonts w:ascii="Arial" w:cs="Arial" w:eastAsia="Arial" w:hAnsi="Arial"/>
                  <w:sz w:val="14"/>
                  <w:szCs w:val="14"/>
                  <w:color w:val="0000FF"/>
                  <w:w w:val="94"/>
                </w:rPr>
                <w:t>Form of LTIP Grant Letter dated August 15, 2019 (Directors) (incorporated by reference to exhibit 10.3 to our Quarterly Report on Form 10-Q for the quarter ended</w:t>
              </w:r>
            </w:hyperlink>
          </w:p>
        </w:tc>
      </w:tr>
      <w:tr>
        <w:trPr>
          <w:trHeight w:val="118"/>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3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September 30, 2019).</w:t>
              </w:r>
            </w:hyperlink>
          </w:p>
        </w:tc>
        <w:tc>
          <w:tcPr>
            <w:tcW w:w="260" w:type="dxa"/>
            <w:vAlign w:val="bottom"/>
            <w:gridSpan w:val="8"/>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80" w:type="dxa"/>
            <w:vAlign w:val="bottom"/>
            <w:tcBorders>
              <w:left w:val="single" w:sz="8" w:color="0000FF"/>
            </w:tcBorders>
            <w:gridSpan w:val="16"/>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245"/>
        </w:trPr>
        <w:tc>
          <w:tcPr>
            <w:tcW w:w="880" w:type="dxa"/>
            <w:vAlign w:val="bottom"/>
          </w:tcPr>
          <w:p>
            <w:pPr>
              <w:jc w:val="right"/>
              <w:ind w:right="329"/>
              <w:spacing w:after="0"/>
              <w:rPr>
                <w:sz w:val="20"/>
                <w:szCs w:val="20"/>
                <w:color w:val="auto"/>
              </w:rPr>
            </w:pPr>
            <w:r>
              <w:rPr>
                <w:rFonts w:ascii="Arial" w:cs="Arial" w:eastAsia="Arial" w:hAnsi="Arial"/>
                <w:sz w:val="14"/>
                <w:szCs w:val="14"/>
                <w:color w:val="auto"/>
              </w:rPr>
              <w:t>10.36**</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560" w:type="dxa"/>
            <w:vAlign w:val="bottom"/>
            <w:gridSpan w:val="27"/>
          </w:tcPr>
          <w:p>
            <w:pPr>
              <w:spacing w:after="0"/>
              <w:rPr>
                <w:rFonts w:ascii="Arial" w:cs="Arial" w:eastAsia="Arial" w:hAnsi="Arial"/>
                <w:sz w:val="14"/>
                <w:szCs w:val="14"/>
                <w:color w:val="0000FF"/>
                <w:w w:val="95"/>
              </w:rPr>
            </w:pPr>
            <w:hyperlink r:id="rId218">
              <w:r>
                <w:rPr>
                  <w:rFonts w:ascii="Arial" w:cs="Arial" w:eastAsia="Arial" w:hAnsi="Arial"/>
                  <w:sz w:val="14"/>
                  <w:szCs w:val="14"/>
                  <w:color w:val="0000FF"/>
                  <w:w w:val="95"/>
                </w:rPr>
                <w:t>Director LTIP Grant Letter (January 2020) (incorporated by reference to Exhibit 10.72 to our Annual Report on Form 10-K for the year ended December 31, 2019).</w:t>
              </w:r>
            </w:hyperlink>
          </w:p>
        </w:tc>
      </w:tr>
      <w:tr>
        <w:trPr>
          <w:trHeight w:val="775"/>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40" w:type="dxa"/>
            <w:vAlign w:val="bottom"/>
            <w:tcBorders>
              <w:top w:val="single" w:sz="8" w:color="0000FF"/>
            </w:tcBorders>
            <w:gridSpan w:val="5"/>
          </w:tcPr>
          <w:p>
            <w:pPr>
              <w:ind w:left="3820"/>
              <w:spacing w:after="0"/>
              <w:rPr>
                <w:sz w:val="20"/>
                <w:szCs w:val="20"/>
                <w:color w:val="auto"/>
              </w:rPr>
            </w:pPr>
            <w:r>
              <w:rPr>
                <w:rFonts w:ascii="Arial" w:cs="Arial" w:eastAsia="Arial" w:hAnsi="Arial"/>
                <w:sz w:val="14"/>
                <w:szCs w:val="14"/>
                <w:color w:val="auto"/>
                <w:w w:val="85"/>
              </w:rPr>
              <w:t>109</w:t>
            </w: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9" w:name="page110"/>
    <w:bookmarkEnd w:id="10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color w:val="auto"/>
              </w:rPr>
              <w:t>10.37**</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5"/>
              </w:rPr>
            </w:pPr>
            <w:hyperlink r:id="rId221">
              <w:r>
                <w:rPr>
                  <w:rFonts w:ascii="Arial" w:cs="Arial" w:eastAsia="Arial" w:hAnsi="Arial"/>
                  <w:sz w:val="14"/>
                  <w:szCs w:val="14"/>
                  <w:color w:val="0000FF"/>
                  <w:w w:val="95"/>
                </w:rPr>
                <w:t>Form of LTIP Grant Letter dated August 13, 2020 (Officers) (incorporated by reference to Exhibit 10.1 to our Quarterly Report on Form 10-Q for the quarter ended</w:t>
              </w:r>
            </w:hyperlink>
          </w:p>
        </w:tc>
      </w:tr>
      <w:tr>
        <w:trPr>
          <w:trHeight w:val="118"/>
        </w:trPr>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6"/>
              </w:rPr>
            </w:pPr>
            <w:hyperlink r:id="rId221">
              <w:r>
                <w:rPr>
                  <w:rFonts w:ascii="Arial" w:cs="Arial" w:eastAsia="Arial" w:hAnsi="Arial"/>
                  <w:sz w:val="13"/>
                  <w:szCs w:val="13"/>
                  <w:color w:val="0000FF"/>
                  <w:w w:val="96"/>
                </w:rPr>
                <w:t>September 30, 2020).</w:t>
              </w:r>
            </w:hyperlink>
          </w:p>
        </w:tc>
        <w:tc>
          <w:tcPr>
            <w:tcW w:w="8020" w:type="dxa"/>
            <w:vAlign w:val="bottom"/>
            <w:tcBorders>
              <w:top w:val="single" w:sz="8" w:color="0000FF"/>
            </w:tcBorders>
            <w:gridSpan w:val="1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940" w:type="dxa"/>
            <w:vAlign w:val="bottom"/>
            <w:gridSpan w:val="2"/>
          </w:tcPr>
          <w:p>
            <w:pPr>
              <w:spacing w:after="0"/>
              <w:rPr>
                <w:sz w:val="20"/>
                <w:szCs w:val="20"/>
                <w:color w:val="auto"/>
              </w:rPr>
            </w:pPr>
            <w:r>
              <w:rPr>
                <w:rFonts w:ascii="Arial" w:cs="Arial" w:eastAsia="Arial" w:hAnsi="Arial"/>
                <w:sz w:val="14"/>
                <w:szCs w:val="14"/>
                <w:color w:val="auto"/>
              </w:rPr>
              <w:t>10.38**</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4"/>
              </w:rPr>
            </w:pPr>
            <w:hyperlink r:id="rId222">
              <w:r>
                <w:rPr>
                  <w:rFonts w:ascii="Arial" w:cs="Arial" w:eastAsia="Arial" w:hAnsi="Arial"/>
                  <w:sz w:val="14"/>
                  <w:szCs w:val="14"/>
                  <w:color w:val="0000FF"/>
                  <w:w w:val="94"/>
                </w:rPr>
                <w:t>Form of LTIP Grant Letter dated August 13, 2020 (Directors) (incorporated by reference to Exhibit 10.1 to our Quarterly Report on Form 10-Q for the quarter ended</w:t>
              </w:r>
            </w:hyperlink>
          </w:p>
        </w:tc>
      </w:tr>
      <w:tr>
        <w:trPr>
          <w:trHeight w:val="118"/>
        </w:trPr>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6"/>
              </w:rPr>
            </w:pPr>
            <w:hyperlink r:id="rId222">
              <w:r>
                <w:rPr>
                  <w:rFonts w:ascii="Arial" w:cs="Arial" w:eastAsia="Arial" w:hAnsi="Arial"/>
                  <w:sz w:val="13"/>
                  <w:szCs w:val="13"/>
                  <w:color w:val="0000FF"/>
                  <w:w w:val="96"/>
                </w:rPr>
                <w:t>September 30, 2020).</w:t>
              </w:r>
            </w:hyperlink>
          </w:p>
        </w:tc>
        <w:tc>
          <w:tcPr>
            <w:tcW w:w="8120" w:type="dxa"/>
            <w:vAlign w:val="bottom"/>
            <w:tcBorders>
              <w:top w:val="single" w:sz="8" w:color="0000FF"/>
            </w:tcBorders>
            <w:gridSpan w:val="15"/>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940" w:type="dxa"/>
            <w:vAlign w:val="bottom"/>
            <w:gridSpan w:val="2"/>
          </w:tcPr>
          <w:p>
            <w:pPr>
              <w:spacing w:after="0"/>
              <w:rPr>
                <w:sz w:val="20"/>
                <w:szCs w:val="20"/>
                <w:color w:val="auto"/>
              </w:rPr>
            </w:pPr>
            <w:r>
              <w:rPr>
                <w:rFonts w:ascii="Arial" w:cs="Arial" w:eastAsia="Arial" w:hAnsi="Arial"/>
                <w:sz w:val="14"/>
                <w:szCs w:val="14"/>
                <w:color w:val="auto"/>
              </w:rPr>
              <w:t>10.39**</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4"/>
              </w:rPr>
            </w:pPr>
            <w:hyperlink r:id="rId223">
              <w:r>
                <w:rPr>
                  <w:rFonts w:ascii="Arial" w:cs="Arial" w:eastAsia="Arial" w:hAnsi="Arial"/>
                  <w:sz w:val="14"/>
                  <w:szCs w:val="14"/>
                  <w:color w:val="0000FF"/>
                  <w:w w:val="94"/>
                </w:rPr>
                <w:t xml:space="preserve">Form of Special Retention LTIP Grant Letter dated November 20, 2019 (incorporated by reference to Exhibit </w:t>
              </w:r>
            </w:hyperlink>
            <w:r>
              <w:rPr>
                <w:rFonts w:ascii="Arial" w:cs="Arial" w:eastAsia="Arial" w:hAnsi="Arial"/>
                <w:sz w:val="14"/>
                <w:szCs w:val="14"/>
                <w:color w:val="0000FF"/>
                <w:w w:val="94"/>
              </w:rPr>
              <w:t xml:space="preserve">10.53 </w:t>
            </w:r>
            <w:hyperlink r:id="rId223">
              <w:r>
                <w:rPr>
                  <w:rFonts w:ascii="Arial" w:cs="Arial" w:eastAsia="Arial" w:hAnsi="Arial"/>
                  <w:sz w:val="14"/>
                  <w:szCs w:val="14"/>
                  <w:color w:val="0000FF"/>
                  <w:w w:val="94"/>
                </w:rPr>
                <w:t>to our Annual Report on Form 10-K for the year</w:t>
              </w:r>
            </w:hyperlink>
          </w:p>
        </w:tc>
      </w:tr>
      <w:tr>
        <w:trPr>
          <w:trHeight w:val="118"/>
        </w:trPr>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6"/>
              </w:rPr>
            </w:pPr>
            <w:hyperlink r:id="rId223">
              <w:r>
                <w:rPr>
                  <w:rFonts w:ascii="Arial" w:cs="Arial" w:eastAsia="Arial" w:hAnsi="Arial"/>
                  <w:sz w:val="13"/>
                  <w:szCs w:val="13"/>
                  <w:color w:val="0000FF"/>
                  <w:w w:val="96"/>
                </w:rPr>
                <w:t>ended December 31, 2020).</w:t>
              </w:r>
            </w:hyperlink>
          </w:p>
        </w:tc>
        <w:tc>
          <w:tcPr>
            <w:tcW w:w="4160" w:type="dxa"/>
            <w:vAlign w:val="bottom"/>
            <w:tcBorders>
              <w:top w:val="single" w:sz="8" w:color="0000FF"/>
            </w:tcBorders>
            <w:gridSpan w:val="7"/>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1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940" w:type="dxa"/>
            <w:vAlign w:val="bottom"/>
            <w:gridSpan w:val="2"/>
          </w:tcPr>
          <w:p>
            <w:pPr>
              <w:spacing w:after="0"/>
              <w:rPr>
                <w:sz w:val="20"/>
                <w:szCs w:val="20"/>
                <w:color w:val="auto"/>
              </w:rPr>
            </w:pPr>
            <w:r>
              <w:rPr>
                <w:rFonts w:ascii="Arial" w:cs="Arial" w:eastAsia="Arial" w:hAnsi="Arial"/>
                <w:sz w:val="14"/>
                <w:szCs w:val="14"/>
                <w:color w:val="auto"/>
              </w:rPr>
              <w:t>10.40**</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5"/>
              </w:rPr>
            </w:pPr>
            <w:hyperlink r:id="rId224">
              <w:r>
                <w:rPr>
                  <w:rFonts w:ascii="Arial" w:cs="Arial" w:eastAsia="Arial" w:hAnsi="Arial"/>
                  <w:sz w:val="14"/>
                  <w:szCs w:val="14"/>
                  <w:color w:val="0000FF"/>
                  <w:w w:val="95"/>
                </w:rPr>
                <w:t>Form of LTIP Grant Letter dated December 21, 2017 (Goebel) (incorporated by reference to Exhibit 10.54 to our Annual Report on Form 10-K for the year ended</w:t>
              </w:r>
            </w:hyperlink>
          </w:p>
        </w:tc>
      </w:tr>
      <w:tr>
        <w:trPr>
          <w:trHeight w:val="118"/>
        </w:trPr>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224">
              <w:r>
                <w:rPr>
                  <w:rFonts w:ascii="Arial" w:cs="Arial" w:eastAsia="Arial" w:hAnsi="Arial"/>
                  <w:sz w:val="13"/>
                  <w:szCs w:val="13"/>
                  <w:color w:val="0000FF"/>
                  <w:w w:val="98"/>
                </w:rPr>
                <w:t>December 31, 2020).</w:t>
              </w:r>
            </w:hyperlink>
          </w:p>
        </w:tc>
        <w:tc>
          <w:tcPr>
            <w:tcW w:w="7960" w:type="dxa"/>
            <w:vAlign w:val="bottom"/>
            <w:tcBorders>
              <w:top w:val="single" w:sz="8" w:color="0000FF"/>
            </w:tcBorders>
            <w:gridSpan w:val="12"/>
          </w:tcPr>
          <w:p>
            <w:pPr>
              <w:spacing w:after="0"/>
              <w:rPr>
                <w:sz w:val="10"/>
                <w:szCs w:val="10"/>
                <w:color w:val="auto"/>
              </w:rPr>
            </w:pPr>
          </w:p>
        </w:tc>
        <w:tc>
          <w:tcPr>
            <w:tcW w:w="160" w:type="dxa"/>
            <w:vAlign w:val="bottom"/>
            <w:gridSpan w:val="3"/>
          </w:tcPr>
          <w:p>
            <w:pPr>
              <w:spacing w:after="0"/>
              <w:rPr>
                <w:sz w:val="10"/>
                <w:szCs w:val="10"/>
                <w:color w:val="auto"/>
              </w:rPr>
            </w:pPr>
          </w:p>
        </w:tc>
        <w:tc>
          <w:tcPr>
            <w:tcW w:w="1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65"/>
        </w:trPr>
        <w:tc>
          <w:tcPr>
            <w:tcW w:w="940" w:type="dxa"/>
            <w:vAlign w:val="bottom"/>
            <w:gridSpan w:val="2"/>
          </w:tcPr>
          <w:p>
            <w:pPr>
              <w:spacing w:after="0"/>
              <w:rPr>
                <w:sz w:val="20"/>
                <w:szCs w:val="20"/>
                <w:color w:val="auto"/>
              </w:rPr>
            </w:pPr>
            <w:r>
              <w:rPr>
                <w:rFonts w:ascii="Arial" w:cs="Arial" w:eastAsia="Arial" w:hAnsi="Arial"/>
                <w:sz w:val="14"/>
                <w:szCs w:val="14"/>
                <w:color w:val="auto"/>
              </w:rPr>
              <w:t>10.41**</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9"/>
              </w:rPr>
            </w:pPr>
            <w:hyperlink r:id="rId225">
              <w:r>
                <w:rPr>
                  <w:rFonts w:ascii="Arial" w:cs="Arial" w:eastAsia="Arial" w:hAnsi="Arial"/>
                  <w:sz w:val="14"/>
                  <w:szCs w:val="14"/>
                  <w:color w:val="0000FF"/>
                  <w:w w:val="99"/>
                </w:rPr>
                <w:t>Form of LTIP Grant Letter dated May 1, 2018 (Chandler) (incorporated by reference to Exhibit 10.56 to our Annual Report on Form 10-K for the year ended</w:t>
              </w:r>
            </w:hyperlink>
          </w:p>
        </w:tc>
      </w:tr>
      <w:tr>
        <w:trPr>
          <w:trHeight w:val="98"/>
        </w:trPr>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300" w:type="dxa"/>
            <w:vAlign w:val="bottom"/>
            <w:tcBorders>
              <w:top w:val="single" w:sz="8" w:color="0000FF"/>
            </w:tcBorders>
            <w:gridSpan w:val="8"/>
          </w:tcPr>
          <w:p>
            <w:pPr>
              <w:spacing w:after="0" w:line="98" w:lineRule="exact"/>
              <w:rPr>
                <w:rFonts w:ascii="Arial" w:cs="Arial" w:eastAsia="Arial" w:hAnsi="Arial"/>
                <w:sz w:val="11"/>
                <w:szCs w:val="11"/>
                <w:color w:val="0000FF"/>
              </w:rPr>
            </w:pPr>
            <w:hyperlink r:id="rId225">
              <w:r>
                <w:rPr>
                  <w:rFonts w:ascii="Arial" w:cs="Arial" w:eastAsia="Arial" w:hAnsi="Arial"/>
                  <w:sz w:val="11"/>
                  <w:szCs w:val="11"/>
                  <w:color w:val="0000FF"/>
                </w:rPr>
                <w:t>December 31, 2020).</w:t>
              </w:r>
            </w:hyperlink>
          </w:p>
        </w:tc>
        <w:tc>
          <w:tcPr>
            <w:tcW w:w="7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120" w:type="dxa"/>
            <w:vAlign w:val="bottom"/>
            <w:tcBorders>
              <w:top w:val="single" w:sz="8" w:color="0000FF"/>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940" w:type="dxa"/>
            <w:vAlign w:val="bottom"/>
            <w:gridSpan w:val="2"/>
          </w:tcPr>
          <w:p>
            <w:pPr>
              <w:spacing w:after="0"/>
              <w:rPr>
                <w:sz w:val="20"/>
                <w:szCs w:val="20"/>
                <w:color w:val="auto"/>
              </w:rPr>
            </w:pPr>
            <w:r>
              <w:rPr>
                <w:rFonts w:ascii="Arial" w:cs="Arial" w:eastAsia="Arial" w:hAnsi="Arial"/>
                <w:sz w:val="14"/>
                <w:szCs w:val="14"/>
                <w:color w:val="auto"/>
              </w:rPr>
              <w:t>10.42**</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2"/>
              </w:rPr>
            </w:pPr>
            <w:hyperlink r:id="rId226">
              <w:r>
                <w:rPr>
                  <w:rFonts w:ascii="Arial" w:cs="Arial" w:eastAsia="Arial" w:hAnsi="Arial"/>
                  <w:sz w:val="14"/>
                  <w:szCs w:val="14"/>
                  <w:color w:val="0000FF"/>
                  <w:w w:val="92"/>
                </w:rPr>
                <w:t xml:space="preserve">Form of LTIP Grant Letter dated August 19, 2021 (Named Executive Officers) (incorporated by reference to Exhibit </w:t>
              </w:r>
            </w:hyperlink>
            <w:r>
              <w:rPr>
                <w:rFonts w:ascii="Arial" w:cs="Arial" w:eastAsia="Arial" w:hAnsi="Arial"/>
                <w:sz w:val="14"/>
                <w:szCs w:val="14"/>
                <w:color w:val="0000FF"/>
                <w:w w:val="92"/>
              </w:rPr>
              <w:t xml:space="preserve">10.3 </w:t>
            </w:r>
            <w:hyperlink r:id="rId226">
              <w:r>
                <w:rPr>
                  <w:rFonts w:ascii="Arial" w:cs="Arial" w:eastAsia="Arial" w:hAnsi="Arial"/>
                  <w:sz w:val="14"/>
                  <w:szCs w:val="14"/>
                  <w:color w:val="0000FF"/>
                  <w:w w:val="92"/>
                </w:rPr>
                <w:t xml:space="preserve">to our </w:t>
              </w:r>
            </w:hyperlink>
            <w:r>
              <w:rPr>
                <w:rFonts w:ascii="Arial" w:cs="Arial" w:eastAsia="Arial" w:hAnsi="Arial"/>
                <w:sz w:val="14"/>
                <w:szCs w:val="14"/>
                <w:color w:val="0000FF"/>
                <w:w w:val="92"/>
              </w:rPr>
              <w:t xml:space="preserve">Quarterly </w:t>
            </w:r>
            <w:hyperlink r:id="rId226">
              <w:r>
                <w:rPr>
                  <w:rFonts w:ascii="Arial" w:cs="Arial" w:eastAsia="Arial" w:hAnsi="Arial"/>
                  <w:sz w:val="14"/>
                  <w:szCs w:val="14"/>
                  <w:color w:val="0000FF"/>
                  <w:w w:val="92"/>
                </w:rPr>
                <w:t>Report on Form 10-Q for the</w:t>
              </w:r>
            </w:hyperlink>
          </w:p>
        </w:tc>
      </w:tr>
      <w:tr>
        <w:trPr>
          <w:trHeight w:val="118"/>
        </w:trPr>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4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6"/>
              </w:rPr>
            </w:pPr>
            <w:hyperlink r:id="rId226">
              <w:r>
                <w:rPr>
                  <w:rFonts w:ascii="Arial" w:cs="Arial" w:eastAsia="Arial" w:hAnsi="Arial"/>
                  <w:sz w:val="13"/>
                  <w:szCs w:val="13"/>
                  <w:color w:val="0000FF"/>
                  <w:w w:val="96"/>
                </w:rPr>
                <w:t>quarter ended September 30, 2021).</w:t>
              </w:r>
            </w:hyperlink>
          </w:p>
        </w:tc>
        <w:tc>
          <w:tcPr>
            <w:tcW w:w="746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940" w:type="dxa"/>
            <w:vAlign w:val="bottom"/>
            <w:gridSpan w:val="2"/>
          </w:tcPr>
          <w:p>
            <w:pPr>
              <w:spacing w:after="0"/>
              <w:rPr>
                <w:sz w:val="20"/>
                <w:szCs w:val="20"/>
                <w:color w:val="auto"/>
              </w:rPr>
            </w:pPr>
            <w:r>
              <w:rPr>
                <w:rFonts w:ascii="Arial" w:cs="Arial" w:eastAsia="Arial" w:hAnsi="Arial"/>
                <w:sz w:val="14"/>
                <w:szCs w:val="14"/>
                <w:color w:val="auto"/>
              </w:rPr>
              <w:t>10.43**</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rFonts w:ascii="Arial" w:cs="Arial" w:eastAsia="Arial" w:hAnsi="Arial"/>
                <w:sz w:val="14"/>
                <w:szCs w:val="14"/>
                <w:color w:val="0000FF"/>
                <w:w w:val="94"/>
              </w:rPr>
            </w:pPr>
            <w:hyperlink r:id="rId227">
              <w:r>
                <w:rPr>
                  <w:rFonts w:ascii="Arial" w:cs="Arial" w:eastAsia="Arial" w:hAnsi="Arial"/>
                  <w:sz w:val="14"/>
                  <w:szCs w:val="14"/>
                  <w:color w:val="0000FF"/>
                  <w:w w:val="94"/>
                </w:rPr>
                <w:t>Form of LTIP Grant Letter dated August 19, 2021 (Directors) (incorporated by reference to Exhibit 10.4 to our Quarterly Report on Form 10-Q for the quarter ended</w:t>
              </w:r>
            </w:hyperlink>
          </w:p>
        </w:tc>
      </w:tr>
      <w:tr>
        <w:trPr>
          <w:trHeight w:val="118"/>
        </w:trPr>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6"/>
              </w:rPr>
            </w:pPr>
            <w:hyperlink r:id="rId227">
              <w:r>
                <w:rPr>
                  <w:rFonts w:ascii="Arial" w:cs="Arial" w:eastAsia="Arial" w:hAnsi="Arial"/>
                  <w:sz w:val="13"/>
                  <w:szCs w:val="13"/>
                  <w:color w:val="0000FF"/>
                  <w:w w:val="96"/>
                </w:rPr>
                <w:t>September 30, 2021).</w:t>
              </w:r>
            </w:hyperlink>
          </w:p>
        </w:tc>
        <w:tc>
          <w:tcPr>
            <w:tcW w:w="2800" w:type="dxa"/>
            <w:vAlign w:val="bottom"/>
            <w:tcBorders>
              <w:top w:val="single" w:sz="8" w:color="0000FF"/>
            </w:tcBorders>
            <w:gridSpan w:val="6"/>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6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560" w:type="dxa"/>
            <w:vAlign w:val="bottom"/>
            <w:tcBorders>
              <w:top w:val="single" w:sz="8" w:color="0000FF"/>
            </w:tcBorders>
            <w:gridSpan w:val="5"/>
          </w:tcPr>
          <w:p>
            <w:pPr>
              <w:spacing w:after="0"/>
              <w:rPr>
                <w:sz w:val="10"/>
                <w:szCs w:val="10"/>
                <w:color w:val="auto"/>
              </w:rPr>
            </w:pPr>
          </w:p>
        </w:tc>
        <w:tc>
          <w:tcPr>
            <w:tcW w:w="180" w:type="dxa"/>
            <w:vAlign w:val="bottom"/>
            <w:gridSpan w:val="3"/>
          </w:tcPr>
          <w:p>
            <w:pPr>
              <w:spacing w:after="0"/>
              <w:rPr>
                <w:sz w:val="10"/>
                <w:szCs w:val="10"/>
                <w:color w:val="auto"/>
              </w:rPr>
            </w:pPr>
          </w:p>
        </w:tc>
      </w:tr>
      <w:tr>
        <w:trPr>
          <w:trHeight w:val="245"/>
        </w:trPr>
        <w:tc>
          <w:tcPr>
            <w:tcW w:w="280" w:type="dxa"/>
            <w:vAlign w:val="bottom"/>
          </w:tcPr>
          <w:p>
            <w:pPr>
              <w:spacing w:after="0"/>
              <w:rPr>
                <w:sz w:val="20"/>
                <w:szCs w:val="20"/>
                <w:color w:val="auto"/>
              </w:rPr>
            </w:pPr>
            <w:r>
              <w:rPr>
                <w:rFonts w:ascii="Arial" w:cs="Arial" w:eastAsia="Arial" w:hAnsi="Arial"/>
                <w:sz w:val="14"/>
                <w:szCs w:val="14"/>
                <w:color w:val="auto"/>
                <w:w w:val="95"/>
              </w:rPr>
              <w:t>21.1</w:t>
            </w: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3240" w:type="dxa"/>
            <w:vAlign w:val="bottom"/>
            <w:tcBorders>
              <w:bottom w:val="single" w:sz="8" w:color="0000FF"/>
            </w:tcBorders>
            <w:gridSpan w:val="7"/>
          </w:tcPr>
          <w:p>
            <w:pPr>
              <w:spacing w:after="0"/>
              <w:rPr>
                <w:rFonts w:ascii="Arial" w:cs="Arial" w:eastAsia="Arial" w:hAnsi="Arial"/>
                <w:sz w:val="14"/>
                <w:szCs w:val="14"/>
                <w:color w:val="0000FF"/>
                <w:w w:val="93"/>
              </w:rPr>
            </w:pPr>
            <w:hyperlink w:anchor="page225">
              <w:r>
                <w:rPr>
                  <w:rFonts w:ascii="Arial" w:cs="Arial" w:eastAsia="Arial" w:hAnsi="Arial"/>
                  <w:sz w:val="14"/>
                  <w:szCs w:val="14"/>
                  <w:color w:val="0000FF"/>
                  <w:w w:val="93"/>
                </w:rPr>
                <w:t>List of Subsidiaries of Plains All American Pipeline, L.P.</w:t>
              </w:r>
            </w:hyperlink>
          </w:p>
        </w:tc>
        <w:tc>
          <w:tcPr>
            <w:tcW w:w="6280" w:type="dxa"/>
            <w:vAlign w:val="bottom"/>
            <w:gridSpan w:val="13"/>
          </w:tcPr>
          <w:p>
            <w:pPr>
              <w:spacing w:after="0"/>
              <w:rPr>
                <w:sz w:val="21"/>
                <w:szCs w:val="21"/>
                <w:color w:val="auto"/>
              </w:rPr>
            </w:pPr>
          </w:p>
        </w:tc>
      </w:tr>
      <w:tr>
        <w:trPr>
          <w:trHeight w:val="245"/>
        </w:trPr>
        <w:tc>
          <w:tcPr>
            <w:tcW w:w="280" w:type="dxa"/>
            <w:vAlign w:val="bottom"/>
          </w:tcPr>
          <w:p>
            <w:pPr>
              <w:spacing w:after="0"/>
              <w:rPr>
                <w:sz w:val="20"/>
                <w:szCs w:val="20"/>
                <w:color w:val="auto"/>
              </w:rPr>
            </w:pPr>
            <w:r>
              <w:rPr>
                <w:rFonts w:ascii="Arial" w:cs="Arial" w:eastAsia="Arial" w:hAnsi="Arial"/>
                <w:sz w:val="14"/>
                <w:szCs w:val="14"/>
                <w:color w:val="auto"/>
                <w:w w:val="95"/>
              </w:rPr>
              <w:t>23.1</w:t>
            </w: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0000FF"/>
            </w:tcBorders>
            <w:gridSpan w:val="6"/>
          </w:tcPr>
          <w:p>
            <w:pPr>
              <w:spacing w:after="0"/>
              <w:rPr>
                <w:rFonts w:ascii="Arial" w:cs="Arial" w:eastAsia="Arial" w:hAnsi="Arial"/>
                <w:sz w:val="14"/>
                <w:szCs w:val="14"/>
                <w:color w:val="0000FF"/>
                <w:w w:val="90"/>
              </w:rPr>
            </w:pPr>
            <w:hyperlink w:anchor="page227">
              <w:r>
                <w:rPr>
                  <w:rFonts w:ascii="Arial" w:cs="Arial" w:eastAsia="Arial" w:hAnsi="Arial"/>
                  <w:sz w:val="14"/>
                  <w:szCs w:val="14"/>
                  <w:color w:val="0000FF"/>
                  <w:w w:val="90"/>
                </w:rPr>
                <w:t>Consent of PricewaterhouseCoopers LLP.</w:t>
              </w:r>
            </w:hyperlink>
          </w:p>
        </w:tc>
        <w:tc>
          <w:tcPr>
            <w:tcW w:w="7140" w:type="dxa"/>
            <w:vAlign w:val="bottom"/>
            <w:gridSpan w:val="14"/>
          </w:tcPr>
          <w:p>
            <w:pPr>
              <w:spacing w:after="0"/>
              <w:rPr>
                <w:sz w:val="21"/>
                <w:szCs w:val="21"/>
                <w:color w:val="auto"/>
              </w:rPr>
            </w:pPr>
          </w:p>
        </w:tc>
      </w:tr>
      <w:tr>
        <w:trPr>
          <w:trHeight w:val="245"/>
        </w:trPr>
        <w:tc>
          <w:tcPr>
            <w:tcW w:w="280" w:type="dxa"/>
            <w:vAlign w:val="bottom"/>
          </w:tcPr>
          <w:p>
            <w:pPr>
              <w:spacing w:after="0"/>
              <w:rPr>
                <w:sz w:val="20"/>
                <w:szCs w:val="20"/>
                <w:color w:val="auto"/>
              </w:rPr>
            </w:pPr>
            <w:r>
              <w:rPr>
                <w:rFonts w:ascii="Arial" w:cs="Arial" w:eastAsia="Arial" w:hAnsi="Arial"/>
                <w:sz w:val="14"/>
                <w:szCs w:val="14"/>
                <w:color w:val="auto"/>
                <w:w w:val="95"/>
              </w:rPr>
              <w:t>31.1</w:t>
            </w: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5780" w:type="dxa"/>
            <w:vAlign w:val="bottom"/>
            <w:tcBorders>
              <w:bottom w:val="single" w:sz="8" w:color="0000FF"/>
            </w:tcBorders>
            <w:gridSpan w:val="12"/>
          </w:tcPr>
          <w:p>
            <w:pPr>
              <w:spacing w:after="0"/>
              <w:rPr>
                <w:rFonts w:ascii="Arial" w:cs="Arial" w:eastAsia="Arial" w:hAnsi="Arial"/>
                <w:sz w:val="14"/>
                <w:szCs w:val="14"/>
                <w:color w:val="0000FF"/>
                <w:w w:val="92"/>
              </w:rPr>
            </w:pPr>
            <w:hyperlink w:anchor="page228">
              <w:r>
                <w:rPr>
                  <w:rFonts w:ascii="Arial" w:cs="Arial" w:eastAsia="Arial" w:hAnsi="Arial"/>
                  <w:sz w:val="14"/>
                  <w:szCs w:val="14"/>
                  <w:color w:val="0000FF"/>
                  <w:w w:val="92"/>
                </w:rPr>
                <w:t>Certification of Principal Executive Officer pursuant to Exchange Act Rules 13a-14(a) and 15d-14(a).</w:t>
              </w:r>
            </w:hyperlink>
          </w:p>
        </w:tc>
        <w:tc>
          <w:tcPr>
            <w:tcW w:w="3740" w:type="dxa"/>
            <w:vAlign w:val="bottom"/>
            <w:gridSpan w:val="8"/>
          </w:tcPr>
          <w:p>
            <w:pPr>
              <w:spacing w:after="0"/>
              <w:rPr>
                <w:sz w:val="21"/>
                <w:szCs w:val="21"/>
                <w:color w:val="auto"/>
              </w:rPr>
            </w:pPr>
          </w:p>
        </w:tc>
      </w:tr>
      <w:tr>
        <w:trPr>
          <w:trHeight w:val="245"/>
        </w:trPr>
        <w:tc>
          <w:tcPr>
            <w:tcW w:w="280" w:type="dxa"/>
            <w:vAlign w:val="bottom"/>
          </w:tcPr>
          <w:p>
            <w:pPr>
              <w:spacing w:after="0"/>
              <w:rPr>
                <w:sz w:val="20"/>
                <w:szCs w:val="20"/>
                <w:color w:val="auto"/>
              </w:rPr>
            </w:pPr>
            <w:r>
              <w:rPr>
                <w:rFonts w:ascii="Arial" w:cs="Arial" w:eastAsia="Arial" w:hAnsi="Arial"/>
                <w:sz w:val="14"/>
                <w:szCs w:val="14"/>
                <w:color w:val="auto"/>
                <w:w w:val="95"/>
              </w:rPr>
              <w:t>31.2</w:t>
            </w: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5740" w:type="dxa"/>
            <w:vAlign w:val="bottom"/>
            <w:tcBorders>
              <w:bottom w:val="single" w:sz="8" w:color="0000FF"/>
            </w:tcBorders>
            <w:gridSpan w:val="11"/>
          </w:tcPr>
          <w:p>
            <w:pPr>
              <w:spacing w:after="0"/>
              <w:rPr>
                <w:rFonts w:ascii="Arial" w:cs="Arial" w:eastAsia="Arial" w:hAnsi="Arial"/>
                <w:sz w:val="14"/>
                <w:szCs w:val="14"/>
                <w:color w:val="0000FF"/>
                <w:w w:val="92"/>
              </w:rPr>
            </w:pPr>
            <w:hyperlink w:anchor="page229">
              <w:r>
                <w:rPr>
                  <w:rFonts w:ascii="Arial" w:cs="Arial" w:eastAsia="Arial" w:hAnsi="Arial"/>
                  <w:sz w:val="14"/>
                  <w:szCs w:val="14"/>
                  <w:color w:val="0000FF"/>
                  <w:w w:val="92"/>
                </w:rPr>
                <w:t>Certification of Principal Financial Officer pursuant to Exchange Act Rules 13a-14(a) and 15d-14(a).</w:t>
              </w:r>
            </w:hyperlink>
          </w:p>
        </w:tc>
        <w:tc>
          <w:tcPr>
            <w:tcW w:w="3780" w:type="dxa"/>
            <w:vAlign w:val="bottom"/>
            <w:gridSpan w:val="9"/>
          </w:tcPr>
          <w:p>
            <w:pPr>
              <w:spacing w:after="0"/>
              <w:rPr>
                <w:sz w:val="21"/>
                <w:szCs w:val="21"/>
                <w:color w:val="auto"/>
              </w:rPr>
            </w:pPr>
          </w:p>
        </w:tc>
      </w:tr>
      <w:tr>
        <w:trPr>
          <w:trHeight w:val="245"/>
        </w:trPr>
        <w:tc>
          <w:tcPr>
            <w:tcW w:w="280" w:type="dxa"/>
            <w:vAlign w:val="bottom"/>
          </w:tcPr>
          <w:p>
            <w:pPr>
              <w:spacing w:after="0"/>
              <w:rPr>
                <w:sz w:val="20"/>
                <w:szCs w:val="20"/>
                <w:color w:val="auto"/>
              </w:rPr>
            </w:pPr>
            <w:r>
              <w:rPr>
                <w:rFonts w:ascii="Arial" w:cs="Arial" w:eastAsia="Arial" w:hAnsi="Arial"/>
                <w:sz w:val="14"/>
                <w:szCs w:val="14"/>
                <w:color w:val="auto"/>
                <w:w w:val="95"/>
              </w:rPr>
              <w:t>32.1</w:t>
            </w: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80" w:type="dxa"/>
            <w:vAlign w:val="bottom"/>
            <w:tcBorders>
              <w:bottom w:val="single" w:sz="8" w:color="0000FF"/>
            </w:tcBorders>
            <w:gridSpan w:val="10"/>
          </w:tcPr>
          <w:p>
            <w:pPr>
              <w:spacing w:after="0"/>
              <w:rPr>
                <w:rFonts w:ascii="Arial" w:cs="Arial" w:eastAsia="Arial" w:hAnsi="Arial"/>
                <w:sz w:val="14"/>
                <w:szCs w:val="14"/>
                <w:color w:val="0000FF"/>
                <w:w w:val="93"/>
              </w:rPr>
            </w:pPr>
            <w:hyperlink w:anchor="page230">
              <w:r>
                <w:rPr>
                  <w:rFonts w:ascii="Arial" w:cs="Arial" w:eastAsia="Arial" w:hAnsi="Arial"/>
                  <w:sz w:val="14"/>
                  <w:szCs w:val="14"/>
                  <w:color w:val="0000FF"/>
                  <w:w w:val="93"/>
                </w:rPr>
                <w:t>Certification of Principal Executive Officer pursuant to 18 U.S.C. 1350.</w:t>
              </w:r>
            </w:hyperlink>
          </w:p>
        </w:tc>
        <w:tc>
          <w:tcPr>
            <w:tcW w:w="5440" w:type="dxa"/>
            <w:vAlign w:val="bottom"/>
            <w:gridSpan w:val="10"/>
          </w:tcPr>
          <w:p>
            <w:pPr>
              <w:spacing w:after="0"/>
              <w:rPr>
                <w:sz w:val="21"/>
                <w:szCs w:val="21"/>
                <w:color w:val="auto"/>
              </w:rPr>
            </w:pPr>
          </w:p>
        </w:tc>
      </w:tr>
      <w:tr>
        <w:trPr>
          <w:trHeight w:val="245"/>
        </w:trPr>
        <w:tc>
          <w:tcPr>
            <w:tcW w:w="280" w:type="dxa"/>
            <w:vAlign w:val="bottom"/>
          </w:tcPr>
          <w:p>
            <w:pPr>
              <w:spacing w:after="0"/>
              <w:rPr>
                <w:sz w:val="20"/>
                <w:szCs w:val="20"/>
                <w:color w:val="auto"/>
              </w:rPr>
            </w:pPr>
            <w:r>
              <w:rPr>
                <w:rFonts w:ascii="Arial" w:cs="Arial" w:eastAsia="Arial" w:hAnsi="Arial"/>
                <w:sz w:val="14"/>
                <w:szCs w:val="14"/>
                <w:color w:val="auto"/>
                <w:w w:val="95"/>
              </w:rPr>
              <w:t>32.2</w:t>
            </w:r>
          </w:p>
        </w:tc>
        <w:tc>
          <w:tcPr>
            <w:tcW w:w="6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0000FF"/>
            </w:tcBorders>
            <w:gridSpan w:val="9"/>
          </w:tcPr>
          <w:p>
            <w:pPr>
              <w:spacing w:after="0"/>
              <w:rPr>
                <w:rFonts w:ascii="Arial" w:cs="Arial" w:eastAsia="Arial" w:hAnsi="Arial"/>
                <w:sz w:val="14"/>
                <w:szCs w:val="14"/>
                <w:color w:val="0000FF"/>
                <w:w w:val="93"/>
              </w:rPr>
            </w:pPr>
            <w:hyperlink w:anchor="page231">
              <w:r>
                <w:rPr>
                  <w:rFonts w:ascii="Arial" w:cs="Arial" w:eastAsia="Arial" w:hAnsi="Arial"/>
                  <w:sz w:val="14"/>
                  <w:szCs w:val="14"/>
                  <w:color w:val="0000FF"/>
                  <w:w w:val="93"/>
                </w:rPr>
                <w:t>Certification of Principal Financial Officer pursuant to 18 U.S.C. 1350.</w:t>
              </w:r>
            </w:hyperlink>
          </w:p>
        </w:tc>
        <w:tc>
          <w:tcPr>
            <w:tcW w:w="5480" w:type="dxa"/>
            <w:vAlign w:val="bottom"/>
            <w:gridSpan w:val="11"/>
          </w:tcPr>
          <w:p>
            <w:pPr>
              <w:spacing w:after="0"/>
              <w:rPr>
                <w:sz w:val="21"/>
                <w:szCs w:val="21"/>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4"/>
                <w:szCs w:val="14"/>
                <w:color w:val="auto"/>
                <w:w w:val="95"/>
              </w:rPr>
              <w:t>101.</w:t>
            </w:r>
          </w:p>
        </w:tc>
        <w:tc>
          <w:tcPr>
            <w:tcW w:w="660" w:type="dxa"/>
            <w:vAlign w:val="bottom"/>
          </w:tcPr>
          <w:p>
            <w:pPr>
              <w:spacing w:after="0"/>
              <w:rPr>
                <w:sz w:val="20"/>
                <w:szCs w:val="20"/>
                <w:color w:val="auto"/>
              </w:rPr>
            </w:pPr>
            <w:r>
              <w:rPr>
                <w:rFonts w:ascii="Arial" w:cs="Arial" w:eastAsia="Arial" w:hAnsi="Arial"/>
                <w:sz w:val="14"/>
                <w:szCs w:val="14"/>
                <w:color w:val="auto"/>
              </w:rPr>
              <w:t>INS†</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w w:val="98"/>
              </w:rPr>
              <w:t>XBRL Instance Document - the instance document does not appear in the Interactive Data File because its XBRL tags are embedded within the Inline XBRL</w:t>
            </w:r>
          </w:p>
        </w:tc>
      </w:tr>
      <w:tr>
        <w:trPr>
          <w:trHeight w:val="180"/>
        </w:trPr>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520" w:type="dxa"/>
            <w:vAlign w:val="bottom"/>
            <w:gridSpan w:val="20"/>
          </w:tcPr>
          <w:p>
            <w:pPr>
              <w:spacing w:after="0"/>
              <w:rPr>
                <w:sz w:val="20"/>
                <w:szCs w:val="20"/>
                <w:color w:val="auto"/>
              </w:rPr>
            </w:pPr>
            <w:r>
              <w:rPr>
                <w:rFonts w:ascii="Arial" w:cs="Arial" w:eastAsia="Arial" w:hAnsi="Arial"/>
                <w:sz w:val="14"/>
                <w:szCs w:val="14"/>
                <w:color w:val="auto"/>
              </w:rPr>
              <w:t>document.</w:t>
            </w:r>
          </w:p>
        </w:tc>
      </w:tr>
      <w:tr>
        <w:trPr>
          <w:trHeight w:val="265"/>
        </w:trPr>
        <w:tc>
          <w:tcPr>
            <w:tcW w:w="940" w:type="dxa"/>
            <w:vAlign w:val="bottom"/>
            <w:gridSpan w:val="2"/>
          </w:tcPr>
          <w:p>
            <w:pPr>
              <w:spacing w:after="0"/>
              <w:rPr>
                <w:sz w:val="20"/>
                <w:szCs w:val="20"/>
                <w:color w:val="auto"/>
              </w:rPr>
            </w:pPr>
            <w:r>
              <w:rPr>
                <w:rFonts w:ascii="Arial" w:cs="Arial" w:eastAsia="Arial" w:hAnsi="Arial"/>
                <w:sz w:val="14"/>
                <w:szCs w:val="14"/>
                <w:color w:val="auto"/>
              </w:rPr>
              <w:t>101.SCH†</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65"/>
        </w:trPr>
        <w:tc>
          <w:tcPr>
            <w:tcW w:w="940" w:type="dxa"/>
            <w:vAlign w:val="bottom"/>
            <w:gridSpan w:val="2"/>
          </w:tcPr>
          <w:p>
            <w:pPr>
              <w:spacing w:after="0"/>
              <w:rPr>
                <w:sz w:val="20"/>
                <w:szCs w:val="20"/>
                <w:color w:val="auto"/>
              </w:rPr>
            </w:pPr>
            <w:r>
              <w:rPr>
                <w:rFonts w:ascii="Arial" w:cs="Arial" w:eastAsia="Arial" w:hAnsi="Arial"/>
                <w:sz w:val="14"/>
                <w:szCs w:val="14"/>
                <w:color w:val="auto"/>
              </w:rPr>
              <w:t>101.CAL†</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65"/>
        </w:trPr>
        <w:tc>
          <w:tcPr>
            <w:tcW w:w="940" w:type="dxa"/>
            <w:vAlign w:val="bottom"/>
            <w:gridSpan w:val="2"/>
          </w:tcPr>
          <w:p>
            <w:pPr>
              <w:spacing w:after="0"/>
              <w:rPr>
                <w:sz w:val="20"/>
                <w:szCs w:val="20"/>
                <w:color w:val="auto"/>
              </w:rPr>
            </w:pPr>
            <w:r>
              <w:rPr>
                <w:rFonts w:ascii="Arial" w:cs="Arial" w:eastAsia="Arial" w:hAnsi="Arial"/>
                <w:sz w:val="14"/>
                <w:szCs w:val="14"/>
                <w:color w:val="auto"/>
              </w:rPr>
              <w:t>101.DEF†</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65"/>
        </w:trPr>
        <w:tc>
          <w:tcPr>
            <w:tcW w:w="940" w:type="dxa"/>
            <w:vAlign w:val="bottom"/>
            <w:gridSpan w:val="2"/>
          </w:tcPr>
          <w:p>
            <w:pPr>
              <w:spacing w:after="0"/>
              <w:rPr>
                <w:sz w:val="20"/>
                <w:szCs w:val="20"/>
                <w:color w:val="auto"/>
              </w:rPr>
            </w:pPr>
            <w:r>
              <w:rPr>
                <w:rFonts w:ascii="Arial" w:cs="Arial" w:eastAsia="Arial" w:hAnsi="Arial"/>
                <w:sz w:val="14"/>
                <w:szCs w:val="14"/>
                <w:color w:val="auto"/>
              </w:rPr>
              <w:t>101.LAB†</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65"/>
        </w:trPr>
        <w:tc>
          <w:tcPr>
            <w:tcW w:w="940" w:type="dxa"/>
            <w:vAlign w:val="bottom"/>
            <w:gridSpan w:val="2"/>
          </w:tcPr>
          <w:p>
            <w:pPr>
              <w:spacing w:after="0"/>
              <w:rPr>
                <w:sz w:val="20"/>
                <w:szCs w:val="20"/>
                <w:color w:val="auto"/>
              </w:rPr>
            </w:pPr>
            <w:r>
              <w:rPr>
                <w:rFonts w:ascii="Arial" w:cs="Arial" w:eastAsia="Arial" w:hAnsi="Arial"/>
                <w:sz w:val="14"/>
                <w:szCs w:val="14"/>
                <w:color w:val="auto"/>
              </w:rPr>
              <w:t>101.PRE†</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65"/>
        </w:trPr>
        <w:tc>
          <w:tcPr>
            <w:tcW w:w="280" w:type="dxa"/>
            <w:vAlign w:val="bottom"/>
          </w:tcPr>
          <w:p>
            <w:pPr>
              <w:spacing w:after="0"/>
              <w:rPr>
                <w:sz w:val="20"/>
                <w:szCs w:val="20"/>
                <w:color w:val="auto"/>
              </w:rPr>
            </w:pPr>
            <w:r>
              <w:rPr>
                <w:rFonts w:ascii="Arial" w:cs="Arial" w:eastAsia="Arial" w:hAnsi="Arial"/>
                <w:sz w:val="14"/>
                <w:szCs w:val="14"/>
                <w:color w:val="auto"/>
                <w:w w:val="83"/>
              </w:rPr>
              <w:t>104†</w:t>
            </w:r>
          </w:p>
        </w:tc>
        <w:tc>
          <w:tcPr>
            <w:tcW w:w="660" w:type="dxa"/>
            <w:vAlign w:val="bottom"/>
          </w:tcPr>
          <w:p>
            <w:pPr>
              <w:spacing w:after="0"/>
              <w:rPr>
                <w:sz w:val="23"/>
                <w:szCs w:val="23"/>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9520" w:type="dxa"/>
            <w:vAlign w:val="bottom"/>
            <w:gridSpan w:val="20"/>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46570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8">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67" w:lineRule="exact"/>
        <w:rPr>
          <w:sz w:val="20"/>
          <w:szCs w:val="20"/>
          <w:color w:val="auto"/>
        </w:rPr>
      </w:pPr>
    </w:p>
    <w:p>
      <w:pPr>
        <w:ind w:left="160" w:hanging="155"/>
        <w:spacing w:after="0"/>
        <w:tabs>
          <w:tab w:leader="none" w:pos="160" w:val="left"/>
        </w:tabs>
        <w:numPr>
          <w:ilvl w:val="0"/>
          <w:numId w:val="75"/>
        </w:numPr>
        <w:rPr>
          <w:rFonts w:ascii="Arial" w:cs="Arial" w:eastAsia="Arial" w:hAnsi="Arial"/>
          <w:sz w:val="10"/>
          <w:szCs w:val="10"/>
          <w:color w:val="auto"/>
        </w:rPr>
      </w:pPr>
      <w:r>
        <w:rPr>
          <w:rFonts w:ascii="Arial" w:cs="Arial" w:eastAsia="Arial" w:hAnsi="Arial"/>
          <w:sz w:val="14"/>
          <w:szCs w:val="14"/>
          <w:color w:val="auto"/>
        </w:rPr>
        <w:t>Filed herewith.</w:t>
      </w:r>
    </w:p>
    <w:p>
      <w:pPr>
        <w:spacing w:after="0" w:line="94" w:lineRule="exact"/>
        <w:rPr>
          <w:sz w:val="20"/>
          <w:szCs w:val="20"/>
          <w:color w:val="auto"/>
        </w:rPr>
      </w:pPr>
    </w:p>
    <w:p>
      <w:pPr>
        <w:ind w:left="200" w:hanging="195"/>
        <w:spacing w:after="0"/>
        <w:tabs>
          <w:tab w:leader="none" w:pos="200" w:val="left"/>
        </w:tabs>
        <w:numPr>
          <w:ilvl w:val="0"/>
          <w:numId w:val="76"/>
        </w:numPr>
        <w:rPr>
          <w:rFonts w:ascii="Arial" w:cs="Arial" w:eastAsia="Arial" w:hAnsi="Arial"/>
          <w:sz w:val="10"/>
          <w:szCs w:val="10"/>
          <w:color w:val="auto"/>
        </w:rPr>
      </w:pPr>
      <w:r>
        <w:rPr>
          <w:rFonts w:ascii="Arial" w:cs="Arial" w:eastAsia="Arial" w:hAnsi="Arial"/>
          <w:sz w:val="14"/>
          <w:szCs w:val="14"/>
          <w:color w:val="auto"/>
        </w:rPr>
        <w:t>Furnished herewith.</w:t>
      </w:r>
    </w:p>
    <w:p>
      <w:pPr>
        <w:spacing w:after="0" w:line="94" w:lineRule="exact"/>
        <w:rPr>
          <w:sz w:val="20"/>
          <w:szCs w:val="20"/>
          <w:color w:val="auto"/>
        </w:rPr>
      </w:pPr>
    </w:p>
    <w:p>
      <w:pPr>
        <w:ind w:right="1100" w:firstLine="5"/>
        <w:spacing w:after="0" w:line="407" w:lineRule="auto"/>
        <w:tabs>
          <w:tab w:leader="none" w:pos="212" w:val="left"/>
        </w:tabs>
        <w:numPr>
          <w:ilvl w:val="0"/>
          <w:numId w:val="77"/>
        </w:numPr>
        <w:rPr>
          <w:rFonts w:ascii="Arial" w:cs="Arial" w:eastAsia="Arial" w:hAnsi="Arial"/>
          <w:sz w:val="14"/>
          <w:szCs w:val="14"/>
          <w:color w:val="auto"/>
        </w:rPr>
      </w:pPr>
      <w:r>
        <w:rPr>
          <w:rFonts w:ascii="Arial" w:cs="Arial" w:eastAsia="Arial" w:hAnsi="Arial"/>
          <w:sz w:val="14"/>
          <w:szCs w:val="14"/>
          <w:color w:val="auto"/>
        </w:rPr>
        <w:t>Certain schedules have been omitted pursuant to Item 601(b)(2) of Regulation S-K. A copy of any omitted schedule will be furnished supplementally to the SEC upon request. ** Management compensatory plan or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16. </w:t>
      </w:r>
      <w:r>
        <w:rPr>
          <w:rFonts w:ascii="Arial" w:cs="Arial" w:eastAsia="Arial" w:hAnsi="Arial"/>
          <w:sz w:val="14"/>
          <w:szCs w:val="14"/>
          <w:b w:val="1"/>
          <w:bCs w:val="1"/>
          <w:i w:val="1"/>
          <w:iCs w:val="1"/>
          <w:color w:val="auto"/>
        </w:rPr>
        <w:t>Form 10-K Summary</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10" w:name="page111"/>
    <w:bookmarkEnd w:id="11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PLAINS ALL AMERICAN PIPELINE, L.P.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40" w:type="dxa"/>
            <w:vAlign w:val="bottom"/>
          </w:tcPr>
          <w:p>
            <w:pPr>
              <w:ind w:left="5600"/>
              <w:spacing w:after="0"/>
              <w:rPr>
                <w:sz w:val="20"/>
                <w:szCs w:val="20"/>
                <w:color w:val="auto"/>
              </w:rPr>
            </w:pPr>
            <w:r>
              <w:rPr>
                <w:rFonts w:ascii="Arial" w:cs="Arial" w:eastAsia="Arial" w:hAnsi="Arial"/>
                <w:sz w:val="14"/>
                <w:szCs w:val="14"/>
                <w:color w:val="auto"/>
              </w:rPr>
              <w:t>By:</w:t>
            </w:r>
          </w:p>
        </w:tc>
        <w:tc>
          <w:tcPr>
            <w:tcW w:w="5240" w:type="dxa"/>
            <w:vAlign w:val="bottom"/>
            <w:gridSpan w:val="2"/>
          </w:tcPr>
          <w:p>
            <w:pPr>
              <w:ind w:left="20"/>
              <w:spacing w:after="0"/>
              <w:rPr>
                <w:sz w:val="20"/>
                <w:szCs w:val="20"/>
                <w:color w:val="auto"/>
              </w:rPr>
            </w:pPr>
            <w:r>
              <w:rPr>
                <w:rFonts w:ascii="Arial" w:cs="Arial" w:eastAsia="Arial" w:hAnsi="Arial"/>
                <w:sz w:val="14"/>
                <w:szCs w:val="14"/>
                <w:color w:val="auto"/>
              </w:rPr>
              <w:t>PAA GP LLC,</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i w:val="1"/>
                <w:iCs w:val="1"/>
                <w:color w:val="auto"/>
              </w:rPr>
              <w:t>its general partner</w:t>
            </w:r>
          </w:p>
        </w:tc>
      </w:tr>
      <w:tr>
        <w:trPr>
          <w:trHeight w:val="382"/>
        </w:trPr>
        <w:tc>
          <w:tcPr>
            <w:tcW w:w="6040" w:type="dxa"/>
            <w:vAlign w:val="bottom"/>
          </w:tcPr>
          <w:p>
            <w:pPr>
              <w:ind w:left="5600"/>
              <w:spacing w:after="0"/>
              <w:rPr>
                <w:sz w:val="20"/>
                <w:szCs w:val="20"/>
                <w:color w:val="auto"/>
              </w:rPr>
            </w:pPr>
            <w:r>
              <w:rPr>
                <w:rFonts w:ascii="Arial" w:cs="Arial" w:eastAsia="Arial" w:hAnsi="Arial"/>
                <w:sz w:val="14"/>
                <w:szCs w:val="14"/>
                <w:color w:val="auto"/>
              </w:rPr>
              <w:t>By:</w:t>
            </w:r>
          </w:p>
        </w:tc>
        <w:tc>
          <w:tcPr>
            <w:tcW w:w="5240" w:type="dxa"/>
            <w:vAlign w:val="bottom"/>
            <w:gridSpan w:val="2"/>
          </w:tcPr>
          <w:p>
            <w:pPr>
              <w:ind w:left="20"/>
              <w:spacing w:after="0"/>
              <w:rPr>
                <w:sz w:val="20"/>
                <w:szCs w:val="20"/>
                <w:color w:val="auto"/>
              </w:rPr>
            </w:pPr>
            <w:r>
              <w:rPr>
                <w:rFonts w:ascii="Arial" w:cs="Arial" w:eastAsia="Arial" w:hAnsi="Arial"/>
                <w:sz w:val="14"/>
                <w:szCs w:val="14"/>
                <w:color w:val="auto"/>
              </w:rPr>
              <w:t>Plains AAP, L.P.,</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i w:val="1"/>
                <w:iCs w:val="1"/>
                <w:color w:val="auto"/>
              </w:rPr>
              <w:t>its sole member</w:t>
            </w:r>
          </w:p>
        </w:tc>
      </w:tr>
      <w:tr>
        <w:trPr>
          <w:trHeight w:val="382"/>
        </w:trPr>
        <w:tc>
          <w:tcPr>
            <w:tcW w:w="6040" w:type="dxa"/>
            <w:vAlign w:val="bottom"/>
          </w:tcPr>
          <w:p>
            <w:pPr>
              <w:ind w:left="5600"/>
              <w:spacing w:after="0"/>
              <w:rPr>
                <w:sz w:val="20"/>
                <w:szCs w:val="20"/>
                <w:color w:val="auto"/>
              </w:rPr>
            </w:pPr>
            <w:r>
              <w:rPr>
                <w:rFonts w:ascii="Arial" w:cs="Arial" w:eastAsia="Arial" w:hAnsi="Arial"/>
                <w:sz w:val="14"/>
                <w:szCs w:val="14"/>
                <w:color w:val="auto"/>
              </w:rPr>
              <w:t>By:</w:t>
            </w:r>
          </w:p>
        </w:tc>
        <w:tc>
          <w:tcPr>
            <w:tcW w:w="5240" w:type="dxa"/>
            <w:vAlign w:val="bottom"/>
            <w:gridSpan w:val="2"/>
          </w:tcPr>
          <w:p>
            <w:pPr>
              <w:ind w:left="20"/>
              <w:spacing w:after="0"/>
              <w:rPr>
                <w:sz w:val="20"/>
                <w:szCs w:val="20"/>
                <w:color w:val="auto"/>
              </w:rPr>
            </w:pPr>
            <w:r>
              <w:rPr>
                <w:rFonts w:ascii="Arial" w:cs="Arial" w:eastAsia="Arial" w:hAnsi="Arial"/>
                <w:sz w:val="14"/>
                <w:szCs w:val="14"/>
                <w:color w:val="auto"/>
              </w:rPr>
              <w:t>PLAINS ALL AMERICAN GP LLC,</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i w:val="1"/>
                <w:iCs w:val="1"/>
                <w:color w:val="auto"/>
              </w:rPr>
              <w:t>its general partner</w:t>
            </w:r>
          </w:p>
        </w:tc>
      </w:tr>
      <w:tr>
        <w:trPr>
          <w:trHeight w:val="382"/>
        </w:trPr>
        <w:tc>
          <w:tcPr>
            <w:tcW w:w="6040" w:type="dxa"/>
            <w:vAlign w:val="bottom"/>
          </w:tcPr>
          <w:p>
            <w:pPr>
              <w:ind w:left="5600"/>
              <w:spacing w:after="0"/>
              <w:rPr>
                <w:sz w:val="20"/>
                <w:szCs w:val="20"/>
                <w:color w:val="auto"/>
              </w:rPr>
            </w:pPr>
            <w:r>
              <w:rPr>
                <w:rFonts w:ascii="Arial" w:cs="Arial" w:eastAsia="Arial" w:hAnsi="Arial"/>
                <w:sz w:val="14"/>
                <w:szCs w:val="14"/>
                <w:color w:val="auto"/>
              </w:rPr>
              <w:t>By:</w:t>
            </w:r>
          </w:p>
        </w:tc>
        <w:tc>
          <w:tcPr>
            <w:tcW w:w="5240" w:type="dxa"/>
            <w:vAlign w:val="bottom"/>
            <w:gridSpan w:val="2"/>
          </w:tcPr>
          <w:p>
            <w:pPr>
              <w:ind w:left="20"/>
              <w:spacing w:after="0"/>
              <w:rPr>
                <w:sz w:val="20"/>
                <w:szCs w:val="20"/>
                <w:color w:val="auto"/>
              </w:rPr>
            </w:pPr>
            <w:r>
              <w:rPr>
                <w:rFonts w:ascii="Arial" w:cs="Arial" w:eastAsia="Arial" w:hAnsi="Arial"/>
                <w:sz w:val="14"/>
                <w:szCs w:val="14"/>
                <w:color w:val="auto"/>
              </w:rPr>
              <w:t>/s/ Willie Chiang</w:t>
            </w:r>
          </w:p>
        </w:tc>
      </w:tr>
      <w:tr>
        <w:trPr>
          <w:trHeight w:val="171"/>
        </w:trPr>
        <w:tc>
          <w:tcPr>
            <w:tcW w:w="6040" w:type="dxa"/>
            <w:vAlign w:val="bottom"/>
          </w:tcPr>
          <w:p>
            <w:pPr>
              <w:spacing w:after="0"/>
              <w:rPr>
                <w:sz w:val="14"/>
                <w:szCs w:val="14"/>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Willie Chiang,</w:t>
            </w:r>
          </w:p>
        </w:tc>
        <w:tc>
          <w:tcPr>
            <w:tcW w:w="20" w:type="dxa"/>
            <w:vAlign w:val="bottom"/>
          </w:tcPr>
          <w:p>
            <w:pPr>
              <w:spacing w:after="0"/>
              <w:rPr>
                <w:sz w:val="14"/>
                <w:szCs w:val="14"/>
                <w:color w:val="auto"/>
              </w:rPr>
            </w:pP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Chief Executive Officer of Plains All American GP LLC</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Executive Officer)</w:t>
            </w:r>
          </w:p>
        </w:tc>
      </w:tr>
      <w:tr>
        <w:trPr>
          <w:trHeight w:val="393"/>
        </w:trPr>
        <w:tc>
          <w:tcPr>
            <w:tcW w:w="6040" w:type="dxa"/>
            <w:vAlign w:val="bottom"/>
          </w:tcPr>
          <w:p>
            <w:pPr>
              <w:ind w:left="20"/>
              <w:spacing w:after="0"/>
              <w:rPr>
                <w:sz w:val="20"/>
                <w:szCs w:val="20"/>
                <w:color w:val="auto"/>
              </w:rPr>
            </w:pPr>
            <w:r>
              <w:rPr>
                <w:rFonts w:ascii="Arial" w:cs="Arial" w:eastAsia="Arial" w:hAnsi="Arial"/>
                <w:sz w:val="14"/>
                <w:szCs w:val="14"/>
                <w:color w:val="auto"/>
              </w:rPr>
              <w:t>February 28, 2022</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2"/>
        </w:trPr>
        <w:tc>
          <w:tcPr>
            <w:tcW w:w="6040" w:type="dxa"/>
            <w:vAlign w:val="bottom"/>
          </w:tcPr>
          <w:p>
            <w:pPr>
              <w:ind w:left="5600"/>
              <w:spacing w:after="0"/>
              <w:rPr>
                <w:sz w:val="20"/>
                <w:szCs w:val="20"/>
                <w:color w:val="auto"/>
              </w:rPr>
            </w:pPr>
            <w:r>
              <w:rPr>
                <w:rFonts w:ascii="Arial" w:cs="Arial" w:eastAsia="Arial" w:hAnsi="Arial"/>
                <w:sz w:val="14"/>
                <w:szCs w:val="14"/>
                <w:color w:val="auto"/>
              </w:rPr>
              <w:t>By:</w:t>
            </w:r>
          </w:p>
        </w:tc>
        <w:tc>
          <w:tcPr>
            <w:tcW w:w="5240" w:type="dxa"/>
            <w:vAlign w:val="bottom"/>
            <w:gridSpan w:val="2"/>
          </w:tcPr>
          <w:p>
            <w:pPr>
              <w:ind w:left="20"/>
              <w:spacing w:after="0"/>
              <w:rPr>
                <w:sz w:val="20"/>
                <w:szCs w:val="20"/>
                <w:color w:val="auto"/>
              </w:rPr>
            </w:pPr>
            <w:r>
              <w:rPr>
                <w:rFonts w:ascii="Arial" w:cs="Arial" w:eastAsia="Arial" w:hAnsi="Arial"/>
                <w:sz w:val="14"/>
                <w:szCs w:val="14"/>
                <w:color w:val="auto"/>
              </w:rPr>
              <w:t>/s/ Al Swanson</w:t>
            </w:r>
          </w:p>
        </w:tc>
      </w:tr>
      <w:tr>
        <w:trPr>
          <w:trHeight w:val="171"/>
        </w:trPr>
        <w:tc>
          <w:tcPr>
            <w:tcW w:w="6040" w:type="dxa"/>
            <w:vAlign w:val="bottom"/>
          </w:tcPr>
          <w:p>
            <w:pPr>
              <w:spacing w:after="0"/>
              <w:rPr>
                <w:sz w:val="14"/>
                <w:szCs w:val="14"/>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Al Swanson,</w:t>
            </w:r>
          </w:p>
        </w:tc>
        <w:tc>
          <w:tcPr>
            <w:tcW w:w="20" w:type="dxa"/>
            <w:vAlign w:val="bottom"/>
          </w:tcPr>
          <w:p>
            <w:pPr>
              <w:spacing w:after="0"/>
              <w:rPr>
                <w:sz w:val="14"/>
                <w:szCs w:val="14"/>
                <w:color w:val="auto"/>
              </w:rPr>
            </w:pP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93"/>
              </w:rPr>
              <w:t>Executive Vice President and Chief Financial Officer of Plains All American GP LLC</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Financial Officer)</w:t>
            </w:r>
          </w:p>
        </w:tc>
      </w:tr>
      <w:tr>
        <w:trPr>
          <w:trHeight w:val="382"/>
        </w:trPr>
        <w:tc>
          <w:tcPr>
            <w:tcW w:w="6040" w:type="dxa"/>
            <w:vAlign w:val="bottom"/>
          </w:tcPr>
          <w:p>
            <w:pPr>
              <w:ind w:left="20"/>
              <w:spacing w:after="0"/>
              <w:rPr>
                <w:sz w:val="20"/>
                <w:szCs w:val="20"/>
                <w:color w:val="auto"/>
              </w:rPr>
            </w:pPr>
            <w:r>
              <w:rPr>
                <w:rFonts w:ascii="Arial" w:cs="Arial" w:eastAsia="Arial" w:hAnsi="Arial"/>
                <w:sz w:val="14"/>
                <w:szCs w:val="14"/>
                <w:color w:val="auto"/>
              </w:rPr>
              <w:t>February 28, 2022</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2"/>
        </w:trPr>
        <w:tc>
          <w:tcPr>
            <w:tcW w:w="6040" w:type="dxa"/>
            <w:vAlign w:val="bottom"/>
          </w:tcPr>
          <w:p>
            <w:pPr>
              <w:ind w:left="5600"/>
              <w:spacing w:after="0"/>
              <w:rPr>
                <w:sz w:val="20"/>
                <w:szCs w:val="20"/>
                <w:color w:val="auto"/>
              </w:rPr>
            </w:pPr>
            <w:r>
              <w:rPr>
                <w:rFonts w:ascii="Arial" w:cs="Arial" w:eastAsia="Arial" w:hAnsi="Arial"/>
                <w:sz w:val="14"/>
                <w:szCs w:val="14"/>
                <w:color w:val="auto"/>
              </w:rPr>
              <w:t>By:</w:t>
            </w:r>
          </w:p>
        </w:tc>
        <w:tc>
          <w:tcPr>
            <w:tcW w:w="5240" w:type="dxa"/>
            <w:vAlign w:val="bottom"/>
            <w:gridSpan w:val="2"/>
          </w:tcPr>
          <w:p>
            <w:pPr>
              <w:ind w:left="20"/>
              <w:spacing w:after="0"/>
              <w:rPr>
                <w:sz w:val="20"/>
                <w:szCs w:val="20"/>
                <w:color w:val="auto"/>
              </w:rPr>
            </w:pPr>
            <w:r>
              <w:rPr>
                <w:rFonts w:ascii="Arial" w:cs="Arial" w:eastAsia="Arial" w:hAnsi="Arial"/>
                <w:sz w:val="14"/>
                <w:szCs w:val="14"/>
                <w:color w:val="auto"/>
              </w:rPr>
              <w:t>/s/ Chris Herbold</w:t>
            </w:r>
          </w:p>
        </w:tc>
      </w:tr>
      <w:tr>
        <w:trPr>
          <w:trHeight w:val="171"/>
        </w:trPr>
        <w:tc>
          <w:tcPr>
            <w:tcW w:w="6040" w:type="dxa"/>
            <w:vAlign w:val="bottom"/>
          </w:tcPr>
          <w:p>
            <w:pPr>
              <w:spacing w:after="0"/>
              <w:rPr>
                <w:sz w:val="14"/>
                <w:szCs w:val="14"/>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Chris Herbold,</w:t>
            </w:r>
          </w:p>
        </w:tc>
        <w:tc>
          <w:tcPr>
            <w:tcW w:w="20" w:type="dxa"/>
            <w:vAlign w:val="bottom"/>
          </w:tcPr>
          <w:p>
            <w:pPr>
              <w:spacing w:after="0"/>
              <w:rPr>
                <w:sz w:val="14"/>
                <w:szCs w:val="14"/>
                <w:color w:val="auto"/>
              </w:rPr>
            </w:pPr>
          </w:p>
        </w:tc>
      </w:tr>
      <w:tr>
        <w:trPr>
          <w:trHeight w:val="138"/>
        </w:trPr>
        <w:tc>
          <w:tcPr>
            <w:tcW w:w="6040" w:type="dxa"/>
            <w:vAlign w:val="bottom"/>
          </w:tcPr>
          <w:p>
            <w:pPr>
              <w:spacing w:after="0"/>
              <w:rPr>
                <w:sz w:val="12"/>
                <w:szCs w:val="12"/>
                <w:color w:val="auto"/>
              </w:rPr>
            </w:pPr>
          </w:p>
        </w:tc>
        <w:tc>
          <w:tcPr>
            <w:tcW w:w="5240" w:type="dxa"/>
            <w:vAlign w:val="bottom"/>
            <w:gridSpan w:val="2"/>
          </w:tcPr>
          <w:p>
            <w:pPr>
              <w:ind w:left="20"/>
              <w:spacing w:after="0" w:line="138" w:lineRule="exact"/>
              <w:rPr>
                <w:sz w:val="20"/>
                <w:szCs w:val="20"/>
                <w:color w:val="auto"/>
              </w:rPr>
            </w:pPr>
            <w:r>
              <w:rPr>
                <w:rFonts w:ascii="Arial" w:cs="Arial" w:eastAsia="Arial" w:hAnsi="Arial"/>
                <w:sz w:val="14"/>
                <w:szCs w:val="14"/>
                <w:b w:val="1"/>
                <w:bCs w:val="1"/>
                <w:i w:val="1"/>
                <w:iCs w:val="1"/>
                <w:color w:val="auto"/>
              </w:rPr>
              <w:t>Senior Vice President, Finance and Chief Accounting Officer of Plains All</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American GP LLC</w:t>
            </w:r>
          </w:p>
        </w:tc>
      </w:tr>
      <w:tr>
        <w:trPr>
          <w:trHeight w:val="180"/>
        </w:trPr>
        <w:tc>
          <w:tcPr>
            <w:tcW w:w="6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Accounting Officer)</w:t>
            </w:r>
          </w:p>
        </w:tc>
      </w:tr>
      <w:tr>
        <w:trPr>
          <w:trHeight w:val="393"/>
        </w:trPr>
        <w:tc>
          <w:tcPr>
            <w:tcW w:w="6040" w:type="dxa"/>
            <w:vAlign w:val="bottom"/>
          </w:tcPr>
          <w:p>
            <w:pPr>
              <w:ind w:left="20"/>
              <w:spacing w:after="0"/>
              <w:rPr>
                <w:sz w:val="20"/>
                <w:szCs w:val="20"/>
                <w:color w:val="auto"/>
              </w:rPr>
            </w:pPr>
            <w:r>
              <w:rPr>
                <w:rFonts w:ascii="Arial" w:cs="Arial" w:eastAsia="Arial" w:hAnsi="Arial"/>
                <w:sz w:val="14"/>
                <w:szCs w:val="14"/>
                <w:color w:val="auto"/>
              </w:rPr>
              <w:t>February 28, 2022</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0"/>
        </w:trPr>
        <w:tc>
          <w:tcPr>
            <w:tcW w:w="6040" w:type="dxa"/>
            <w:vAlign w:val="bottom"/>
          </w:tcPr>
          <w:p>
            <w:pPr>
              <w:ind w:left="5540"/>
              <w:spacing w:after="0"/>
              <w:rPr>
                <w:sz w:val="20"/>
                <w:szCs w:val="20"/>
                <w:color w:val="auto"/>
              </w:rPr>
            </w:pPr>
            <w:r>
              <w:rPr>
                <w:rFonts w:ascii="Arial" w:cs="Arial" w:eastAsia="Arial" w:hAnsi="Arial"/>
                <w:sz w:val="14"/>
                <w:szCs w:val="14"/>
                <w:color w:val="auto"/>
              </w:rPr>
              <w:t>111</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6040" w:type="dxa"/>
            <w:vAlign w:val="bottom"/>
            <w:tcBorders>
              <w:bottom w:val="single" w:sz="8" w:color="9A9A9A"/>
            </w:tcBorders>
          </w:tcPr>
          <w:p>
            <w:pPr>
              <w:spacing w:after="0"/>
              <w:rPr>
                <w:sz w:val="7"/>
                <w:szCs w:val="7"/>
                <w:color w:val="auto"/>
              </w:rPr>
            </w:pPr>
          </w:p>
        </w:tc>
        <w:tc>
          <w:tcPr>
            <w:tcW w:w="5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1" w:name="page112"/>
    <w:bookmarkEnd w:id="11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60"/>
          </w:cols>
          <w:pgMar w:left="300" w:top="133" w:right="339" w:bottom="1440" w:gutter="0" w:footer="0" w:header="0"/>
        </w:sectPr>
      </w:pPr>
    </w:p>
    <w:p>
      <w:pPr>
        <w:spacing w:after="0" w:line="17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18415</wp:posOffset>
            </wp:positionV>
            <wp:extent cx="179895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2">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4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3">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Willie Chiang</w:t>
      </w:r>
    </w:p>
    <w:p>
      <w:pPr>
        <w:spacing w:after="0" w:line="24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4">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Harry N. Pefanis</w:t>
      </w:r>
    </w:p>
    <w:p>
      <w:pPr>
        <w:spacing w:after="0" w:line="24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5">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Al Swanson</w:t>
      </w:r>
    </w:p>
    <w:p>
      <w:pPr>
        <w:spacing w:after="0" w:line="24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6">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Chris Herbold</w:t>
      </w:r>
    </w:p>
    <w:p>
      <w:pPr>
        <w:spacing w:after="0" w:line="2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7">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Greg L. Armstrong</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8">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Victor Burk</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9">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Kevin McCarthy</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Gary R. Petersen</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1">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Alexandra D. Pruner</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2">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John T. Raymond</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79895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3">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Bobby S. Shackouls</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12"/>
          <w:szCs w:val="12"/>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26670</wp:posOffset>
            </wp:positionV>
            <wp:extent cx="179895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4">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Christopher M. Temple</w:t>
      </w:r>
    </w:p>
    <w:p>
      <w:pPr>
        <w:spacing w:after="0" w:line="232" w:lineRule="exact"/>
        <w:rPr>
          <w:sz w:val="20"/>
          <w:szCs w:val="20"/>
          <w:color w:val="auto"/>
        </w:rPr>
      </w:pPr>
    </w:p>
    <w:p>
      <w:pPr>
        <w:jc w:val="center"/>
        <w:ind w:left="640"/>
        <w:spacing w:after="0"/>
        <w:rPr>
          <w:sz w:val="20"/>
          <w:szCs w:val="20"/>
          <w:color w:val="auto"/>
        </w:rPr>
      </w:pPr>
      <w:r>
        <w:rPr>
          <w:rFonts w:ascii="Arial" w:cs="Arial" w:eastAsia="Arial" w:hAnsi="Arial"/>
          <w:sz w:val="13"/>
          <w:szCs w:val="13"/>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19685</wp:posOffset>
            </wp:positionV>
            <wp:extent cx="179895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5">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Lawrence M. Ziemba</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6440" w:type="dxa"/>
            <w:vAlign w:val="bottom"/>
            <w:tcBorders>
              <w:bottom w:val="single" w:sz="8" w:color="auto"/>
            </w:tcBorders>
          </w:tcPr>
          <w:p>
            <w:pPr>
              <w:ind w:left="3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176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Date</w:t>
            </w:r>
          </w:p>
        </w:tc>
      </w:tr>
      <w:tr>
        <w:trPr>
          <w:trHeight w:val="324"/>
        </w:trPr>
        <w:tc>
          <w:tcPr>
            <w:tcW w:w="6540" w:type="dxa"/>
            <w:vAlign w:val="bottom"/>
            <w:gridSpan w:val="2"/>
          </w:tcPr>
          <w:p>
            <w:pPr>
              <w:spacing w:after="0"/>
              <w:rPr>
                <w:sz w:val="20"/>
                <w:szCs w:val="20"/>
                <w:color w:val="auto"/>
              </w:rPr>
            </w:pPr>
            <w:r>
              <w:rPr>
                <w:rFonts w:ascii="Arial" w:cs="Arial" w:eastAsia="Arial" w:hAnsi="Arial"/>
                <w:sz w:val="14"/>
                <w:szCs w:val="14"/>
                <w:color w:val="auto"/>
                <w:w w:val="97"/>
              </w:rPr>
              <w:t>Chairman of the Board of PAA GP Holdings LLC and Chief Executive Officer of Plains All American GP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180"/>
        </w:trPr>
        <w:tc>
          <w:tcPr>
            <w:tcW w:w="6540" w:type="dxa"/>
            <w:vAlign w:val="bottom"/>
            <w:gridSpan w:val="2"/>
          </w:tcPr>
          <w:p>
            <w:pPr>
              <w:spacing w:after="0"/>
              <w:rPr>
                <w:sz w:val="20"/>
                <w:szCs w:val="20"/>
                <w:color w:val="auto"/>
              </w:rPr>
            </w:pPr>
            <w:r>
              <w:rPr>
                <w:rFonts w:ascii="Arial" w:cs="Arial" w:eastAsia="Arial" w:hAnsi="Arial"/>
                <w:sz w:val="14"/>
                <w:szCs w:val="14"/>
                <w:color w:val="auto"/>
              </w:rPr>
              <w:t>(Principal Executive Officer)</w:t>
            </w:r>
          </w:p>
        </w:tc>
        <w:tc>
          <w:tcPr>
            <w:tcW w:w="1760" w:type="dxa"/>
            <w:vAlign w:val="bottom"/>
          </w:tcPr>
          <w:p>
            <w:pPr>
              <w:spacing w:after="0"/>
              <w:rPr>
                <w:sz w:val="15"/>
                <w:szCs w:val="15"/>
                <w:color w:val="auto"/>
              </w:rPr>
            </w:pPr>
          </w:p>
        </w:tc>
      </w:tr>
      <w:tr>
        <w:trPr>
          <w:trHeight w:val="456"/>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 and President of Plains All American GP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52"/>
        </w:trPr>
        <w:tc>
          <w:tcPr>
            <w:tcW w:w="6540" w:type="dxa"/>
            <w:vAlign w:val="bottom"/>
            <w:gridSpan w:val="2"/>
          </w:tcPr>
          <w:p>
            <w:pPr>
              <w:spacing w:after="0"/>
              <w:rPr>
                <w:sz w:val="20"/>
                <w:szCs w:val="20"/>
                <w:color w:val="auto"/>
              </w:rPr>
            </w:pPr>
            <w:r>
              <w:rPr>
                <w:rFonts w:ascii="Arial" w:cs="Arial" w:eastAsia="Arial" w:hAnsi="Arial"/>
                <w:sz w:val="14"/>
                <w:szCs w:val="14"/>
                <w:color w:val="auto"/>
              </w:rPr>
              <w:t>Executive Vice President and Chief Financial Officer of Plains All American GP LLC (Principal Financial</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180"/>
        </w:trPr>
        <w:tc>
          <w:tcPr>
            <w:tcW w:w="6540" w:type="dxa"/>
            <w:vAlign w:val="bottom"/>
            <w:gridSpan w:val="2"/>
          </w:tcPr>
          <w:p>
            <w:pPr>
              <w:spacing w:after="0"/>
              <w:rPr>
                <w:sz w:val="20"/>
                <w:szCs w:val="20"/>
                <w:color w:val="auto"/>
              </w:rPr>
            </w:pPr>
            <w:r>
              <w:rPr>
                <w:rFonts w:ascii="Arial" w:cs="Arial" w:eastAsia="Arial" w:hAnsi="Arial"/>
                <w:sz w:val="14"/>
                <w:szCs w:val="14"/>
                <w:color w:val="auto"/>
              </w:rPr>
              <w:t>Officer)</w:t>
            </w:r>
          </w:p>
        </w:tc>
        <w:tc>
          <w:tcPr>
            <w:tcW w:w="1760" w:type="dxa"/>
            <w:vAlign w:val="bottom"/>
          </w:tcPr>
          <w:p>
            <w:pPr>
              <w:spacing w:after="0"/>
              <w:rPr>
                <w:sz w:val="15"/>
                <w:szCs w:val="15"/>
                <w:color w:val="auto"/>
              </w:rPr>
            </w:pPr>
          </w:p>
        </w:tc>
      </w:tr>
      <w:tr>
        <w:trPr>
          <w:trHeight w:val="414"/>
        </w:trPr>
        <w:tc>
          <w:tcPr>
            <w:tcW w:w="6540" w:type="dxa"/>
            <w:vAlign w:val="bottom"/>
            <w:gridSpan w:val="2"/>
          </w:tcPr>
          <w:p>
            <w:pPr>
              <w:spacing w:after="0"/>
              <w:rPr>
                <w:sz w:val="20"/>
                <w:szCs w:val="20"/>
                <w:color w:val="auto"/>
              </w:rPr>
            </w:pPr>
            <w:r>
              <w:rPr>
                <w:rFonts w:ascii="Arial" w:cs="Arial" w:eastAsia="Arial" w:hAnsi="Arial"/>
                <w:sz w:val="14"/>
                <w:szCs w:val="14"/>
                <w:color w:val="auto"/>
              </w:rPr>
              <w:t>Senior Vice President, Finance and Chief Accounting Officer of Plains All American GP LLC (Principal</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180"/>
        </w:trPr>
        <w:tc>
          <w:tcPr>
            <w:tcW w:w="6540" w:type="dxa"/>
            <w:vAlign w:val="bottom"/>
            <w:gridSpan w:val="2"/>
          </w:tcPr>
          <w:p>
            <w:pPr>
              <w:spacing w:after="0"/>
              <w:rPr>
                <w:sz w:val="20"/>
                <w:szCs w:val="20"/>
                <w:color w:val="auto"/>
              </w:rPr>
            </w:pPr>
            <w:r>
              <w:rPr>
                <w:rFonts w:ascii="Arial" w:cs="Arial" w:eastAsia="Arial" w:hAnsi="Arial"/>
                <w:sz w:val="14"/>
                <w:szCs w:val="14"/>
                <w:color w:val="auto"/>
              </w:rPr>
              <w:t>Accounting Officer)</w:t>
            </w:r>
          </w:p>
        </w:tc>
        <w:tc>
          <w:tcPr>
            <w:tcW w:w="1760" w:type="dxa"/>
            <w:vAlign w:val="bottom"/>
          </w:tcPr>
          <w:p>
            <w:pPr>
              <w:spacing w:after="0"/>
              <w:rPr>
                <w:sz w:val="15"/>
                <w:szCs w:val="15"/>
                <w:color w:val="auto"/>
              </w:rPr>
            </w:pPr>
          </w:p>
        </w:tc>
      </w:tr>
      <w:tr>
        <w:trPr>
          <w:trHeight w:val="456"/>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41"/>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r>
        <w:trPr>
          <w:trHeight w:val="584"/>
        </w:trPr>
        <w:tc>
          <w:tcPr>
            <w:tcW w:w="6540" w:type="dxa"/>
            <w:vAlign w:val="bottom"/>
            <w:gridSpan w:val="2"/>
          </w:tcPr>
          <w:p>
            <w:pPr>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4"/>
                <w:szCs w:val="14"/>
                <w:color w:val="auto"/>
              </w:rPr>
              <w:t>February 28, 2022</w:t>
            </w:r>
          </w:p>
        </w:tc>
      </w:tr>
    </w:tbl>
    <w:p>
      <w:pPr>
        <w:spacing w:after="0" w:line="371" w:lineRule="exact"/>
        <w:rPr>
          <w:sz w:val="20"/>
          <w:szCs w:val="20"/>
          <w:color w:val="auto"/>
        </w:rPr>
      </w:pPr>
    </w:p>
    <w:p>
      <w:pPr>
        <w:sectPr>
          <w:pgSz w:w="11900" w:h="16838" w:orient="portrait"/>
          <w:cols w:equalWidth="0" w:num="2">
            <w:col w:w="2240" w:space="720"/>
            <w:col w:w="8300"/>
          </w:cols>
          <w:pgMar w:left="300" w:top="133"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type w:val="continuous"/>
        </w:sectPr>
      </w:pPr>
    </w:p>
    <w:bookmarkStart w:id="112" w:name="page113"/>
    <w:bookmarkEnd w:id="11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INDEX TO THE CONSOLIDATED FINANCIAL STATEMENTS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gridSpan w:val="5"/>
          </w:tcPr>
          <w:p>
            <w:pPr>
              <w:ind w:left="360"/>
              <w:spacing w:after="0"/>
              <w:rPr>
                <w:sz w:val="20"/>
                <w:szCs w:val="20"/>
                <w:color w:val="auto"/>
              </w:rPr>
            </w:pPr>
            <w:r>
              <w:rPr>
                <w:rFonts w:ascii="Arial" w:cs="Arial" w:eastAsia="Arial" w:hAnsi="Arial"/>
                <w:sz w:val="11"/>
                <w:szCs w:val="11"/>
                <w:b w:val="1"/>
                <w:bCs w:val="1"/>
                <w:color w:val="auto"/>
              </w:rPr>
              <w:t>Page</w:t>
            </w:r>
          </w:p>
        </w:tc>
      </w:tr>
      <w:tr>
        <w:trPr>
          <w:trHeight w:val="168"/>
        </w:trPr>
        <w:tc>
          <w:tcPr>
            <w:tcW w:w="40" w:type="dxa"/>
            <w:vAlign w:val="bottom"/>
          </w:tcPr>
          <w:p>
            <w:pPr>
              <w:spacing w:after="0"/>
              <w:rPr>
                <w:sz w:val="14"/>
                <w:szCs w:val="14"/>
                <w:color w:val="auto"/>
              </w:rPr>
            </w:pPr>
          </w:p>
        </w:tc>
        <w:tc>
          <w:tcPr>
            <w:tcW w:w="10280" w:type="dxa"/>
            <w:vAlign w:val="bottom"/>
            <w:gridSpan w:val="28"/>
          </w:tcPr>
          <w:p>
            <w:pPr>
              <w:spacing w:after="0"/>
              <w:rPr>
                <w:sz w:val="20"/>
                <w:szCs w:val="20"/>
                <w:color w:val="auto"/>
              </w:rPr>
            </w:pPr>
            <w:r>
              <w:rPr>
                <w:rFonts w:ascii="Arial" w:cs="Arial" w:eastAsia="Arial" w:hAnsi="Arial"/>
                <w:sz w:val="14"/>
                <w:szCs w:val="14"/>
                <w:color w:val="auto"/>
              </w:rPr>
              <w:t>Consolidated Financial Statements</w:t>
            </w: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860" w:type="dxa"/>
            <w:vAlign w:val="bottom"/>
            <w:gridSpan w:val="20"/>
          </w:tcPr>
          <w:p>
            <w:pPr>
              <w:spacing w:after="0" w:line="149" w:lineRule="exact"/>
              <w:rPr>
                <w:rFonts w:ascii="Arial" w:cs="Arial" w:eastAsia="Arial" w:hAnsi="Arial"/>
                <w:sz w:val="14"/>
                <w:szCs w:val="14"/>
                <w:color w:val="0000FF"/>
                <w:w w:val="92"/>
              </w:rPr>
            </w:pPr>
            <w:hyperlink w:anchor="page113">
              <w:r>
                <w:rPr>
                  <w:rFonts w:ascii="Arial" w:cs="Arial" w:eastAsia="Arial" w:hAnsi="Arial"/>
                  <w:sz w:val="14"/>
                  <w:szCs w:val="14"/>
                  <w:color w:val="0000FF"/>
                  <w:w w:val="92"/>
                </w:rPr>
                <w:t>Management’s Report on Internal Control Over Financial Reporting</w:t>
              </w:r>
            </w:hyperlink>
          </w:p>
        </w:tc>
        <w:tc>
          <w:tcPr>
            <w:tcW w:w="6420" w:type="dxa"/>
            <w:vAlign w:val="bottom"/>
            <w:gridSpan w:val="8"/>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3"/>
          </w:tcPr>
          <w:p>
            <w:pPr>
              <w:jc w:val="right"/>
              <w:ind w:right="40"/>
              <w:spacing w:after="0" w:line="149" w:lineRule="exact"/>
              <w:rPr>
                <w:rFonts w:ascii="Arial" w:cs="Arial" w:eastAsia="Arial" w:hAnsi="Arial"/>
                <w:sz w:val="14"/>
                <w:szCs w:val="14"/>
                <w:color w:val="0000FF"/>
                <w:w w:val="75"/>
              </w:rPr>
            </w:pPr>
            <w:hyperlink w:anchor="page113">
              <w:r>
                <w:rPr>
                  <w:rFonts w:ascii="Arial" w:cs="Arial" w:eastAsia="Arial" w:hAnsi="Arial"/>
                  <w:sz w:val="14"/>
                  <w:szCs w:val="14"/>
                  <w:color w:val="0000FF"/>
                  <w:w w:val="75"/>
                </w:rPr>
                <w:t>F-2</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0280" w:type="dxa"/>
            <w:vAlign w:val="bottom"/>
            <w:gridSpan w:val="28"/>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 xml:space="preserve">Report of Independent Registered Public Accounting Firm (PCAOB ID: </w:t>
              </w:r>
            </w:hyperlink>
            <w:r>
              <w:rPr>
                <w:rFonts w:ascii="Arial" w:cs="Arial" w:eastAsia="Arial" w:hAnsi="Arial"/>
                <w:sz w:val="14"/>
                <w:szCs w:val="14"/>
                <w:color w:val="0E32E1"/>
              </w:rPr>
              <w:t>238</w:t>
            </w:r>
            <w:hyperlink w:anchor="page114">
              <w:r>
                <w:rPr>
                  <w:rFonts w:ascii="Arial" w:cs="Arial" w:eastAsia="Arial" w:hAnsi="Arial"/>
                  <w:sz w:val="14"/>
                  <w:szCs w:val="14"/>
                  <w:u w:val="single" w:color="auto"/>
                  <w:color w:val="0000FF"/>
                </w:rPr>
                <w:t>)</w:t>
              </w:r>
            </w:hyperlink>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4">
              <w:r>
                <w:rPr>
                  <w:rFonts w:ascii="Arial" w:cs="Arial" w:eastAsia="Arial" w:hAnsi="Arial"/>
                  <w:sz w:val="14"/>
                  <w:szCs w:val="14"/>
                  <w:color w:val="0000FF"/>
                  <w:w w:val="75"/>
                </w:rPr>
                <w:t>F-3</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3660" w:type="dxa"/>
            <w:vAlign w:val="bottom"/>
            <w:gridSpan w:val="19"/>
          </w:tcPr>
          <w:p>
            <w:pPr>
              <w:spacing w:after="0"/>
              <w:rPr>
                <w:rFonts w:ascii="Arial" w:cs="Arial" w:eastAsia="Arial" w:hAnsi="Arial"/>
                <w:sz w:val="14"/>
                <w:szCs w:val="14"/>
                <w:color w:val="0000FF"/>
                <w:w w:val="89"/>
              </w:rPr>
            </w:pPr>
            <w:hyperlink w:anchor="page118">
              <w:r>
                <w:rPr>
                  <w:rFonts w:ascii="Arial" w:cs="Arial" w:eastAsia="Arial" w:hAnsi="Arial"/>
                  <w:sz w:val="14"/>
                  <w:szCs w:val="14"/>
                  <w:color w:val="0000FF"/>
                  <w:w w:val="89"/>
                </w:rPr>
                <w:t>Consolidated Balance Sheets as of December 31, 2021 and 2020</w:t>
              </w:r>
            </w:hyperlink>
          </w:p>
        </w:tc>
        <w:tc>
          <w:tcPr>
            <w:tcW w:w="4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594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8">
              <w:r>
                <w:rPr>
                  <w:rFonts w:ascii="Arial" w:cs="Arial" w:eastAsia="Arial" w:hAnsi="Arial"/>
                  <w:sz w:val="14"/>
                  <w:szCs w:val="14"/>
                  <w:color w:val="0000FF"/>
                  <w:w w:val="75"/>
                </w:rPr>
                <w:t>F-6</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0280" w:type="dxa"/>
            <w:vAlign w:val="bottom"/>
            <w:gridSpan w:val="28"/>
          </w:tcPr>
          <w:p>
            <w:pPr>
              <w:spacing w:after="0"/>
              <w:rPr>
                <w:rFonts w:ascii="Arial" w:cs="Arial" w:eastAsia="Arial" w:hAnsi="Arial"/>
                <w:sz w:val="14"/>
                <w:szCs w:val="14"/>
                <w:color w:val="0000FF"/>
              </w:rPr>
            </w:pPr>
            <w:hyperlink w:anchor="page118">
              <w:r>
                <w:rPr>
                  <w:rFonts w:ascii="Arial" w:cs="Arial" w:eastAsia="Arial" w:hAnsi="Arial"/>
                  <w:sz w:val="14"/>
                  <w:szCs w:val="14"/>
                  <w:color w:val="0000FF"/>
                </w:rPr>
                <w:t>Consolidated Statements of Operations for the years ended December 31, 2021, 2020 and 2019</w:t>
              </w:r>
            </w:hyperlink>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8">
              <w:r>
                <w:rPr>
                  <w:rFonts w:ascii="Arial" w:cs="Arial" w:eastAsia="Arial" w:hAnsi="Arial"/>
                  <w:sz w:val="14"/>
                  <w:szCs w:val="14"/>
                  <w:color w:val="0000FF"/>
                  <w:w w:val="75"/>
                </w:rPr>
                <w:t>F-7</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6520" w:type="dxa"/>
            <w:vAlign w:val="bottom"/>
            <w:gridSpan w:val="26"/>
          </w:tcPr>
          <w:p>
            <w:pPr>
              <w:spacing w:after="0"/>
              <w:rPr>
                <w:rFonts w:ascii="Arial" w:cs="Arial" w:eastAsia="Arial" w:hAnsi="Arial"/>
                <w:sz w:val="14"/>
                <w:szCs w:val="14"/>
                <w:color w:val="0000FF"/>
                <w:w w:val="90"/>
              </w:rPr>
            </w:pPr>
            <w:hyperlink w:anchor="page119">
              <w:r>
                <w:rPr>
                  <w:rFonts w:ascii="Arial" w:cs="Arial" w:eastAsia="Arial" w:hAnsi="Arial"/>
                  <w:sz w:val="14"/>
                  <w:szCs w:val="14"/>
                  <w:color w:val="0000FF"/>
                  <w:w w:val="90"/>
                </w:rPr>
                <w:t>Consolidated Statements of Comprehensive Income/(Loss) for the years ended December 31, 2021, 2020 and 2019</w:t>
              </w:r>
            </w:hyperlink>
          </w:p>
        </w:tc>
        <w:tc>
          <w:tcPr>
            <w:tcW w:w="37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9">
              <w:r>
                <w:rPr>
                  <w:rFonts w:ascii="Arial" w:cs="Arial" w:eastAsia="Arial" w:hAnsi="Arial"/>
                  <w:sz w:val="14"/>
                  <w:szCs w:val="14"/>
                  <w:color w:val="0000FF"/>
                  <w:w w:val="75"/>
                </w:rPr>
                <w:t>F-8</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0280" w:type="dxa"/>
            <w:vAlign w:val="bottom"/>
            <w:gridSpan w:val="28"/>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Consolidated Statements of Changes in Accumulated Other Comprehensive Income/(Loss) for the years ended December 31, 2021, 2020 and 2019</w:t>
              </w:r>
            </w:hyperlink>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20">
              <w:r>
                <w:rPr>
                  <w:rFonts w:ascii="Arial" w:cs="Arial" w:eastAsia="Arial" w:hAnsi="Arial"/>
                  <w:sz w:val="14"/>
                  <w:szCs w:val="14"/>
                  <w:color w:val="0000FF"/>
                  <w:w w:val="75"/>
                </w:rPr>
                <w:t>F-8</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8320" w:type="dxa"/>
            <w:vAlign w:val="bottom"/>
            <w:gridSpan w:val="27"/>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Consolidated Statements of Cash Flows for the years ended December 31, 2021, 2020 and 2019</w:t>
              </w:r>
            </w:hyperlink>
          </w:p>
        </w:tc>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20">
              <w:r>
                <w:rPr>
                  <w:rFonts w:ascii="Arial" w:cs="Arial" w:eastAsia="Arial" w:hAnsi="Arial"/>
                  <w:sz w:val="14"/>
                  <w:szCs w:val="14"/>
                  <w:color w:val="0000FF"/>
                  <w:w w:val="75"/>
                </w:rPr>
                <w:t>F-9</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0280" w:type="dxa"/>
            <w:vAlign w:val="bottom"/>
            <w:gridSpan w:val="28"/>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Consolidated Statements of Changes in Partners’ Capital for the years ended December 31, 2021, 2020 and 2019</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1">
              <w:r>
                <w:rPr>
                  <w:rFonts w:ascii="Arial" w:cs="Arial" w:eastAsia="Arial" w:hAnsi="Arial"/>
                  <w:sz w:val="14"/>
                  <w:szCs w:val="14"/>
                  <w:color w:val="0000FF"/>
                  <w:w w:val="83"/>
                </w:rPr>
                <w:t>F-10</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6380" w:type="dxa"/>
            <w:vAlign w:val="bottom"/>
            <w:gridSpan w:val="25"/>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Notes to the Consolidated Financial Statements:</w:t>
              </w:r>
            </w:hyperlink>
          </w:p>
        </w:tc>
        <w:tc>
          <w:tcPr>
            <w:tcW w:w="39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2">
              <w:r>
                <w:rPr>
                  <w:rFonts w:ascii="Arial" w:cs="Arial" w:eastAsia="Arial" w:hAnsi="Arial"/>
                  <w:sz w:val="14"/>
                  <w:szCs w:val="14"/>
                  <w:color w:val="0000FF"/>
                  <w:w w:val="83"/>
                </w:rPr>
                <w:t>F-11</w:t>
              </w:r>
            </w:hyperlink>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20" w:type="dxa"/>
            <w:vAlign w:val="bottom"/>
            <w:gridSpan w:val="2"/>
          </w:tcPr>
          <w:p>
            <w:pPr>
              <w:ind w:left="100"/>
              <w:spacing w:after="0"/>
              <w:rPr>
                <w:rFonts w:ascii="Arial" w:cs="Arial" w:eastAsia="Arial" w:hAnsi="Arial"/>
                <w:sz w:val="14"/>
                <w:szCs w:val="14"/>
                <w:color w:val="0000FF"/>
                <w:w w:val="85"/>
              </w:rPr>
            </w:pPr>
            <w:hyperlink w:anchor="page123">
              <w:r>
                <w:rPr>
                  <w:rFonts w:ascii="Arial" w:cs="Arial" w:eastAsia="Arial" w:hAnsi="Arial"/>
                  <w:sz w:val="14"/>
                  <w:szCs w:val="14"/>
                  <w:color w:val="0000FF"/>
                  <w:w w:val="85"/>
                </w:rPr>
                <w:t>1.</w:t>
              </w:r>
            </w:hyperlink>
          </w:p>
        </w:tc>
        <w:tc>
          <w:tcPr>
            <w:tcW w:w="10060" w:type="dxa"/>
            <w:vAlign w:val="bottom"/>
            <w:gridSpan w:val="26"/>
          </w:tcPr>
          <w:p>
            <w:pPr>
              <w:ind w:left="20"/>
              <w:spacing w:after="0"/>
              <w:rPr>
                <w:rFonts w:ascii="Arial" w:cs="Arial" w:eastAsia="Arial" w:hAnsi="Arial"/>
                <w:sz w:val="14"/>
                <w:szCs w:val="14"/>
                <w:color w:val="0000FF"/>
              </w:rPr>
            </w:pPr>
            <w:hyperlink w:anchor="page123">
              <w:r>
                <w:rPr>
                  <w:rFonts w:ascii="Arial" w:cs="Arial" w:eastAsia="Arial" w:hAnsi="Arial"/>
                  <w:sz w:val="14"/>
                  <w:szCs w:val="14"/>
                  <w:color w:val="0000FF"/>
                </w:rPr>
                <w:t>Organization and Basis of Consolidation and Presentation</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3">
              <w:r>
                <w:rPr>
                  <w:rFonts w:ascii="Arial" w:cs="Arial" w:eastAsia="Arial" w:hAnsi="Arial"/>
                  <w:sz w:val="14"/>
                  <w:szCs w:val="14"/>
                  <w:color w:val="0000FF"/>
                  <w:w w:val="83"/>
                </w:rPr>
                <w:t>F-11</w:t>
              </w:r>
            </w:hyperlink>
          </w:p>
        </w:tc>
      </w:tr>
      <w:tr>
        <w:trPr>
          <w:trHeight w:val="20"/>
        </w:trPr>
        <w:tc>
          <w:tcPr>
            <w:tcW w:w="1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25">
              <w:r>
                <w:rPr>
                  <w:rFonts w:ascii="Arial" w:cs="Arial" w:eastAsia="Arial" w:hAnsi="Arial"/>
                  <w:sz w:val="14"/>
                  <w:szCs w:val="14"/>
                  <w:color w:val="0000FF"/>
                  <w:w w:val="85"/>
                </w:rPr>
                <w:t>2.</w:t>
              </w:r>
            </w:hyperlink>
          </w:p>
        </w:tc>
        <w:tc>
          <w:tcPr>
            <w:tcW w:w="10060" w:type="dxa"/>
            <w:vAlign w:val="bottom"/>
            <w:gridSpan w:val="26"/>
          </w:tcPr>
          <w:p>
            <w:pPr>
              <w:ind w:left="20"/>
              <w:spacing w:after="0"/>
              <w:rPr>
                <w:rFonts w:ascii="Arial" w:cs="Arial" w:eastAsia="Arial" w:hAnsi="Arial"/>
                <w:sz w:val="14"/>
                <w:szCs w:val="14"/>
                <w:color w:val="0000FF"/>
              </w:rPr>
            </w:pPr>
            <w:hyperlink w:anchor="page125">
              <w:r>
                <w:rPr>
                  <w:rFonts w:ascii="Arial" w:cs="Arial" w:eastAsia="Arial" w:hAnsi="Arial"/>
                  <w:sz w:val="14"/>
                  <w:szCs w:val="14"/>
                  <w:color w:val="0000FF"/>
                </w:rPr>
                <w:t>Summary of Significant Accounting Policies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5">
              <w:r>
                <w:rPr>
                  <w:rFonts w:ascii="Arial" w:cs="Arial" w:eastAsia="Arial" w:hAnsi="Arial"/>
                  <w:sz w:val="14"/>
                  <w:szCs w:val="14"/>
                  <w:color w:val="0000FF"/>
                  <w:w w:val="83"/>
                </w:rPr>
                <w:t>F-13</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28">
              <w:r>
                <w:rPr>
                  <w:rFonts w:ascii="Arial" w:cs="Arial" w:eastAsia="Arial" w:hAnsi="Arial"/>
                  <w:sz w:val="14"/>
                  <w:szCs w:val="14"/>
                  <w:color w:val="0000FF"/>
                  <w:w w:val="85"/>
                </w:rPr>
                <w:t>3.</w:t>
              </w:r>
            </w:hyperlink>
          </w:p>
        </w:tc>
        <w:tc>
          <w:tcPr>
            <w:tcW w:w="10060" w:type="dxa"/>
            <w:vAlign w:val="bottom"/>
            <w:gridSpan w:val="26"/>
          </w:tcPr>
          <w:p>
            <w:pPr>
              <w:ind w:left="20"/>
              <w:spacing w:after="0"/>
              <w:rPr>
                <w:rFonts w:ascii="Arial" w:cs="Arial" w:eastAsia="Arial" w:hAnsi="Arial"/>
                <w:sz w:val="14"/>
                <w:szCs w:val="14"/>
                <w:color w:val="0000FF"/>
              </w:rPr>
            </w:pPr>
            <w:hyperlink w:anchor="page128">
              <w:r>
                <w:rPr>
                  <w:rFonts w:ascii="Arial" w:cs="Arial" w:eastAsia="Arial" w:hAnsi="Arial"/>
                  <w:sz w:val="14"/>
                  <w:szCs w:val="14"/>
                  <w:color w:val="0000FF"/>
                </w:rPr>
                <w:t>Revenues and Accounts Receivable</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8">
              <w:r>
                <w:rPr>
                  <w:rFonts w:ascii="Arial" w:cs="Arial" w:eastAsia="Arial" w:hAnsi="Arial"/>
                  <w:sz w:val="14"/>
                  <w:szCs w:val="14"/>
                  <w:color w:val="0000FF"/>
                  <w:w w:val="83"/>
                </w:rPr>
                <w:t>F-17</w:t>
              </w:r>
            </w:hyperlink>
          </w:p>
        </w:tc>
      </w:tr>
      <w:tr>
        <w:trPr>
          <w:trHeight w:val="20"/>
        </w:trPr>
        <w:tc>
          <w:tcPr>
            <w:tcW w:w="1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33">
              <w:r>
                <w:rPr>
                  <w:rFonts w:ascii="Arial" w:cs="Arial" w:eastAsia="Arial" w:hAnsi="Arial"/>
                  <w:sz w:val="14"/>
                  <w:szCs w:val="14"/>
                  <w:color w:val="0000FF"/>
                  <w:w w:val="85"/>
                </w:rPr>
                <w:t>4.</w:t>
              </w:r>
            </w:hyperlink>
          </w:p>
        </w:tc>
        <w:tc>
          <w:tcPr>
            <w:tcW w:w="10060" w:type="dxa"/>
            <w:vAlign w:val="bottom"/>
            <w:gridSpan w:val="26"/>
          </w:tcPr>
          <w:p>
            <w:pPr>
              <w:ind w:left="20"/>
              <w:spacing w:after="0"/>
              <w:rPr>
                <w:rFonts w:ascii="Arial" w:cs="Arial" w:eastAsia="Arial" w:hAnsi="Arial"/>
                <w:sz w:val="14"/>
                <w:szCs w:val="14"/>
                <w:color w:val="0000FF"/>
              </w:rPr>
            </w:pPr>
            <w:hyperlink w:anchor="page133">
              <w:r>
                <w:rPr>
                  <w:rFonts w:ascii="Arial" w:cs="Arial" w:eastAsia="Arial" w:hAnsi="Arial"/>
                  <w:sz w:val="14"/>
                  <w:szCs w:val="14"/>
                  <w:color w:val="0000FF"/>
                </w:rPr>
                <w:t>Net Income/(Loss) Per Common Unit</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3">
              <w:r>
                <w:rPr>
                  <w:rFonts w:ascii="Arial" w:cs="Arial" w:eastAsia="Arial" w:hAnsi="Arial"/>
                  <w:sz w:val="14"/>
                  <w:szCs w:val="14"/>
                  <w:color w:val="0000FF"/>
                  <w:w w:val="83"/>
                </w:rPr>
                <w:t>F-21</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34">
              <w:r>
                <w:rPr>
                  <w:rFonts w:ascii="Arial" w:cs="Arial" w:eastAsia="Arial" w:hAnsi="Arial"/>
                  <w:sz w:val="14"/>
                  <w:szCs w:val="14"/>
                  <w:color w:val="0000FF"/>
                  <w:w w:val="85"/>
                </w:rPr>
                <w:t>5.</w:t>
              </w:r>
            </w:hyperlink>
          </w:p>
        </w:tc>
        <w:tc>
          <w:tcPr>
            <w:tcW w:w="10060" w:type="dxa"/>
            <w:vAlign w:val="bottom"/>
            <w:gridSpan w:val="26"/>
          </w:tcPr>
          <w:p>
            <w:pPr>
              <w:ind w:left="20"/>
              <w:spacing w:after="0"/>
              <w:rPr>
                <w:rFonts w:ascii="Arial" w:cs="Arial" w:eastAsia="Arial" w:hAnsi="Arial"/>
                <w:sz w:val="14"/>
                <w:szCs w:val="14"/>
                <w:color w:val="0000FF"/>
              </w:rPr>
            </w:pPr>
            <w:hyperlink w:anchor="page134">
              <w:r>
                <w:rPr>
                  <w:rFonts w:ascii="Arial" w:cs="Arial" w:eastAsia="Arial" w:hAnsi="Arial"/>
                  <w:sz w:val="14"/>
                  <w:szCs w:val="14"/>
                  <w:color w:val="0000FF"/>
                </w:rPr>
                <w:t>Inventory, Linefill and Base Gas and Long-term Inventory</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4">
              <w:r>
                <w:rPr>
                  <w:rFonts w:ascii="Arial" w:cs="Arial" w:eastAsia="Arial" w:hAnsi="Arial"/>
                  <w:sz w:val="14"/>
                  <w:szCs w:val="14"/>
                  <w:color w:val="0000FF"/>
                  <w:w w:val="83"/>
                </w:rPr>
                <w:t>F-23</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6.</w:t>
              </w:r>
            </w:hyperlink>
          </w:p>
        </w:tc>
        <w:tc>
          <w:tcPr>
            <w:tcW w:w="10060" w:type="dxa"/>
            <w:vAlign w:val="bottom"/>
            <w:gridSpan w:val="26"/>
          </w:tcPr>
          <w:p>
            <w:pPr>
              <w:ind w:left="20"/>
              <w:spacing w:after="0"/>
              <w:rPr>
                <w:rFonts w:ascii="Arial" w:cs="Arial" w:eastAsia="Arial" w:hAnsi="Arial"/>
                <w:sz w:val="14"/>
                <w:szCs w:val="14"/>
                <w:color w:val="0000FF"/>
              </w:rPr>
            </w:pPr>
            <w:hyperlink w:anchor="page136">
              <w:r>
                <w:rPr>
                  <w:rFonts w:ascii="Arial" w:cs="Arial" w:eastAsia="Arial" w:hAnsi="Arial"/>
                  <w:sz w:val="14"/>
                  <w:szCs w:val="14"/>
                  <w:color w:val="0000FF"/>
                </w:rPr>
                <w:t>Property and Equipment</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6">
              <w:r>
                <w:rPr>
                  <w:rFonts w:ascii="Arial" w:cs="Arial" w:eastAsia="Arial" w:hAnsi="Arial"/>
                  <w:sz w:val="14"/>
                  <w:szCs w:val="14"/>
                  <w:color w:val="0000FF"/>
                  <w:w w:val="83"/>
                </w:rPr>
                <w:t>F-24</w:t>
              </w:r>
            </w:hyperlink>
          </w:p>
        </w:tc>
      </w:tr>
      <w:tr>
        <w:trPr>
          <w:trHeight w:val="20"/>
        </w:trPr>
        <w:tc>
          <w:tcPr>
            <w:tcW w:w="1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38">
              <w:r>
                <w:rPr>
                  <w:rFonts w:ascii="Arial" w:cs="Arial" w:eastAsia="Arial" w:hAnsi="Arial"/>
                  <w:sz w:val="14"/>
                  <w:szCs w:val="14"/>
                  <w:color w:val="0000FF"/>
                  <w:w w:val="85"/>
                </w:rPr>
                <w:t>7.</w:t>
              </w:r>
            </w:hyperlink>
          </w:p>
        </w:tc>
        <w:tc>
          <w:tcPr>
            <w:tcW w:w="10060" w:type="dxa"/>
            <w:vAlign w:val="bottom"/>
            <w:gridSpan w:val="26"/>
          </w:tcPr>
          <w:p>
            <w:pPr>
              <w:ind w:left="20"/>
              <w:spacing w:after="0"/>
              <w:rPr>
                <w:rFonts w:ascii="Arial" w:cs="Arial" w:eastAsia="Arial" w:hAnsi="Arial"/>
                <w:sz w:val="14"/>
                <w:szCs w:val="14"/>
                <w:color w:val="0000FF"/>
              </w:rPr>
            </w:pPr>
            <w:hyperlink w:anchor="page138">
              <w:r>
                <w:rPr>
                  <w:rFonts w:ascii="Arial" w:cs="Arial" w:eastAsia="Arial" w:hAnsi="Arial"/>
                  <w:sz w:val="14"/>
                  <w:szCs w:val="14"/>
                  <w:color w:val="0000FF"/>
                </w:rPr>
                <w:t>Acquisitions, Divestitures and Other Transactions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8">
              <w:r>
                <w:rPr>
                  <w:rFonts w:ascii="Arial" w:cs="Arial" w:eastAsia="Arial" w:hAnsi="Arial"/>
                  <w:sz w:val="14"/>
                  <w:szCs w:val="14"/>
                  <w:color w:val="0000FF"/>
                  <w:w w:val="83"/>
                </w:rPr>
                <w:t>F-26</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42">
              <w:r>
                <w:rPr>
                  <w:rFonts w:ascii="Arial" w:cs="Arial" w:eastAsia="Arial" w:hAnsi="Arial"/>
                  <w:sz w:val="14"/>
                  <w:szCs w:val="14"/>
                  <w:color w:val="0000FF"/>
                  <w:w w:val="85"/>
                </w:rPr>
                <w:t>8.</w:t>
              </w:r>
            </w:hyperlink>
          </w:p>
        </w:tc>
        <w:tc>
          <w:tcPr>
            <w:tcW w:w="10060" w:type="dxa"/>
            <w:vAlign w:val="bottom"/>
            <w:gridSpan w:val="26"/>
          </w:tcPr>
          <w:p>
            <w:pPr>
              <w:ind w:left="20"/>
              <w:spacing w:after="0"/>
              <w:rPr>
                <w:rFonts w:ascii="Arial" w:cs="Arial" w:eastAsia="Arial" w:hAnsi="Arial"/>
                <w:sz w:val="14"/>
                <w:szCs w:val="14"/>
                <w:color w:val="0000FF"/>
              </w:rPr>
            </w:pPr>
            <w:hyperlink w:anchor="page142">
              <w:r>
                <w:rPr>
                  <w:rFonts w:ascii="Arial" w:cs="Arial" w:eastAsia="Arial" w:hAnsi="Arial"/>
                  <w:sz w:val="14"/>
                  <w:szCs w:val="14"/>
                  <w:color w:val="0000FF"/>
                </w:rPr>
                <w:t>Goodwill</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2">
              <w:r>
                <w:rPr>
                  <w:rFonts w:ascii="Arial" w:cs="Arial" w:eastAsia="Arial" w:hAnsi="Arial"/>
                  <w:sz w:val="14"/>
                  <w:szCs w:val="14"/>
                  <w:color w:val="0000FF"/>
                  <w:w w:val="83"/>
                </w:rPr>
                <w:t>F-30</w:t>
              </w:r>
            </w:hyperlink>
          </w:p>
        </w:tc>
      </w:tr>
      <w:tr>
        <w:trPr>
          <w:trHeight w:val="20"/>
        </w:trPr>
        <w:tc>
          <w:tcPr>
            <w:tcW w:w="1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60" w:type="dxa"/>
            <w:vAlign w:val="bottom"/>
            <w:gridSpan w:val="3"/>
          </w:tcPr>
          <w:p>
            <w:pPr>
              <w:ind w:left="140"/>
              <w:spacing w:after="0"/>
              <w:rPr>
                <w:rFonts w:ascii="Arial" w:cs="Arial" w:eastAsia="Arial" w:hAnsi="Arial"/>
                <w:sz w:val="14"/>
                <w:szCs w:val="14"/>
                <w:color w:val="0000FF"/>
                <w:w w:val="85"/>
              </w:rPr>
            </w:pPr>
            <w:hyperlink w:anchor="page143">
              <w:r>
                <w:rPr>
                  <w:rFonts w:ascii="Arial" w:cs="Arial" w:eastAsia="Arial" w:hAnsi="Arial"/>
                  <w:sz w:val="14"/>
                  <w:szCs w:val="14"/>
                  <w:color w:val="0000FF"/>
                  <w:w w:val="85"/>
                </w:rPr>
                <w:t>9.</w:t>
              </w:r>
            </w:hyperlink>
          </w:p>
        </w:tc>
        <w:tc>
          <w:tcPr>
            <w:tcW w:w="10060" w:type="dxa"/>
            <w:vAlign w:val="bottom"/>
            <w:gridSpan w:val="26"/>
          </w:tcPr>
          <w:p>
            <w:pPr>
              <w:ind w:left="20"/>
              <w:spacing w:after="0"/>
              <w:rPr>
                <w:rFonts w:ascii="Arial" w:cs="Arial" w:eastAsia="Arial" w:hAnsi="Arial"/>
                <w:sz w:val="14"/>
                <w:szCs w:val="14"/>
                <w:color w:val="0000FF"/>
              </w:rPr>
            </w:pPr>
            <w:hyperlink w:anchor="page143">
              <w:r>
                <w:rPr>
                  <w:rFonts w:ascii="Arial" w:cs="Arial" w:eastAsia="Arial" w:hAnsi="Arial"/>
                  <w:sz w:val="14"/>
                  <w:szCs w:val="14"/>
                  <w:color w:val="0000FF"/>
                </w:rPr>
                <w:t>Investments in Unconsolidated Entities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3">
              <w:r>
                <w:rPr>
                  <w:rFonts w:ascii="Arial" w:cs="Arial" w:eastAsia="Arial" w:hAnsi="Arial"/>
                  <w:sz w:val="14"/>
                  <w:szCs w:val="14"/>
                  <w:color w:val="0000FF"/>
                  <w:w w:val="83"/>
                </w:rPr>
                <w:t>F-31</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46">
              <w:r>
                <w:rPr>
                  <w:rFonts w:ascii="Arial" w:cs="Arial" w:eastAsia="Arial" w:hAnsi="Arial"/>
                  <w:sz w:val="14"/>
                  <w:szCs w:val="14"/>
                  <w:color w:val="0000FF"/>
                  <w:w w:val="92"/>
                </w:rPr>
                <w:t>10.</w:t>
              </w:r>
            </w:hyperlink>
          </w:p>
        </w:tc>
        <w:tc>
          <w:tcPr>
            <w:tcW w:w="9980" w:type="dxa"/>
            <w:vAlign w:val="bottom"/>
            <w:gridSpan w:val="25"/>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Intangible Assets, Net</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6">
              <w:r>
                <w:rPr>
                  <w:rFonts w:ascii="Arial" w:cs="Arial" w:eastAsia="Arial" w:hAnsi="Arial"/>
                  <w:sz w:val="14"/>
                  <w:szCs w:val="14"/>
                  <w:color w:val="0000FF"/>
                  <w:w w:val="83"/>
                </w:rPr>
                <w:t>F-35</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spacing w:after="0"/>
              <w:rPr>
                <w:rFonts w:ascii="Arial" w:cs="Arial" w:eastAsia="Arial" w:hAnsi="Arial"/>
                <w:sz w:val="14"/>
                <w:szCs w:val="14"/>
                <w:color w:val="0000FF"/>
                <w:w w:val="86"/>
              </w:rPr>
            </w:pPr>
            <w:hyperlink w:anchor="page147">
              <w:r>
                <w:rPr>
                  <w:rFonts w:ascii="Arial" w:cs="Arial" w:eastAsia="Arial" w:hAnsi="Arial"/>
                  <w:sz w:val="14"/>
                  <w:szCs w:val="14"/>
                  <w:color w:val="0000FF"/>
                  <w:w w:val="86"/>
                </w:rPr>
                <w:t>11. Debt</w:t>
              </w:r>
            </w:hyperlink>
          </w:p>
        </w:tc>
        <w:tc>
          <w:tcPr>
            <w:tcW w:w="980" w:type="dxa"/>
            <w:vAlign w:val="bottom"/>
            <w:gridSpan w:val="4"/>
          </w:tcPr>
          <w:p>
            <w:pPr>
              <w:spacing w:after="0"/>
              <w:rPr>
                <w:sz w:val="13"/>
                <w:szCs w:val="13"/>
                <w:color w:val="auto"/>
              </w:rPr>
            </w:pPr>
          </w:p>
        </w:tc>
        <w:tc>
          <w:tcPr>
            <w:tcW w:w="8720" w:type="dxa"/>
            <w:vAlign w:val="bottom"/>
            <w:gridSpan w:val="20"/>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7">
              <w:r>
                <w:rPr>
                  <w:rFonts w:ascii="Arial" w:cs="Arial" w:eastAsia="Arial" w:hAnsi="Arial"/>
                  <w:sz w:val="14"/>
                  <w:szCs w:val="14"/>
                  <w:color w:val="0000FF"/>
                  <w:w w:val="83"/>
                </w:rPr>
                <w:t>F-36</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51">
              <w:r>
                <w:rPr>
                  <w:rFonts w:ascii="Arial" w:cs="Arial" w:eastAsia="Arial" w:hAnsi="Arial"/>
                  <w:sz w:val="14"/>
                  <w:szCs w:val="14"/>
                  <w:color w:val="0000FF"/>
                  <w:w w:val="92"/>
                </w:rPr>
                <w:t>12.</w:t>
              </w:r>
            </w:hyperlink>
          </w:p>
        </w:tc>
        <w:tc>
          <w:tcPr>
            <w:tcW w:w="9980" w:type="dxa"/>
            <w:vAlign w:val="bottom"/>
            <w:gridSpan w:val="25"/>
          </w:tcPr>
          <w:p>
            <w:pPr>
              <w:spacing w:after="0"/>
              <w:rPr>
                <w:rFonts w:ascii="Arial" w:cs="Arial" w:eastAsia="Arial" w:hAnsi="Arial"/>
                <w:sz w:val="14"/>
                <w:szCs w:val="14"/>
                <w:color w:val="0000FF"/>
              </w:rPr>
            </w:pPr>
            <w:hyperlink w:anchor="page151">
              <w:r>
                <w:rPr>
                  <w:rFonts w:ascii="Arial" w:cs="Arial" w:eastAsia="Arial" w:hAnsi="Arial"/>
                  <w:sz w:val="14"/>
                  <w:szCs w:val="14"/>
                  <w:color w:val="0000FF"/>
                </w:rPr>
                <w:t>Partners’ Capital and Distributions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51">
              <w:r>
                <w:rPr>
                  <w:rFonts w:ascii="Arial" w:cs="Arial" w:eastAsia="Arial" w:hAnsi="Arial"/>
                  <w:sz w:val="14"/>
                  <w:szCs w:val="14"/>
                  <w:color w:val="0000FF"/>
                  <w:w w:val="83"/>
                </w:rPr>
                <w:t>F-40</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55">
              <w:r>
                <w:rPr>
                  <w:rFonts w:ascii="Arial" w:cs="Arial" w:eastAsia="Arial" w:hAnsi="Arial"/>
                  <w:sz w:val="14"/>
                  <w:szCs w:val="14"/>
                  <w:color w:val="0000FF"/>
                  <w:w w:val="92"/>
                </w:rPr>
                <w:t>13.</w:t>
              </w:r>
            </w:hyperlink>
          </w:p>
        </w:tc>
        <w:tc>
          <w:tcPr>
            <w:tcW w:w="9980" w:type="dxa"/>
            <w:vAlign w:val="bottom"/>
            <w:gridSpan w:val="25"/>
          </w:tcPr>
          <w:p>
            <w:pPr>
              <w:spacing w:after="0"/>
              <w:rPr>
                <w:rFonts w:ascii="Arial" w:cs="Arial" w:eastAsia="Arial" w:hAnsi="Arial"/>
                <w:sz w:val="14"/>
                <w:szCs w:val="14"/>
                <w:color w:val="0000FF"/>
              </w:rPr>
            </w:pPr>
            <w:hyperlink w:anchor="page155">
              <w:r>
                <w:rPr>
                  <w:rFonts w:ascii="Arial" w:cs="Arial" w:eastAsia="Arial" w:hAnsi="Arial"/>
                  <w:sz w:val="14"/>
                  <w:szCs w:val="14"/>
                  <w:color w:val="0000FF"/>
                </w:rPr>
                <w:t>Derivatives and Risk Management Activities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55">
              <w:r>
                <w:rPr>
                  <w:rFonts w:ascii="Arial" w:cs="Arial" w:eastAsia="Arial" w:hAnsi="Arial"/>
                  <w:sz w:val="14"/>
                  <w:szCs w:val="14"/>
                  <w:color w:val="0000FF"/>
                  <w:w w:val="83"/>
                </w:rPr>
                <w:t>F-43</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60">
              <w:r>
                <w:rPr>
                  <w:rFonts w:ascii="Arial" w:cs="Arial" w:eastAsia="Arial" w:hAnsi="Arial"/>
                  <w:sz w:val="14"/>
                  <w:szCs w:val="14"/>
                  <w:color w:val="0000FF"/>
                  <w:w w:val="92"/>
                </w:rPr>
                <w:t>14.</w:t>
              </w:r>
            </w:hyperlink>
          </w:p>
        </w:tc>
        <w:tc>
          <w:tcPr>
            <w:tcW w:w="9980" w:type="dxa"/>
            <w:vAlign w:val="bottom"/>
            <w:gridSpan w:val="25"/>
          </w:tcPr>
          <w:p>
            <w:pPr>
              <w:spacing w:after="0"/>
              <w:rPr>
                <w:rFonts w:ascii="Arial" w:cs="Arial" w:eastAsia="Arial" w:hAnsi="Arial"/>
                <w:sz w:val="14"/>
                <w:szCs w:val="14"/>
                <w:color w:val="0000FF"/>
              </w:rPr>
            </w:pPr>
            <w:hyperlink w:anchor="page160">
              <w:r>
                <w:rPr>
                  <w:rFonts w:ascii="Arial" w:cs="Arial" w:eastAsia="Arial" w:hAnsi="Arial"/>
                  <w:sz w:val="14"/>
                  <w:szCs w:val="14"/>
                  <w:color w:val="0000FF"/>
                </w:rPr>
                <w:t>Leases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0">
              <w:r>
                <w:rPr>
                  <w:rFonts w:ascii="Arial" w:cs="Arial" w:eastAsia="Arial" w:hAnsi="Arial"/>
                  <w:sz w:val="14"/>
                  <w:szCs w:val="14"/>
                  <w:color w:val="0000FF"/>
                  <w:w w:val="83"/>
                </w:rPr>
                <w:t>F-48</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63">
              <w:r>
                <w:rPr>
                  <w:rFonts w:ascii="Arial" w:cs="Arial" w:eastAsia="Arial" w:hAnsi="Arial"/>
                  <w:sz w:val="14"/>
                  <w:szCs w:val="14"/>
                  <w:color w:val="0000FF"/>
                  <w:w w:val="92"/>
                </w:rPr>
                <w:t>15.</w:t>
              </w:r>
            </w:hyperlink>
          </w:p>
        </w:tc>
        <w:tc>
          <w:tcPr>
            <w:tcW w:w="9980" w:type="dxa"/>
            <w:vAlign w:val="bottom"/>
            <w:gridSpan w:val="25"/>
          </w:tcPr>
          <w:p>
            <w:pPr>
              <w:spacing w:after="0"/>
              <w:rPr>
                <w:rFonts w:ascii="Arial" w:cs="Arial" w:eastAsia="Arial" w:hAnsi="Arial"/>
                <w:sz w:val="14"/>
                <w:szCs w:val="14"/>
                <w:color w:val="0000FF"/>
              </w:rPr>
            </w:pPr>
            <w:hyperlink w:anchor="page163">
              <w:r>
                <w:rPr>
                  <w:rFonts w:ascii="Arial" w:cs="Arial" w:eastAsia="Arial" w:hAnsi="Arial"/>
                  <w:sz w:val="14"/>
                  <w:szCs w:val="14"/>
                  <w:color w:val="0000FF"/>
                </w:rPr>
                <w:t>Income Taxes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3">
              <w:r>
                <w:rPr>
                  <w:rFonts w:ascii="Arial" w:cs="Arial" w:eastAsia="Arial" w:hAnsi="Arial"/>
                  <w:sz w:val="14"/>
                  <w:szCs w:val="14"/>
                  <w:color w:val="0000FF"/>
                  <w:w w:val="83"/>
                </w:rPr>
                <w:t>F-51</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65">
              <w:r>
                <w:rPr>
                  <w:rFonts w:ascii="Arial" w:cs="Arial" w:eastAsia="Arial" w:hAnsi="Arial"/>
                  <w:sz w:val="14"/>
                  <w:szCs w:val="14"/>
                  <w:color w:val="0000FF"/>
                  <w:w w:val="92"/>
                </w:rPr>
                <w:t>16.</w:t>
              </w:r>
            </w:hyperlink>
          </w:p>
        </w:tc>
        <w:tc>
          <w:tcPr>
            <w:tcW w:w="9980" w:type="dxa"/>
            <w:vAlign w:val="bottom"/>
            <w:gridSpan w:val="25"/>
          </w:tcPr>
          <w:p>
            <w:pPr>
              <w:spacing w:after="0"/>
              <w:rPr>
                <w:rFonts w:ascii="Arial" w:cs="Arial" w:eastAsia="Arial" w:hAnsi="Arial"/>
                <w:sz w:val="14"/>
                <w:szCs w:val="14"/>
                <w:color w:val="0000FF"/>
              </w:rPr>
            </w:pPr>
            <w:hyperlink w:anchor="page165">
              <w:r>
                <w:rPr>
                  <w:rFonts w:ascii="Arial" w:cs="Arial" w:eastAsia="Arial" w:hAnsi="Arial"/>
                  <w:sz w:val="14"/>
                  <w:szCs w:val="14"/>
                  <w:color w:val="0000FF"/>
                </w:rPr>
                <w:t>Major Customers and Concentration of Credit Risk</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5">
              <w:r>
                <w:rPr>
                  <w:rFonts w:ascii="Arial" w:cs="Arial" w:eastAsia="Arial" w:hAnsi="Arial"/>
                  <w:sz w:val="14"/>
                  <w:szCs w:val="14"/>
                  <w:color w:val="0000FF"/>
                  <w:w w:val="83"/>
                </w:rPr>
                <w:t>F-54</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66">
              <w:r>
                <w:rPr>
                  <w:rFonts w:ascii="Arial" w:cs="Arial" w:eastAsia="Arial" w:hAnsi="Arial"/>
                  <w:sz w:val="14"/>
                  <w:szCs w:val="14"/>
                  <w:color w:val="0000FF"/>
                  <w:w w:val="92"/>
                </w:rPr>
                <w:t>17.</w:t>
              </w:r>
            </w:hyperlink>
          </w:p>
        </w:tc>
        <w:tc>
          <w:tcPr>
            <w:tcW w:w="9980" w:type="dxa"/>
            <w:vAlign w:val="bottom"/>
            <w:gridSpan w:val="25"/>
          </w:tcPr>
          <w:p>
            <w:pPr>
              <w:spacing w:after="0"/>
              <w:rPr>
                <w:rFonts w:ascii="Arial" w:cs="Arial" w:eastAsia="Arial" w:hAnsi="Arial"/>
                <w:sz w:val="14"/>
                <w:szCs w:val="14"/>
                <w:color w:val="0000FF"/>
              </w:rPr>
            </w:pPr>
            <w:hyperlink w:anchor="page166">
              <w:r>
                <w:rPr>
                  <w:rFonts w:ascii="Arial" w:cs="Arial" w:eastAsia="Arial" w:hAnsi="Arial"/>
                  <w:sz w:val="14"/>
                  <w:szCs w:val="14"/>
                  <w:color w:val="0000FF"/>
                </w:rPr>
                <w:t>Related Party Transactions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6">
              <w:r>
                <w:rPr>
                  <w:rFonts w:ascii="Arial" w:cs="Arial" w:eastAsia="Arial" w:hAnsi="Arial"/>
                  <w:sz w:val="14"/>
                  <w:szCs w:val="14"/>
                  <w:color w:val="0000FF"/>
                  <w:w w:val="83"/>
                </w:rPr>
                <w:t>F-54</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68">
              <w:r>
                <w:rPr>
                  <w:rFonts w:ascii="Arial" w:cs="Arial" w:eastAsia="Arial" w:hAnsi="Arial"/>
                  <w:sz w:val="14"/>
                  <w:szCs w:val="14"/>
                  <w:color w:val="0000FF"/>
                  <w:w w:val="92"/>
                </w:rPr>
                <w:t>18.</w:t>
              </w:r>
            </w:hyperlink>
          </w:p>
        </w:tc>
        <w:tc>
          <w:tcPr>
            <w:tcW w:w="9980" w:type="dxa"/>
            <w:vAlign w:val="bottom"/>
            <w:gridSpan w:val="25"/>
          </w:tcPr>
          <w:p>
            <w:pPr>
              <w:spacing w:after="0"/>
              <w:rPr>
                <w:rFonts w:ascii="Arial" w:cs="Arial" w:eastAsia="Arial" w:hAnsi="Arial"/>
                <w:sz w:val="14"/>
                <w:szCs w:val="14"/>
                <w:color w:val="0000FF"/>
              </w:rPr>
            </w:pPr>
            <w:hyperlink w:anchor="page168">
              <w:r>
                <w:rPr>
                  <w:rFonts w:ascii="Arial" w:cs="Arial" w:eastAsia="Arial" w:hAnsi="Arial"/>
                  <w:sz w:val="14"/>
                  <w:szCs w:val="14"/>
                  <w:color w:val="0000FF"/>
                </w:rPr>
                <w:t>Equity-Indexed Compensation Plans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8">
              <w:r>
                <w:rPr>
                  <w:rFonts w:ascii="Arial" w:cs="Arial" w:eastAsia="Arial" w:hAnsi="Arial"/>
                  <w:sz w:val="14"/>
                  <w:szCs w:val="14"/>
                  <w:color w:val="0000FF"/>
                  <w:w w:val="83"/>
                </w:rPr>
                <w:t>F-56</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340" w:type="dxa"/>
            <w:vAlign w:val="bottom"/>
            <w:gridSpan w:val="4"/>
          </w:tcPr>
          <w:p>
            <w:pPr>
              <w:ind w:left="140"/>
              <w:spacing w:after="0"/>
              <w:rPr>
                <w:rFonts w:ascii="Arial" w:cs="Arial" w:eastAsia="Arial" w:hAnsi="Arial"/>
                <w:sz w:val="14"/>
                <w:szCs w:val="14"/>
                <w:color w:val="0000FF"/>
                <w:w w:val="92"/>
              </w:rPr>
            </w:pPr>
            <w:hyperlink w:anchor="page168">
              <w:r>
                <w:rPr>
                  <w:rFonts w:ascii="Arial" w:cs="Arial" w:eastAsia="Arial" w:hAnsi="Arial"/>
                  <w:sz w:val="14"/>
                  <w:szCs w:val="14"/>
                  <w:color w:val="0000FF"/>
                  <w:w w:val="92"/>
                </w:rPr>
                <w:t>19.</w:t>
              </w:r>
            </w:hyperlink>
          </w:p>
        </w:tc>
        <w:tc>
          <w:tcPr>
            <w:tcW w:w="9980" w:type="dxa"/>
            <w:vAlign w:val="bottom"/>
            <w:gridSpan w:val="25"/>
          </w:tcPr>
          <w:p>
            <w:pPr>
              <w:spacing w:after="0"/>
              <w:rPr>
                <w:rFonts w:ascii="Arial" w:cs="Arial" w:eastAsia="Arial" w:hAnsi="Arial"/>
                <w:sz w:val="14"/>
                <w:szCs w:val="14"/>
                <w:color w:val="0000FF"/>
              </w:rPr>
            </w:pPr>
            <w:hyperlink w:anchor="page168">
              <w:r>
                <w:rPr>
                  <w:rFonts w:ascii="Arial" w:cs="Arial" w:eastAsia="Arial" w:hAnsi="Arial"/>
                  <w:sz w:val="14"/>
                  <w:szCs w:val="14"/>
                  <w:color w:val="0000FF"/>
                </w:rPr>
                <w:t>Commitments and Contingencies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8">
              <w:r>
                <w:rPr>
                  <w:rFonts w:ascii="Arial" w:cs="Arial" w:eastAsia="Arial" w:hAnsi="Arial"/>
                  <w:sz w:val="14"/>
                  <w:szCs w:val="14"/>
                  <w:color w:val="0000FF"/>
                  <w:w w:val="83"/>
                </w:rPr>
                <w:t>F-57</w:t>
              </w:r>
            </w:hyperlink>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808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340" w:type="dxa"/>
            <w:vAlign w:val="bottom"/>
            <w:gridSpan w:val="4"/>
          </w:tcPr>
          <w:p>
            <w:pPr>
              <w:ind w:left="140"/>
              <w:spacing w:after="0"/>
              <w:rPr>
                <w:sz w:val="20"/>
                <w:szCs w:val="20"/>
                <w:color w:val="auto"/>
              </w:rPr>
            </w:pPr>
            <w:r>
              <w:rPr>
                <w:rFonts w:ascii="Arial" w:cs="Arial" w:eastAsia="Arial" w:hAnsi="Arial"/>
                <w:sz w:val="14"/>
                <w:szCs w:val="14"/>
                <w:color w:val="0000FF"/>
                <w:w w:val="92"/>
              </w:rPr>
              <w:t>20.</w:t>
            </w:r>
          </w:p>
        </w:tc>
        <w:tc>
          <w:tcPr>
            <w:tcW w:w="9980" w:type="dxa"/>
            <w:vAlign w:val="bottom"/>
            <w:gridSpan w:val="25"/>
          </w:tcPr>
          <w:p>
            <w:pPr>
              <w:spacing w:after="0"/>
              <w:rPr>
                <w:rFonts w:ascii="Arial" w:cs="Arial" w:eastAsia="Arial" w:hAnsi="Arial"/>
                <w:sz w:val="14"/>
                <w:szCs w:val="14"/>
                <w:color w:val="0000FF"/>
              </w:rPr>
            </w:pPr>
            <w:hyperlink w:anchor="page173">
              <w:r>
                <w:rPr>
                  <w:rFonts w:ascii="Arial" w:cs="Arial" w:eastAsia="Arial" w:hAnsi="Arial"/>
                  <w:sz w:val="14"/>
                  <w:szCs w:val="14"/>
                  <w:color w:val="0000FF"/>
                </w:rPr>
                <w:t>Segment Information</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73">
              <w:r>
                <w:rPr>
                  <w:rFonts w:ascii="Arial" w:cs="Arial" w:eastAsia="Arial" w:hAnsi="Arial"/>
                  <w:sz w:val="14"/>
                  <w:szCs w:val="14"/>
                  <w:color w:val="0000FF"/>
                  <w:w w:val="83"/>
                </w:rPr>
                <w:t>F-62</w:t>
              </w:r>
            </w:hyperlink>
          </w:p>
        </w:tc>
      </w:tr>
      <w:tr>
        <w:trPr>
          <w:trHeight w:val="881"/>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4"/>
          </w:tcPr>
          <w:p>
            <w:pPr>
              <w:ind w:left="80"/>
              <w:spacing w:after="0"/>
              <w:rPr>
                <w:sz w:val="20"/>
                <w:szCs w:val="20"/>
                <w:color w:val="auto"/>
              </w:rPr>
            </w:pPr>
            <w:r>
              <w:rPr>
                <w:rFonts w:ascii="Arial" w:cs="Arial" w:eastAsia="Arial" w:hAnsi="Arial"/>
                <w:sz w:val="14"/>
                <w:szCs w:val="14"/>
                <w:color w:val="auto"/>
              </w:rPr>
              <w:t>F-1</w:t>
            </w: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3" w:name="page114"/>
    <w:bookmarkEnd w:id="1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4" w:lineRule="exact"/>
        <w:rPr>
          <w:sz w:val="20"/>
          <w:szCs w:val="20"/>
          <w:color w:val="auto"/>
        </w:rPr>
      </w:pPr>
    </w:p>
    <w:p>
      <w:pPr>
        <w:ind w:right="300" w:firstLine="509"/>
        <w:spacing w:after="0" w:line="267" w:lineRule="auto"/>
        <w:rPr>
          <w:sz w:val="20"/>
          <w:szCs w:val="20"/>
          <w:color w:val="auto"/>
        </w:rPr>
      </w:pPr>
      <w:r>
        <w:rPr>
          <w:rFonts w:ascii="Arial" w:cs="Arial" w:eastAsia="Arial" w:hAnsi="Arial"/>
          <w:sz w:val="14"/>
          <w:szCs w:val="14"/>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3"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2"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2021.</w:t>
      </w:r>
    </w:p>
    <w:p>
      <w:pPr>
        <w:spacing w:after="0" w:line="163"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The effectiveness of the Partnership’s internal control over financial reporting as of December 31, 2021 has been audited by PricewaterhouseCoopers LLP, an independent registered public accounting firm, as stated in their report which appears on Page F-3.</w:t>
      </w:r>
    </w:p>
    <w:p>
      <w:pPr>
        <w:spacing w:after="0" w:line="164"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12065</wp:posOffset>
            </wp:positionV>
            <wp:extent cx="3476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9">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Willie Chiang</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i w:val="1"/>
          <w:iCs w:val="1"/>
          <w:color w:val="auto"/>
        </w:rPr>
        <w:t>Chief Executive Officer of Plains All American GP LLC</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i w:val="1"/>
          <w:iCs w:val="1"/>
          <w:color w:val="auto"/>
        </w:rPr>
        <w:t>(Principal Executive Officer)</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12065</wp:posOffset>
            </wp:positionV>
            <wp:extent cx="3476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0">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Al Swanson</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i w:val="1"/>
          <w:iCs w:val="1"/>
          <w:color w:val="auto"/>
        </w:rPr>
        <w:t>Executive Vice President and Chief Financial Officer of Plains All American GP LLC</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i w:val="1"/>
          <w:iCs w:val="1"/>
          <w:color w:val="auto"/>
        </w:rPr>
        <w:t>(Principal Financial Officer)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4" w:name="page115"/>
    <w:bookmarkEnd w:id="11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3940"/>
        <w:spacing w:after="0"/>
        <w:rPr>
          <w:sz w:val="20"/>
          <w:szCs w:val="20"/>
          <w:color w:val="auto"/>
        </w:rPr>
      </w:pPr>
      <w:r>
        <w:rPr>
          <w:rFonts w:ascii="Arial" w:cs="Arial" w:eastAsia="Arial" w:hAnsi="Arial"/>
          <w:sz w:val="14"/>
          <w:szCs w:val="14"/>
          <w:b w:val="1"/>
          <w:bCs w:val="1"/>
          <w:i w:val="1"/>
          <w:i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of PAA GP Holdings LLC and Unitholders of Plains All American Pipeline, 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We have audited the accompanying consolidated balance sheets of Plains All American Pipeline, L.P. and its subsidiaries (the “Partnership”) as of December 31, 2021 and 2020, and the related consolidated statements of operations, of comprehensive income (loss), of changes in accumulated other comprehensive income/(loss), of changes in partners' capital and of cash flows for each of the three years in the period ended December 31, 2021, including the related notes (collectively referred to as the “consolidated financial statements”). We also have audited the Partnership's internal control over financial reporting as of December 31, 2021,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68"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Partnership as of December 31, 2021 and 2020, and the results of its operations and its cash flows for each of the three years in the period ended December 31, 2021 in conformity with accounting principles generally accepted in the United States of America. Also in our opinion, the Partnership maintained, in all material respects, effective internal control over financial reporting as of December 31, 2021, based on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w:t>
      </w:r>
      <w:r>
        <w:rPr>
          <w:rFonts w:ascii="Arial" w:cs="Arial" w:eastAsia="Arial" w:hAnsi="Arial"/>
          <w:sz w:val="14"/>
          <w:szCs w:val="14"/>
          <w:color w:val="auto"/>
        </w:rPr>
        <w:t>(2013)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120"/>
        <w:spacing w:after="0" w:line="368"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5" w:name="page116"/>
    <w:bookmarkEnd w:id="1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200"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120"/>
        <w:spacing w:after="0" w:line="305"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20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the Oryx Midstream Holdings LLC Business Combination</w:t>
      </w:r>
    </w:p>
    <w:p>
      <w:pPr>
        <w:spacing w:after="0" w:line="200"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As described in Note 7 to the consolidated financial statements, in October 2021, the Partnership and Oryx Midstream Holdings LLC (“Oryx Midstream”), completed the merger, in a cashless, debt-free transaction, of their respective Permian Basin assets, operations and commercial activities into a newly formed strategic joint venture, Plains Oryx Permian Basin LLC (the “Permian JV”). The Permian JV includes all of Oryx Midstream’s Permian Basin assets and, with the exception of the Partnership’s long-haul pipeline systems and certain of the intra-basin terminal assets, the vast majority of the Partnership’s assets located within the Permian Basin. The Partnership owns 65% of Permian JV, operates the combined assets and reflects Permian JV as a consolidated subsidiary in the consolidated financial statements. The formation of the joint venture was accounted for as a business combination using the acquisition method of accounting. As the majority owner and the controlling entity, the Partnership is considered the acquirer and the transfer of the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$3.256 billion is utilized as the consideration transferred for the purchase price allocation. The fair value of the $3.256 billion consideration is a Level 3 measurement in the fair value hierarchy and was determined by valuing both the enterprise value of Oryx Midstream’s Permian Basin business and the enterprise value of the Partnership’s Permian Basin assets that were contributed to the joint venture. The enterprise value of Oryx Midstream’s Permian Basin business was calculated by weighting the results of (i) a discounted cash flow (“DCF”) approach and (ii) a guideline public company method (“GPCM”). The DCF approach utilized a discount rate based on the estimate of the risk that a theoretical market participant would assign to the business. The projection of future crude volumes gathered and transported was also a key assumption in the DCF approach and was based on projected rig activity on the associated acreage. The fair value of the intangible assets was determined by applying a discounted cash flow approach. Such approach utilized a discount rate based on the estimate of the risk that a theoretical market participant would assign to the respective intangible assets. The projection of future crude volumes gathered and transported was also a key assumption in the valuation of the intangible assets and was based on projected rig activity on the associated acreage. The fair value of intangible assets is comprised of customer relationships with an assigned value of $1.247 billion.</w:t>
      </w:r>
    </w:p>
    <w:p>
      <w:pPr>
        <w:spacing w:after="0" w:line="15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principal considerations for our determination that performing procedures relating to the accounting for the Oryx Midstream business combination is a critical audit matter are (i) the significant judgment by management when determining the fair value of the consideration transferred for the Oryx Midstream Permian Basin business and the customer relationships, which in turn led to a high degree of auditor judgment, subjectivity, and effort in performing procedures and evaluating management’s significant assumptions related to future crude volumes gathered and transported and the discount rates used in the valuation of the consideration transferred for the Oryx Midstream Permian Basin business and the customer relationships; and (ii)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6" w:name="page117"/>
    <w:bookmarkEnd w:id="11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management’s valuation of the consideration transferred and the customer relationships, and controls over the determination of the significant assumptions. These procedures also included, among others (i) reading the transaction agreement and (ii) testing management’s process for determining the fair value of the consideration transferred for the Oryx Midstream Permian Basin business and the customer relationships. Testing management’s process included evaluating the appropriateness of the valuation methods, testing the completeness and accuracy of data provided by management, and evaluating the reasonableness of the significant assumptions related to future crude volumes gathered and transported and the discount rates used in the valuation of the consideration transferred for the Oryx Midstream Permian Basin business and the customer relationships. Evaluating the reasonableness of the future crude volumes gathered and transported involved considering (i) the consistency with external market and industry data and (ii) the past performance of the Oryx Midstream Permian Basin business. Professionals with specialized skill and knowledge were used to assist in evaluating the appropriateness of the valuation methods and the reasonableness of the discount rate significant assumption.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Houston, Texas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have served as the Partnership’s auditor since 1998.</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7" w:name="page118"/>
    <w:bookmarkEnd w:id="1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unit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2021</w:t>
            </w:r>
          </w:p>
        </w:tc>
        <w:tc>
          <w:tcPr>
            <w:tcW w:w="120" w:type="dxa"/>
            <w:vAlign w:val="bottom"/>
          </w:tcPr>
          <w:p>
            <w:pPr>
              <w:spacing w:after="0"/>
              <w:rPr>
                <w:sz w:val="13"/>
                <w:szCs w:val="13"/>
                <w:color w:val="auto"/>
              </w:rPr>
            </w:pPr>
          </w:p>
        </w:tc>
        <w:tc>
          <w:tcPr>
            <w:tcW w:w="1080" w:type="dxa"/>
            <w:vAlign w:val="bottom"/>
          </w:tcPr>
          <w:p>
            <w:pPr>
              <w:jc w:val="right"/>
              <w:ind w:right="70"/>
              <w:spacing w:after="0"/>
              <w:rPr>
                <w:sz w:val="20"/>
                <w:szCs w:val="20"/>
                <w:color w:val="auto"/>
              </w:rPr>
            </w:pPr>
            <w:r>
              <w:rPr>
                <w:rFonts w:ascii="Arial" w:cs="Arial" w:eastAsia="Arial" w:hAnsi="Arial"/>
                <w:sz w:val="11"/>
                <w:szCs w:val="11"/>
                <w:b w:val="1"/>
                <w:bCs w:val="1"/>
                <w:color w:val="auto"/>
                <w:w w:val="92"/>
              </w:rPr>
              <w:t>December 31, 2020</w:t>
            </w:r>
          </w:p>
        </w:tc>
      </w:tr>
      <w:tr>
        <w:trPr>
          <w:trHeight w:val="165"/>
        </w:trPr>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59"/>
        </w:trPr>
        <w:tc>
          <w:tcPr>
            <w:tcW w:w="8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Trade accounts receivable and other receivables, net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2,553</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r>
      <w:tr>
        <w:trPr>
          <w:trHeight w:val="171"/>
        </w:trPr>
        <w:tc>
          <w:tcPr>
            <w:tcW w:w="8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3,665</w:t>
            </w:r>
          </w:p>
        </w:tc>
      </w:tr>
      <w:tr>
        <w:trPr>
          <w:trHeight w:val="107"/>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AND EQUIPMENT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18,585</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(3,974)</w:t>
            </w:r>
          </w:p>
        </w:tc>
      </w:tr>
      <w:tr>
        <w:trPr>
          <w:trHeight w:val="171"/>
        </w:trPr>
        <w:tc>
          <w:tcPr>
            <w:tcW w:w="8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14,611</w:t>
            </w:r>
          </w:p>
        </w:tc>
      </w:tr>
      <w:tr>
        <w:trPr>
          <w:trHeight w:val="107"/>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3,764</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Linefill and base gas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982</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right-of-use assets, net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Long-term inventory</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 net</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71"/>
        </w:trPr>
        <w:tc>
          <w:tcPr>
            <w:tcW w:w="8780" w:type="dxa"/>
            <w:vAlign w:val="bottom"/>
          </w:tcPr>
          <w:p>
            <w:pPr>
              <w:ind w:left="1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28,609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24,497</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
        </w:trPr>
        <w:tc>
          <w:tcPr>
            <w:tcW w:w="8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b w:val="1"/>
                <w:bCs w:val="1"/>
                <w:color w:val="auto"/>
              </w:rPr>
              <w:t>LIABILITIES AND PARTNERS’ CAPITAL</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27"/>
        </w:trPr>
        <w:tc>
          <w:tcPr>
            <w:tcW w:w="8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Short-term debt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831</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r>
      <w:tr>
        <w:trPr>
          <w:trHeight w:val="171"/>
        </w:trPr>
        <w:tc>
          <w:tcPr>
            <w:tcW w:w="8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w:t>
            </w:r>
          </w:p>
        </w:tc>
      </w:tr>
      <w:tr>
        <w:trPr>
          <w:trHeight w:val="107"/>
        </w:trPr>
        <w:tc>
          <w:tcPr>
            <w:tcW w:w="8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b w:val="1"/>
                <w:bCs w:val="1"/>
                <w:color w:val="auto"/>
              </w:rPr>
              <w:t>LONG-TERM 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net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9,071</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Other long-term debt, net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 and deferred credits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r>
      <w:tr>
        <w:trPr>
          <w:trHeight w:val="171"/>
        </w:trPr>
        <w:tc>
          <w:tcPr>
            <w:tcW w:w="8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long-term liabilities</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w:t>
            </w:r>
          </w:p>
        </w:tc>
      </w:tr>
      <w:tr>
        <w:trPr>
          <w:trHeight w:val="107"/>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19)</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27"/>
        </w:trPr>
        <w:tc>
          <w:tcPr>
            <w:tcW w:w="8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PARTNERS’ CAPITAL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Series A preferred unitholders (71,090,468 and 71,090,468 units outstanding, respectively)</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1,505</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 preferred unitholders (800,000 and 800,000 units outstanding, respectively)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unitholders (704,991,540 and 722,380,416 units outstanding, respectively)</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7,301</w:t>
            </w:r>
          </w:p>
        </w:tc>
      </w:tr>
      <w:tr>
        <w:trPr>
          <w:trHeight w:val="171"/>
        </w:trPr>
        <w:tc>
          <w:tcPr>
            <w:tcW w:w="8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partners’ capital excluding noncontrolling interests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9,593</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171"/>
        </w:trPr>
        <w:tc>
          <w:tcPr>
            <w:tcW w:w="8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partners’ capital</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9,738</w:t>
            </w:r>
          </w:p>
        </w:tc>
      </w:tr>
      <w:tr>
        <w:trPr>
          <w:trHeight w:val="171"/>
        </w:trPr>
        <w:tc>
          <w:tcPr>
            <w:tcW w:w="8780" w:type="dxa"/>
            <w:vAlign w:val="bottom"/>
          </w:tcPr>
          <w:p>
            <w:pPr>
              <w:ind w:left="120"/>
              <w:spacing w:after="0"/>
              <w:rPr>
                <w:sz w:val="20"/>
                <w:szCs w:val="20"/>
                <w:color w:val="auto"/>
              </w:rPr>
            </w:pPr>
            <w:r>
              <w:rPr>
                <w:rFonts w:ascii="Arial" w:cs="Arial" w:eastAsia="Arial" w:hAnsi="Arial"/>
                <w:sz w:val="14"/>
                <w:szCs w:val="14"/>
                <w:color w:val="auto"/>
              </w:rPr>
              <w:t>Total liabilities and partners’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28,609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24,497</w:t>
            </w:r>
          </w:p>
        </w:tc>
      </w:tr>
      <w:tr>
        <w:trPr>
          <w:trHeight w:val="20"/>
        </w:trPr>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8" w:name="page119"/>
    <w:bookmarkEnd w:id="1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unit data)</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4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2019</w:t>
            </w:r>
          </w:p>
        </w:tc>
      </w:tr>
      <w:tr>
        <w:trPr>
          <w:trHeight w:val="161"/>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7440" w:type="dxa"/>
            <w:vAlign w:val="bottom"/>
          </w:tcPr>
          <w:p>
            <w:pPr>
              <w:spacing w:after="0"/>
              <w:rPr>
                <w:sz w:val="20"/>
                <w:szCs w:val="20"/>
                <w:color w:val="auto"/>
              </w:rPr>
            </w:pPr>
            <w:r>
              <w:rPr>
                <w:rFonts w:ascii="Arial" w:cs="Arial" w:eastAsia="Arial" w:hAnsi="Arial"/>
                <w:sz w:val="14"/>
                <w:szCs w:val="14"/>
                <w:color w:val="auto"/>
              </w:rPr>
              <w:t>Product sales revenues</w:t>
            </w:r>
          </w:p>
        </w:tc>
        <w:tc>
          <w:tcPr>
            <w:tcW w:w="720" w:type="dxa"/>
            <w:vAlign w:val="bottom"/>
          </w:tcPr>
          <w:p>
            <w:pPr>
              <w:jc w:val="right"/>
              <w:ind w:right="57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40,883</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22,058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32,272</w:t>
            </w:r>
          </w:p>
        </w:tc>
      </w:tr>
      <w:tr>
        <w:trPr>
          <w:trHeight w:val="181"/>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Services revenues</w:t>
            </w: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r>
      <w:tr>
        <w:trPr>
          <w:trHeight w:val="171"/>
        </w:trPr>
        <w:tc>
          <w:tcPr>
            <w:tcW w:w="7440" w:type="dxa"/>
            <w:vAlign w:val="bottom"/>
          </w:tcPr>
          <w:p>
            <w:pPr>
              <w:ind w:left="100"/>
              <w:spacing w:after="0"/>
              <w:rPr>
                <w:sz w:val="20"/>
                <w:szCs w:val="20"/>
                <w:color w:val="auto"/>
              </w:rPr>
            </w:pPr>
            <w:r>
              <w:rPr>
                <w:rFonts w:ascii="Arial" w:cs="Arial" w:eastAsia="Arial" w:hAnsi="Arial"/>
                <w:sz w:val="14"/>
                <w:szCs w:val="14"/>
                <w:color w:val="auto"/>
              </w:rPr>
              <w:t>Total revenues</w:t>
            </w: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42,078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33,669</w:t>
            </w:r>
          </w:p>
        </w:tc>
      </w:tr>
      <w:tr>
        <w:trPr>
          <w:trHeight w:val="170"/>
        </w:trPr>
        <w:tc>
          <w:tcPr>
            <w:tcW w:w="7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74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Purchases and related costs</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38,504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29,452</w:t>
            </w:r>
          </w:p>
        </w:tc>
      </w:tr>
      <w:tr>
        <w:trPr>
          <w:trHeight w:val="180"/>
        </w:trPr>
        <w:tc>
          <w:tcPr>
            <w:tcW w:w="7440" w:type="dxa"/>
            <w:vAlign w:val="bottom"/>
          </w:tcPr>
          <w:p>
            <w:pPr>
              <w:spacing w:after="0"/>
              <w:rPr>
                <w:sz w:val="20"/>
                <w:szCs w:val="20"/>
                <w:color w:val="auto"/>
              </w:rPr>
            </w:pPr>
            <w:r>
              <w:rPr>
                <w:rFonts w:ascii="Arial" w:cs="Arial" w:eastAsia="Arial" w:hAnsi="Arial"/>
                <w:sz w:val="14"/>
                <w:szCs w:val="14"/>
                <w:color w:val="auto"/>
              </w:rPr>
              <w:t>Field operating costs</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1,303</w:t>
            </w:r>
          </w:p>
        </w:tc>
      </w:tr>
      <w:tr>
        <w:trPr>
          <w:trHeight w:val="181"/>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expenses</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r>
      <w:tr>
        <w:trPr>
          <w:trHeight w:val="180"/>
        </w:trPr>
        <w:tc>
          <w:tcPr>
            <w:tcW w:w="74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601</w:t>
            </w:r>
          </w:p>
        </w:tc>
      </w:tr>
      <w:tr>
        <w:trPr>
          <w:trHeight w:val="181"/>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(Gains)/losses on asset sales and asset impairments, net (Note 6, Note 7)</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 impairment losses (Note 8)</w:t>
            </w: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costs and expenses</w:t>
            </w: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41,227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31,681</w:t>
            </w:r>
          </w:p>
        </w:tc>
      </w:tr>
      <w:tr>
        <w:trPr>
          <w:trHeight w:val="202"/>
        </w:trPr>
        <w:tc>
          <w:tcPr>
            <w:tcW w:w="7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INCOME/(LOSS)</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w:t>
            </w:r>
          </w:p>
        </w:tc>
      </w:tr>
      <w:tr>
        <w:trPr>
          <w:trHeight w:val="170"/>
        </w:trPr>
        <w:tc>
          <w:tcPr>
            <w:tcW w:w="7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INCOME/(EXPENSE)</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440" w:type="dxa"/>
            <w:vAlign w:val="bottom"/>
          </w:tcPr>
          <w:p>
            <w:pPr>
              <w:spacing w:after="0"/>
              <w:rPr>
                <w:sz w:val="20"/>
                <w:szCs w:val="20"/>
                <w:color w:val="auto"/>
              </w:rPr>
            </w:pPr>
            <w:r>
              <w:rPr>
                <w:rFonts w:ascii="Arial" w:cs="Arial" w:eastAsia="Arial" w:hAnsi="Arial"/>
                <w:sz w:val="14"/>
                <w:szCs w:val="14"/>
                <w:color w:val="auto"/>
              </w:rPr>
              <w:t>Equity earnings in unconsolidated entities</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181"/>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Gain on/(impairment of) investments in unconsolidated entities, net (Note 9)</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80"/>
        </w:trPr>
        <w:tc>
          <w:tcPr>
            <w:tcW w:w="7440" w:type="dxa"/>
            <w:vAlign w:val="bottom"/>
          </w:tcPr>
          <w:p>
            <w:pPr>
              <w:spacing w:after="0"/>
              <w:rPr>
                <w:sz w:val="20"/>
                <w:szCs w:val="20"/>
                <w:color w:val="auto"/>
              </w:rPr>
            </w:pPr>
            <w:r>
              <w:rPr>
                <w:rFonts w:ascii="Arial" w:cs="Arial" w:eastAsia="Arial" w:hAnsi="Arial"/>
                <w:sz w:val="14"/>
                <w:szCs w:val="14"/>
                <w:color w:val="auto"/>
              </w:rPr>
              <w:t>Interest expense (net of capitalized interest of $18, $24 and $34, respectively)</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2"/>
        </w:trPr>
        <w:tc>
          <w:tcPr>
            <w:tcW w:w="7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INCOME/(LOSS) BEFORE TAX</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r>
      <w:tr>
        <w:trPr>
          <w:trHeight w:val="180"/>
        </w:trPr>
        <w:tc>
          <w:tcPr>
            <w:tcW w:w="7440" w:type="dxa"/>
            <w:vAlign w:val="bottom"/>
          </w:tcPr>
          <w:p>
            <w:pPr>
              <w:spacing w:after="0"/>
              <w:rPr>
                <w:sz w:val="20"/>
                <w:szCs w:val="20"/>
                <w:color w:val="auto"/>
              </w:rPr>
            </w:pPr>
            <w:r>
              <w:rPr>
                <w:rFonts w:ascii="Arial" w:cs="Arial" w:eastAsia="Arial" w:hAnsi="Arial"/>
                <w:sz w:val="14"/>
                <w:szCs w:val="14"/>
                <w:color w:val="auto"/>
              </w:rPr>
              <w:t>Current income tax expense</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(expense)/benefit</w:t>
            </w: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2"/>
        </w:trPr>
        <w:tc>
          <w:tcPr>
            <w:tcW w:w="7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INCOME/(LOSS)</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r>
      <w:tr>
        <w:trPr>
          <w:trHeight w:val="180"/>
        </w:trPr>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income attributable to noncontrolling interests</w:t>
            </w: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INCOME/(LOSS) ATTRIBUTABLE TO PAA</w:t>
            </w:r>
          </w:p>
        </w:tc>
        <w:tc>
          <w:tcPr>
            <w:tcW w:w="7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80"/>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INCOME/(LOSS) PER COMMON UNIT (NOTE 4):</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440" w:type="dxa"/>
            <w:vAlign w:val="bottom"/>
          </w:tcPr>
          <w:p>
            <w:pPr>
              <w:ind w:left="100"/>
              <w:spacing w:after="0"/>
              <w:rPr>
                <w:sz w:val="20"/>
                <w:szCs w:val="20"/>
                <w:color w:val="auto"/>
              </w:rPr>
            </w:pPr>
            <w:r>
              <w:rPr>
                <w:rFonts w:ascii="Arial" w:cs="Arial" w:eastAsia="Arial" w:hAnsi="Arial"/>
                <w:sz w:val="14"/>
                <w:szCs w:val="14"/>
                <w:color w:val="auto"/>
              </w:rPr>
              <w:t>Net income/(loss) allocated to common unitholders — Basic</w:t>
            </w:r>
          </w:p>
        </w:tc>
        <w:tc>
          <w:tcPr>
            <w:tcW w:w="720" w:type="dxa"/>
            <w:vAlign w:val="bottom"/>
          </w:tcPr>
          <w:p>
            <w:pPr>
              <w:jc w:val="right"/>
              <w:ind w:right="57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393</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1,967</w:t>
            </w:r>
          </w:p>
        </w:tc>
      </w:tr>
      <w:tr>
        <w:trPr>
          <w:trHeight w:val="181"/>
        </w:trPr>
        <w:tc>
          <w:tcPr>
            <w:tcW w:w="7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 weighted average common units outstanding</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180"/>
        </w:trPr>
        <w:tc>
          <w:tcPr>
            <w:tcW w:w="7440" w:type="dxa"/>
            <w:vAlign w:val="bottom"/>
          </w:tcPr>
          <w:p>
            <w:pPr>
              <w:ind w:left="100"/>
              <w:spacing w:after="0"/>
              <w:rPr>
                <w:sz w:val="20"/>
                <w:szCs w:val="20"/>
                <w:color w:val="auto"/>
              </w:rPr>
            </w:pPr>
            <w:r>
              <w:rPr>
                <w:rFonts w:ascii="Arial" w:cs="Arial" w:eastAsia="Arial" w:hAnsi="Arial"/>
                <w:sz w:val="14"/>
                <w:szCs w:val="14"/>
                <w:color w:val="auto"/>
              </w:rPr>
              <w:t>Basic net income/(loss) per common unit</w:t>
            </w:r>
          </w:p>
        </w:tc>
        <w:tc>
          <w:tcPr>
            <w:tcW w:w="720" w:type="dxa"/>
            <w:vAlign w:val="bottom"/>
          </w:tcPr>
          <w:p>
            <w:pPr>
              <w:jc w:val="right"/>
              <w:ind w:right="57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0.55</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7440" w:type="dxa"/>
            <w:vAlign w:val="bottom"/>
          </w:tcPr>
          <w:p>
            <w:pPr>
              <w:ind w:left="100"/>
              <w:spacing w:after="0"/>
              <w:rPr>
                <w:sz w:val="20"/>
                <w:szCs w:val="20"/>
                <w:color w:val="auto"/>
              </w:rPr>
            </w:pPr>
            <w:r>
              <w:rPr>
                <w:rFonts w:ascii="Arial" w:cs="Arial" w:eastAsia="Arial" w:hAnsi="Arial"/>
                <w:sz w:val="14"/>
                <w:szCs w:val="14"/>
                <w:color w:val="auto"/>
              </w:rPr>
              <w:t>Net income/(loss) allocated to common unitholders — Diluted</w:t>
            </w:r>
          </w:p>
        </w:tc>
        <w:tc>
          <w:tcPr>
            <w:tcW w:w="720" w:type="dxa"/>
            <w:vAlign w:val="bottom"/>
          </w:tcPr>
          <w:p>
            <w:pPr>
              <w:jc w:val="right"/>
              <w:ind w:right="57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393</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2,119</w:t>
            </w:r>
          </w:p>
        </w:tc>
      </w:tr>
      <w:tr>
        <w:trPr>
          <w:trHeight w:val="181"/>
        </w:trPr>
        <w:tc>
          <w:tcPr>
            <w:tcW w:w="7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 weighted average common units outstanding</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0"/>
        </w:trPr>
        <w:tc>
          <w:tcPr>
            <w:tcW w:w="7440" w:type="dxa"/>
            <w:vAlign w:val="bottom"/>
          </w:tcPr>
          <w:p>
            <w:pPr>
              <w:ind w:left="100"/>
              <w:spacing w:after="0"/>
              <w:rPr>
                <w:sz w:val="20"/>
                <w:szCs w:val="20"/>
                <w:color w:val="auto"/>
              </w:rPr>
            </w:pPr>
            <w:r>
              <w:rPr>
                <w:rFonts w:ascii="Arial" w:cs="Arial" w:eastAsia="Arial" w:hAnsi="Arial"/>
                <w:sz w:val="14"/>
                <w:szCs w:val="14"/>
                <w:color w:val="auto"/>
              </w:rPr>
              <w:t>Diluted net income/(loss) per common unit</w:t>
            </w:r>
          </w:p>
        </w:tc>
        <w:tc>
          <w:tcPr>
            <w:tcW w:w="720" w:type="dxa"/>
            <w:vAlign w:val="bottom"/>
          </w:tcPr>
          <w:p>
            <w:pPr>
              <w:jc w:val="right"/>
              <w:ind w:right="57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0.55</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
        </w:trPr>
        <w:tc>
          <w:tcPr>
            <w:tcW w:w="7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9" w:name="page120"/>
    <w:bookmarkEnd w:id="11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4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2019</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Net income/(loss)</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r>
      <w:tr>
        <w:trPr>
          <w:trHeight w:val="180"/>
        </w:trPr>
        <w:tc>
          <w:tcPr>
            <w:tcW w:w="7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171"/>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income/(loss)</w:t>
            </w: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w:t>
            </w:r>
          </w:p>
        </w:tc>
      </w:tr>
      <w:tr>
        <w:trPr>
          <w:trHeight w:val="180"/>
        </w:trPr>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Comprehensive income attributable to noncontrolling interests</w:t>
            </w: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income/(loss) attributable to PAA</w:t>
            </w:r>
          </w:p>
        </w:tc>
        <w:tc>
          <w:tcPr>
            <w:tcW w:w="82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ACCUMULATED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Derivative</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Translation</w:t>
            </w:r>
          </w:p>
        </w:tc>
        <w:tc>
          <w:tcPr>
            <w:tcW w:w="860" w:type="dxa"/>
            <w:vAlign w:val="bottom"/>
            <w:vMerge w:val="restart"/>
          </w:tcPr>
          <w:p>
            <w:pPr>
              <w:jc w:val="right"/>
              <w:ind w:right="52"/>
              <w:spacing w:after="0"/>
              <w:rPr>
                <w:sz w:val="20"/>
                <w:szCs w:val="20"/>
                <w:color w:val="auto"/>
              </w:rPr>
            </w:pPr>
            <w:r>
              <w:rPr>
                <w:rFonts w:ascii="Arial" w:cs="Arial" w:eastAsia="Arial" w:hAnsi="Arial"/>
                <w:sz w:val="11"/>
                <w:szCs w:val="11"/>
                <w:b w:val="1"/>
                <w:bCs w:val="1"/>
                <w:color w:val="auto"/>
              </w:rPr>
              <w:t>Other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Instruments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Adjustments</w:t>
            </w:r>
          </w:p>
        </w:tc>
        <w:tc>
          <w:tcPr>
            <w:tcW w:w="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adjustments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Unrealized loss on hedges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2019 Activity</w:t>
            </w: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adjustments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Unrealized loss on hedges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6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2020 Activity</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Reclassification adjustments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hedges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6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2021 Activity</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0" w:name="page121"/>
    <w:bookmarkEnd w:id="1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7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1"/>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42"/>
        </w:trPr>
        <w:tc>
          <w:tcPr>
            <w:tcW w:w="77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2019</w:t>
            </w:r>
          </w:p>
        </w:tc>
      </w:tr>
      <w:tr>
        <w:trPr>
          <w:trHeight w:val="151"/>
        </w:trPr>
        <w:tc>
          <w:tcPr>
            <w:tcW w:w="776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FLOWS FROM OPERATING ACTIVITIES</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Net income/(loss)</w:t>
            </w:r>
          </w:p>
        </w:tc>
        <w:tc>
          <w:tcPr>
            <w:tcW w:w="680" w:type="dxa"/>
            <w:vAlign w:val="bottom"/>
          </w:tcPr>
          <w:p>
            <w:pPr>
              <w:jc w:val="right"/>
              <w:ind w:right="57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648</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(2,580)</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2,180</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income/(loss) to net cash provided by operating activities: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601</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(Gains)/losses on asset sales and asset impairments, net (Note 6, Note 7)</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Goodwill impairment losses (Note 8)</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Equity-indexed compensation expense</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Inventory valuation adjustments (Note 5)</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income tax expense/(benefit)</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Settlement of terminated interest rate hedging instruments</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earnings in unconsolidated entities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Distributions on earnings from unconsolidated entities</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401</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on)/impairment of investments in unconsolidated entities, net (Note 9)</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Other</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Changes in assets and liabilities, net of acquisitions: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Trade accounts receivable and other</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(2,179)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(1,158)</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Inventory</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7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Trade accounts payable and other</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w:t>
            </w:r>
          </w:p>
        </w:tc>
      </w:tr>
      <w:tr>
        <w:trPr>
          <w:trHeight w:val="163"/>
        </w:trPr>
        <w:tc>
          <w:tcPr>
            <w:tcW w:w="7760" w:type="dxa"/>
            <w:vAlign w:val="bottom"/>
            <w:shd w:val="clear" w:color="auto" w:fill="CCEEFF"/>
          </w:tcPr>
          <w:p>
            <w:pPr>
              <w:ind w:left="26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w:t>
            </w:r>
          </w:p>
        </w:tc>
      </w:tr>
      <w:tr>
        <w:trPr>
          <w:trHeight w:val="168"/>
        </w:trPr>
        <w:tc>
          <w:tcPr>
            <w:tcW w:w="77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Cash paid in connection with acquisitions, net of cash acquired (Note 7)</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Investments in unconsolidated entities (Note 9)</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(524)</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Additions to property, equipment and other</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Proceeds from sales of assets (Note 7)</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Other investing activities</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58"/>
        </w:trPr>
        <w:tc>
          <w:tcPr>
            <w:tcW w:w="7760" w:type="dxa"/>
            <w:vAlign w:val="bottom"/>
          </w:tcPr>
          <w:p>
            <w:pPr>
              <w:ind w:left="260"/>
              <w:spacing w:after="0" w:line="146" w:lineRule="exact"/>
              <w:rPr>
                <w:sz w:val="20"/>
                <w:szCs w:val="20"/>
                <w:color w:val="auto"/>
              </w:rPr>
            </w:pPr>
            <w:r>
              <w:rPr>
                <w:rFonts w:ascii="Arial" w:cs="Arial" w:eastAsia="Arial" w:hAnsi="Arial"/>
                <w:sz w:val="13"/>
                <w:szCs w:val="13"/>
                <w:color w:val="auto"/>
              </w:rPr>
              <w:t>Net cash provided by/(used in) investing activities</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(1,093)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(1,765)</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Net borrowings/(repayments) under commercial paper program (Note 11)</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Net borrowings/(repayments) under senior secured hedged inventory facility (Note 11)</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Repayment of GO Zone term loans (Note 11)</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issuance of senior notes (Note 11)</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Repayments of senior notes (Note 11)</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Repurchase of common units (Note 12)</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Distributions paid to Series A preferred unitholders (Note 12)</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Distributions paid to Series B preferred unitholders (Note 12)</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Distributions paid to common unitholders (Note 12)</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(1,004)</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Sale of noncontrolling interest in a subsidiary (Note 12)</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8"/>
        </w:trPr>
        <w:tc>
          <w:tcPr>
            <w:tcW w:w="7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financing activities</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r>
      <w:tr>
        <w:trPr>
          <w:trHeight w:val="163"/>
        </w:trPr>
        <w:tc>
          <w:tcPr>
            <w:tcW w:w="7760" w:type="dxa"/>
            <w:vAlign w:val="bottom"/>
            <w:shd w:val="clear" w:color="auto" w:fill="CCEEFF"/>
          </w:tcPr>
          <w:p>
            <w:pPr>
              <w:ind w:left="260"/>
              <w:spacing w:after="0" w:line="148" w:lineRule="exact"/>
              <w:rPr>
                <w:sz w:val="20"/>
                <w:szCs w:val="20"/>
                <w:color w:val="auto"/>
              </w:rPr>
            </w:pPr>
            <w:r>
              <w:rPr>
                <w:rFonts w:ascii="Arial" w:cs="Arial" w:eastAsia="Arial" w:hAnsi="Arial"/>
                <w:sz w:val="13"/>
                <w:szCs w:val="13"/>
                <w:color w:val="auto"/>
              </w:rPr>
              <w:t>Net cash used in financing activities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r>
      <w:tr>
        <w:trPr>
          <w:trHeight w:val="168"/>
        </w:trPr>
        <w:tc>
          <w:tcPr>
            <w:tcW w:w="7760" w:type="dxa"/>
            <w:vAlign w:val="bottom"/>
          </w:tcPr>
          <w:p>
            <w:pPr>
              <w:spacing w:after="0"/>
              <w:rPr>
                <w:sz w:val="20"/>
                <w:szCs w:val="20"/>
                <w:color w:val="auto"/>
              </w:rPr>
            </w:pPr>
            <w:r>
              <w:rPr>
                <w:rFonts w:ascii="Arial" w:cs="Arial" w:eastAsia="Arial" w:hAnsi="Arial"/>
                <w:sz w:val="13"/>
                <w:szCs w:val="13"/>
                <w:color w:val="auto"/>
              </w:rPr>
              <w:t>Effect of translation adjustment</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Net increase/(decrease) in cash and cash equivalents and restricted cash</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8"/>
        </w:trPr>
        <w:tc>
          <w:tcPr>
            <w:tcW w:w="7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and restricted cash, beginning of period</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r>
      <w:tr>
        <w:trPr>
          <w:trHeight w:val="180"/>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and restricted cash, end of period</w:t>
            </w:r>
          </w:p>
        </w:tc>
        <w:tc>
          <w:tcPr>
            <w:tcW w:w="680" w:type="dxa"/>
            <w:vAlign w:val="bottom"/>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3"/>
        </w:trPr>
        <w:tc>
          <w:tcPr>
            <w:tcW w:w="7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70"/>
        </w:trPr>
        <w:tc>
          <w:tcPr>
            <w:tcW w:w="7760" w:type="dxa"/>
            <w:vAlign w:val="bottom"/>
            <w:shd w:val="clear" w:color="auto" w:fill="CCEEFF"/>
          </w:tcPr>
          <w:p>
            <w:pPr>
              <w:spacing w:after="0"/>
              <w:rPr>
                <w:sz w:val="20"/>
                <w:szCs w:val="20"/>
                <w:color w:val="auto"/>
              </w:rPr>
            </w:pPr>
            <w:r>
              <w:rPr>
                <w:rFonts w:ascii="Arial" w:cs="Arial" w:eastAsia="Arial" w:hAnsi="Arial"/>
                <w:sz w:val="13"/>
                <w:szCs w:val="13"/>
                <w:color w:val="auto"/>
              </w:rPr>
              <w:t>Cash paid for:</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7760" w:type="dxa"/>
            <w:vAlign w:val="bottom"/>
          </w:tcPr>
          <w:p>
            <w:pPr>
              <w:ind w:left="100"/>
              <w:spacing w:after="0"/>
              <w:rPr>
                <w:sz w:val="20"/>
                <w:szCs w:val="20"/>
                <w:color w:val="auto"/>
              </w:rPr>
            </w:pPr>
            <w:r>
              <w:rPr>
                <w:rFonts w:ascii="Arial" w:cs="Arial" w:eastAsia="Arial" w:hAnsi="Arial"/>
                <w:sz w:val="13"/>
                <w:szCs w:val="13"/>
                <w:color w:val="auto"/>
              </w:rPr>
              <w:t>Interest, net of amounts capitalized</w:t>
            </w:r>
          </w:p>
        </w:tc>
        <w:tc>
          <w:tcPr>
            <w:tcW w:w="680" w:type="dxa"/>
            <w:vAlign w:val="bottom"/>
          </w:tcPr>
          <w:p>
            <w:pPr>
              <w:jc w:val="right"/>
              <w:ind w:right="57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401</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428</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397</w:t>
            </w:r>
          </w:p>
        </w:tc>
      </w:tr>
      <w:tr>
        <w:trPr>
          <w:trHeight w:val="172"/>
        </w:trPr>
        <w:tc>
          <w:tcPr>
            <w:tcW w:w="7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taxes, net of amounts refunded</w:t>
            </w:r>
          </w:p>
        </w:tc>
        <w:tc>
          <w:tcPr>
            <w:tcW w:w="680" w:type="dxa"/>
            <w:vAlign w:val="bottom"/>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1" w:name="page122"/>
    <w:bookmarkEnd w:id="1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6"/>
              </w:rPr>
              <w:t>Limited Partners</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Partners’ Capital</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center"/>
              <w:ind w:right="131"/>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9"/>
        </w:trPr>
        <w:tc>
          <w:tcPr>
            <w:tcW w:w="3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20" w:type="dxa"/>
            <w:vAlign w:val="bottom"/>
            <w:gridSpan w:val="4"/>
            <w:vMerge w:val="restart"/>
          </w:tcPr>
          <w:p>
            <w:pPr>
              <w:jc w:val="right"/>
              <w:ind w:right="570"/>
              <w:spacing w:after="0"/>
              <w:rPr>
                <w:sz w:val="20"/>
                <w:szCs w:val="20"/>
                <w:color w:val="auto"/>
              </w:rPr>
            </w:pPr>
            <w:r>
              <w:rPr>
                <w:rFonts w:ascii="Arial" w:cs="Arial" w:eastAsia="Arial" w:hAnsi="Arial"/>
                <w:sz w:val="11"/>
                <w:szCs w:val="11"/>
                <w:b w:val="1"/>
                <w:bCs w:val="1"/>
                <w:color w:val="auto"/>
              </w:rPr>
              <w:t>Preferred Unitholders</w:t>
            </w:r>
          </w:p>
        </w:tc>
        <w:tc>
          <w:tcPr>
            <w:tcW w:w="10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3"/>
          </w:tcPr>
          <w:p>
            <w:pPr>
              <w:jc w:val="center"/>
              <w:ind w:right="100"/>
              <w:spacing w:after="0" w:line="81" w:lineRule="exact"/>
              <w:rPr>
                <w:sz w:val="20"/>
                <w:szCs w:val="20"/>
                <w:color w:val="auto"/>
              </w:rPr>
            </w:pPr>
            <w:r>
              <w:rPr>
                <w:rFonts w:ascii="Arial" w:cs="Arial" w:eastAsia="Arial" w:hAnsi="Arial"/>
                <w:sz w:val="9"/>
                <w:szCs w:val="9"/>
                <w:b w:val="1"/>
                <w:bCs w:val="1"/>
                <w:color w:val="auto"/>
              </w:rPr>
              <w:t>Excluding Noncontrolling</w:t>
            </w:r>
          </w:p>
        </w:tc>
        <w:tc>
          <w:tcPr>
            <w:tcW w:w="200" w:type="dxa"/>
            <w:vAlign w:val="bottom"/>
          </w:tcPr>
          <w:p>
            <w:pPr>
              <w:spacing w:after="0"/>
              <w:rPr>
                <w:sz w:val="7"/>
                <w:szCs w:val="7"/>
                <w:color w:val="auto"/>
              </w:rPr>
            </w:pPr>
          </w:p>
        </w:tc>
        <w:tc>
          <w:tcPr>
            <w:tcW w:w="12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Noncontrolling</w:t>
            </w:r>
          </w:p>
        </w:tc>
        <w:tc>
          <w:tcPr>
            <w:tcW w:w="220" w:type="dxa"/>
            <w:vAlign w:val="bottom"/>
          </w:tcPr>
          <w:p>
            <w:pPr>
              <w:spacing w:after="0"/>
              <w:rPr>
                <w:sz w:val="7"/>
                <w:szCs w:val="7"/>
                <w:color w:val="auto"/>
              </w:rPr>
            </w:pPr>
          </w:p>
        </w:tc>
        <w:tc>
          <w:tcPr>
            <w:tcW w:w="920" w:type="dxa"/>
            <w:vAlign w:val="bottom"/>
          </w:tcPr>
          <w:p>
            <w:pPr>
              <w:jc w:val="center"/>
              <w:ind w:right="151"/>
              <w:spacing w:after="0" w:line="81" w:lineRule="exact"/>
              <w:rPr>
                <w:sz w:val="20"/>
                <w:szCs w:val="20"/>
                <w:color w:val="auto"/>
              </w:rPr>
            </w:pPr>
            <w:r>
              <w:rPr>
                <w:rFonts w:ascii="Arial" w:cs="Arial" w:eastAsia="Arial" w:hAnsi="Arial"/>
                <w:sz w:val="9"/>
                <w:szCs w:val="9"/>
                <w:b w:val="1"/>
                <w:bCs w:val="1"/>
                <w:color w:val="auto"/>
              </w:rPr>
              <w:t>Partners’</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Series A</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Series B</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Common Unitholders</w:t>
            </w:r>
          </w:p>
        </w:tc>
        <w:tc>
          <w:tcPr>
            <w:tcW w:w="16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Interests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Interests</w:t>
            </w:r>
          </w:p>
        </w:tc>
        <w:tc>
          <w:tcPr>
            <w:tcW w:w="220" w:type="dxa"/>
            <w:vAlign w:val="bottom"/>
          </w:tcPr>
          <w:p>
            <w:pPr>
              <w:spacing w:after="0"/>
              <w:rPr>
                <w:sz w:val="13"/>
                <w:szCs w:val="13"/>
                <w:color w:val="auto"/>
              </w:rPr>
            </w:pPr>
          </w:p>
        </w:tc>
        <w:tc>
          <w:tcPr>
            <w:tcW w:w="920" w:type="dxa"/>
            <w:vAlign w:val="bottom"/>
          </w:tcPr>
          <w:p>
            <w:pPr>
              <w:jc w:val="center"/>
              <w:ind w:right="131"/>
              <w:spacing w:after="0"/>
              <w:rPr>
                <w:sz w:val="20"/>
                <w:szCs w:val="20"/>
                <w:color w:val="auto"/>
              </w:rPr>
            </w:pPr>
            <w:r>
              <w:rPr>
                <w:rFonts w:ascii="Arial" w:cs="Arial" w:eastAsia="Arial" w:hAnsi="Arial"/>
                <w:sz w:val="11"/>
                <w:szCs w:val="11"/>
                <w:b w:val="1"/>
                <w:bCs w:val="1"/>
                <w:color w:val="auto"/>
                <w:w w:val="98"/>
              </w:rPr>
              <w:t>Capital</w:t>
            </w:r>
          </w:p>
        </w:tc>
        <w:tc>
          <w:tcPr>
            <w:tcW w:w="0" w:type="dxa"/>
            <w:vAlign w:val="bottom"/>
          </w:tcPr>
          <w:p>
            <w:pPr>
              <w:spacing w:after="0"/>
              <w:rPr>
                <w:sz w:val="1"/>
                <w:szCs w:val="1"/>
                <w:color w:val="auto"/>
              </w:rPr>
            </w:pPr>
          </w:p>
        </w:tc>
      </w:tr>
      <w:tr>
        <w:trPr>
          <w:trHeight w:val="19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Distributions (Note 12)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Equity-indexed compensation expense</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noncontrolling interest in a subsidiary (Note 12)</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income/(loss)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Distributions (Note 12)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Equity-indexed compensation expense</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units (Note 12)</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Contributions from noncontrolling interests (Note 12)</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9,738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Distributions (Note 12)</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Equity-indexed compensation expense</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3620" w:type="dxa"/>
            <w:vAlign w:val="bottom"/>
          </w:tcPr>
          <w:p>
            <w:pPr>
              <w:ind w:left="120"/>
              <w:spacing w:after="0"/>
              <w:rPr>
                <w:sz w:val="20"/>
                <w:szCs w:val="20"/>
                <w:color w:val="auto"/>
              </w:rPr>
            </w:pPr>
            <w:r>
              <w:rPr>
                <w:rFonts w:ascii="Arial" w:cs="Arial" w:eastAsia="Arial" w:hAnsi="Arial"/>
                <w:sz w:val="14"/>
                <w:szCs w:val="14"/>
                <w:color w:val="auto"/>
              </w:rPr>
              <w:t>Repurchase of common units (Note 12)</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Contributions from noncontrolling interests (Note 12)</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3620" w:type="dxa"/>
            <w:vAlign w:val="bottom"/>
          </w:tcPr>
          <w:p>
            <w:pPr>
              <w:ind w:left="100"/>
              <w:spacing w:after="0" w:line="138" w:lineRule="exact"/>
              <w:rPr>
                <w:sz w:val="20"/>
                <w:szCs w:val="20"/>
                <w:color w:val="auto"/>
              </w:rPr>
            </w:pPr>
            <w:r>
              <w:rPr>
                <w:rFonts w:ascii="Arial" w:cs="Arial" w:eastAsia="Arial" w:hAnsi="Arial"/>
                <w:sz w:val="14"/>
                <w:szCs w:val="14"/>
                <w:color w:val="auto"/>
              </w:rPr>
              <w:t>Plains Oryx Permian Basin LLC joint venture formation</w:t>
            </w:r>
          </w:p>
        </w:tc>
        <w:tc>
          <w:tcPr>
            <w:tcW w:w="22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2,651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color w:val="auto"/>
              </w:rPr>
              <w:t>(Note 7)</w:t>
            </w: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7,680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9,972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2" w:name="page123"/>
    <w:bookmarkEnd w:id="12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1—Organization and Basis of Consolidation and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w:t>
      </w:r>
    </w:p>
    <w:p>
      <w:pPr>
        <w:spacing w:after="0" w:line="200" w:lineRule="exact"/>
        <w:rPr>
          <w:sz w:val="20"/>
          <w:szCs w:val="20"/>
          <w:color w:val="auto"/>
        </w:rPr>
      </w:pPr>
    </w:p>
    <w:p>
      <w:pPr>
        <w:ind w:right="700" w:firstLine="509"/>
        <w:spacing w:after="0" w:line="321" w:lineRule="auto"/>
        <w:rPr>
          <w:sz w:val="20"/>
          <w:szCs w:val="20"/>
          <w:color w:val="auto"/>
        </w:rPr>
      </w:pPr>
      <w:r>
        <w:rPr>
          <w:rFonts w:ascii="Arial" w:cs="Arial" w:eastAsia="Arial" w:hAnsi="Arial"/>
          <w:sz w:val="13"/>
          <w:szCs w:val="13"/>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31"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20 for further discussion of our operating segments.</w:t>
      </w:r>
    </w:p>
    <w:p>
      <w:pPr>
        <w:spacing w:after="0" w:line="168"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Our non-economic general partner interest is held by PAA GP LLC (“PAA GP”), a Delaware limited liability company, whose sole member is Plains AAP, L.P. (“AAP”), a Delaware limited partnership. In addition to its ownership of PAA GP, as of December 31, 2021, AAP also owned a limited partner interest in us through its ownership of approximately 241.5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2021, owned an approximate 81% limited partner interest in AAP. PAA GP Holdings LLC (“PAGP GP”) is the general partner of PAGP.</w:t>
      </w:r>
    </w:p>
    <w:p>
      <w:pPr>
        <w:spacing w:after="0" w:line="168"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References to the “PAGP Entities” include PAGP GP, PAGP, GP LLC, AAP and PAA GP. References to our “general partner,” as the context requires, include any or all of the PAGP Entities.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3" w:name="page124"/>
    <w:bookmarkEnd w:id="1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defined terms are used in the following notes and shall have the meanings indicated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AOCI</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Accumulated other comprehensive income/(loss)</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ASC</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Accounting Standards Codification</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ASU</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Accounting Standards Update</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Bcf</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Billion cubic feet</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Btu</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British thermal unit</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CAD</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Canadian dollar</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CODM</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Chief Operating Decision Maker</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DERs</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Distribution equivalent rights</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EBITDA</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w w:val="90"/>
              </w:rPr>
              <w:t>Earnings before interest, taxes, depreciation and amortization</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EPA</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United States Environmental Protection Agency</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FASB</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Financial Accounting Standards Board</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GAAP</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w w:val="90"/>
              </w:rPr>
              <w:t>Generally accepted accounting principles in the United States</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ICE</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Intercontinental Exchange</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ISDA</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International Swaps and Derivatives Association</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LIBOR</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London Interbank Offered Rate</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LTIP</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Long-term incentive plan</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Mcf</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Thousand cubic feet</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MMbls</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Million barrels</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MLP</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Master limited partnership</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NGL</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w w:val="96"/>
              </w:rPr>
              <w:t>Natural gas liquids, including ethane, propane and butane</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NYMEX</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New York Mercantile Exchange</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SEC</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United States Securities and Exchange Commission</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TWh</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Terawatt hour</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U.S.</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United States</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USD</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United States dollar</w:t>
            </w:r>
          </w:p>
        </w:tc>
      </w:tr>
      <w:tr>
        <w:trPr>
          <w:trHeight w:val="180"/>
        </w:trPr>
        <w:tc>
          <w:tcPr>
            <w:tcW w:w="1320" w:type="dxa"/>
            <w:vAlign w:val="bottom"/>
          </w:tcPr>
          <w:p>
            <w:pPr>
              <w:spacing w:after="0"/>
              <w:rPr>
                <w:sz w:val="20"/>
                <w:szCs w:val="20"/>
                <w:color w:val="auto"/>
              </w:rPr>
            </w:pPr>
            <w:r>
              <w:rPr>
                <w:rFonts w:ascii="Arial" w:cs="Arial" w:eastAsia="Arial" w:hAnsi="Arial"/>
                <w:sz w:val="14"/>
                <w:szCs w:val="14"/>
                <w:color w:val="auto"/>
              </w:rPr>
              <w:t>WTI</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40" w:type="dxa"/>
            <w:vAlign w:val="bottom"/>
          </w:tcPr>
          <w:p>
            <w:pPr>
              <w:ind w:left="160"/>
              <w:spacing w:after="0"/>
              <w:rPr>
                <w:sz w:val="20"/>
                <w:szCs w:val="20"/>
                <w:color w:val="auto"/>
              </w:rPr>
            </w:pPr>
            <w:r>
              <w:rPr>
                <w:rFonts w:ascii="Arial" w:cs="Arial" w:eastAsia="Arial" w:hAnsi="Arial"/>
                <w:sz w:val="14"/>
                <w:szCs w:val="14"/>
                <w:color w:val="auto"/>
              </w:rPr>
              <w:t>West Texas Intermediate</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Consolidation and Presentation</w:t>
      </w:r>
    </w:p>
    <w:p>
      <w:pPr>
        <w:spacing w:after="0" w:line="20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accompanying financial statements and related notes present and discuss our consolidated financial position as of December 31, 2021 and 2020, and the consolidated results of our operations, cash flows, changes in partners’ capital, comprehensive income and changes in accumulated other comprehensive income/(loss) for the years ended December 31, 2021, 2020 and 2019. All significant intercompany transactions have been eliminated in consolidation, and certain reclassifications have been made to information from previous years to conform to the current presentation, as discussed further below.</w:t>
      </w:r>
    </w:p>
    <w:p>
      <w:pPr>
        <w:spacing w:after="0" w:line="167"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124" w:name="page125"/>
    <w:bookmarkEnd w:id="1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Reclassification of Prior Period Information</w:t>
      </w:r>
    </w:p>
    <w:p>
      <w:pPr>
        <w:spacing w:after="0" w:line="204"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During the fourth quarter of 2021, we effected changes in the primary financial information provided to our Chief Operating Decision Maker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20 for further discussion of our operating segments. In connection with this change, we changed the presentation of Revenues on our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155"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In October 2021, we and Oryx Midstream Holdings LLC (“Oryx Midstream”) completed the merger, in a cashless, debt-free transaction, of our respective Permian Basin assets, operations and commercial activities into a newly formed joint venture, Plains Oryx Permian Basin LLC (the “Permian JV”). See Note 7 for more details regarding this transaction. Due to the increase in intangible assets associated with this transaction, we present “Intangible assets, net” as a separate line item on our Consolidated Balance Sheets. Such amounts were previously reported in “Other long-term assets, net” on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w:t>
      </w:r>
    </w:p>
    <w:p>
      <w:pPr>
        <w:spacing w:after="0" w:line="200"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Many uncertainties remain with respect to the novel coronavirus (“COVID-19”) pandemic,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Subsequent Events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Subsequent events have been evaluated through the financial statements issuance date and have been included in the following footnotes where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47"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Purchases and Related Costs</w:t>
      </w:r>
    </w:p>
    <w:p>
      <w:pPr>
        <w:spacing w:after="0" w:line="200" w:lineRule="exact"/>
        <w:rPr>
          <w:sz w:val="20"/>
          <w:szCs w:val="20"/>
          <w:color w:val="auto"/>
        </w:rPr>
      </w:pPr>
    </w:p>
    <w:p>
      <w:pPr>
        <w:jc w:val="both"/>
        <w:ind w:right="120" w:firstLine="509"/>
        <w:spacing w:after="0" w:line="267" w:lineRule="auto"/>
        <w:rPr>
          <w:sz w:val="20"/>
          <w:szCs w:val="20"/>
          <w:color w:val="auto"/>
        </w:rPr>
      </w:pPr>
      <w:r>
        <w:rPr>
          <w:rFonts w:ascii="Arial" w:cs="Arial" w:eastAsia="Arial" w:hAnsi="Arial"/>
          <w:sz w:val="14"/>
          <w:szCs w:val="14"/>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25" w:name="page126"/>
    <w:bookmarkEnd w:id="1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Field Operating Costs and General and Administrative Expenses</w:t>
      </w:r>
    </w:p>
    <w:p>
      <w:pPr>
        <w:spacing w:after="0" w:line="200"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Transactions/Translation</w:t>
      </w:r>
    </w:p>
    <w:p>
      <w:pPr>
        <w:spacing w:after="0" w:line="200"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63"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2021, 2020 and 2019, the revaluation of foreign currency transactions and monetary assets and liabilities resulted in the recognitions of net gains of $7 million, $16 million and $1 million, respectively, in our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 and Restricted Cash</w:t>
      </w:r>
    </w:p>
    <w:p>
      <w:pPr>
        <w:spacing w:after="0" w:line="200"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53" w:lineRule="exact"/>
        <w:rPr>
          <w:sz w:val="20"/>
          <w:szCs w:val="20"/>
          <w:color w:val="auto"/>
        </w:rPr>
      </w:pPr>
    </w:p>
    <w:p>
      <w:pPr>
        <w:ind w:right="240" w:firstLine="509"/>
        <w:spacing w:after="0" w:line="321" w:lineRule="auto"/>
        <w:rPr>
          <w:sz w:val="20"/>
          <w:szCs w:val="20"/>
          <w:color w:val="auto"/>
        </w:rPr>
      </w:pPr>
      <w:r>
        <w:rPr>
          <w:rFonts w:ascii="Arial" w:cs="Arial" w:eastAsia="Arial" w:hAnsi="Arial"/>
          <w:sz w:val="13"/>
          <w:szCs w:val="13"/>
          <w:color w:val="auto"/>
        </w:rPr>
        <w:t>In accordance with our policy, unless they may be covered by funds on deposit, outstanding checks are classified as trade accounts payable rather than negative cash. As of December 31, 2021 and 2020, trade accounts payable included $19 million and $27 million, respectively, of outstanding checks that were reclassified from cash and cash equivalents.</w:t>
      </w:r>
    </w:p>
    <w:p>
      <w:pPr>
        <w:spacing w:after="0" w:line="131"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Consolidated Balance Sheets that sum to the total of the amounts shown on our Consolidated Statements of Cash Flows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cash and cash equivalents and restricted cash</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w:t>
      </w:r>
    </w:p>
    <w:p>
      <w:pPr>
        <w:spacing w:after="0" w:line="147" w:lineRule="exact"/>
        <w:rPr>
          <w:sz w:val="20"/>
          <w:szCs w:val="20"/>
          <w:color w:val="auto"/>
        </w:rPr>
      </w:pPr>
    </w:p>
    <w:p>
      <w:pPr>
        <w:ind w:right="120" w:firstLine="509"/>
        <w:spacing w:after="0" w:line="321" w:lineRule="auto"/>
        <w:rPr>
          <w:sz w:val="20"/>
          <w:szCs w:val="20"/>
          <w:color w:val="auto"/>
        </w:rPr>
      </w:pPr>
      <w:r>
        <w:rPr>
          <w:rFonts w:ascii="Arial" w:cs="Arial" w:eastAsia="Arial" w:hAnsi="Arial"/>
          <w:sz w:val="13"/>
          <w:szCs w:val="13"/>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6" w:name="page127"/>
    <w:bookmarkEnd w:id="1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FASB guidance establishes accounting requirements for retirement obligations associated with tangible long-lived assets, including estimates related to (i) the time of the liability recognition,</w:t>
      </w:r>
    </w:p>
    <w:p>
      <w:pPr>
        <w:spacing w:after="0" w:line="42" w:lineRule="exact"/>
        <w:rPr>
          <w:sz w:val="20"/>
          <w:szCs w:val="20"/>
          <w:color w:val="auto"/>
        </w:rPr>
      </w:pPr>
    </w:p>
    <w:p>
      <w:pPr>
        <w:ind w:right="260" w:firstLine="5"/>
        <w:spacing w:after="0" w:line="350" w:lineRule="auto"/>
        <w:tabs>
          <w:tab w:leader="none" w:pos="208"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18"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172" w:lineRule="exact"/>
        <w:rPr>
          <w:sz w:val="20"/>
          <w:szCs w:val="20"/>
          <w:color w:val="auto"/>
        </w:rPr>
      </w:pPr>
    </w:p>
    <w:p>
      <w:pPr>
        <w:ind w:right="20" w:firstLine="509"/>
        <w:spacing w:after="0" w:line="297" w:lineRule="auto"/>
        <w:rPr>
          <w:sz w:val="20"/>
          <w:szCs w:val="20"/>
          <w:color w:val="auto"/>
        </w:rPr>
      </w:pPr>
      <w:r>
        <w:rPr>
          <w:rFonts w:ascii="Arial" w:cs="Arial" w:eastAsia="Arial" w:hAnsi="Arial"/>
          <w:sz w:val="13"/>
          <w:szCs w:val="13"/>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2021, 2020 and 2019 (in millions):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4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2019</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0"/>
        </w:trPr>
        <w:tc>
          <w:tcPr>
            <w:tcW w:w="7440" w:type="dxa"/>
            <w:vAlign w:val="bottom"/>
          </w:tcPr>
          <w:p>
            <w:pPr>
              <w:ind w:left="100"/>
              <w:spacing w:after="0"/>
              <w:rPr>
                <w:sz w:val="20"/>
                <w:szCs w:val="20"/>
                <w:color w:val="auto"/>
              </w:rPr>
            </w:pPr>
            <w:r>
              <w:rPr>
                <w:rFonts w:ascii="Arial" w:cs="Arial" w:eastAsia="Arial" w:hAnsi="Arial"/>
                <w:sz w:val="14"/>
                <w:szCs w:val="14"/>
                <w:color w:val="auto"/>
              </w:rPr>
              <w:t>Liabilities incurred</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1"/>
        </w:trPr>
        <w:tc>
          <w:tcPr>
            <w:tcW w:w="7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Liabilities settled</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7440" w:type="dxa"/>
            <w:vAlign w:val="bottom"/>
          </w:tcPr>
          <w:p>
            <w:pPr>
              <w:ind w:left="100"/>
              <w:spacing w:after="0"/>
              <w:rPr>
                <w:sz w:val="20"/>
                <w:szCs w:val="20"/>
                <w:color w:val="auto"/>
              </w:rPr>
            </w:pPr>
            <w:r>
              <w:rPr>
                <w:rFonts w:ascii="Arial" w:cs="Arial" w:eastAsia="Arial" w:hAnsi="Arial"/>
                <w:sz w:val="14"/>
                <w:szCs w:val="14"/>
                <w:color w:val="auto"/>
              </w:rPr>
              <w:t>Accretion expense</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7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Revisions in estimated cash flows</w:t>
            </w:r>
          </w:p>
        </w:tc>
        <w:tc>
          <w:tcPr>
            <w:tcW w:w="8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1"/>
        </w:trPr>
        <w:tc>
          <w:tcPr>
            <w:tcW w:w="7440" w:type="dxa"/>
            <w:vAlign w:val="bottom"/>
          </w:tcPr>
          <w:p>
            <w:pPr>
              <w:spacing w:after="0"/>
              <w:rPr>
                <w:sz w:val="20"/>
                <w:szCs w:val="20"/>
                <w:color w:val="auto"/>
              </w:rPr>
            </w:pPr>
            <w:r>
              <w:rPr>
                <w:rFonts w:ascii="Arial" w:cs="Arial" w:eastAsia="Arial" w:hAnsi="Arial"/>
                <w:sz w:val="14"/>
                <w:szCs w:val="14"/>
                <w:color w:val="auto"/>
              </w:rPr>
              <w:t>Ending balance</w:t>
            </w: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4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Significant Accounting Policies</w:t>
      </w:r>
    </w:p>
    <w:p>
      <w:pPr>
        <w:spacing w:after="0" w:line="200"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See the respective footnotes for our accounting policies regarding (i) revenues and accounts receivable, (ii) net income/(loss) per common unit, (iii) inventory, linefill and base gas and long-term inventory, (iv) property and equipment, (v) acquisitions, (vi) goodwill, (vii) investments in unconsolidated entities, (viii) intangible assets, (ix) income allocation for partners’ capital presentation purposes, (x) derivatives and risk management activities, (xi) leases, (xii) income taxes, (xiii) equity-indexed compensation and (xiv) legal and environmental matters.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27" w:name="page128"/>
    <w:bookmarkEnd w:id="1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25"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 xml:space="preserve">In October 2021, the FASB issued ASU 2021-08, </w:t>
      </w:r>
      <w:r>
        <w:rPr>
          <w:rFonts w:ascii="Arial" w:cs="Arial" w:eastAsia="Arial" w:hAnsi="Arial"/>
          <w:sz w:val="13"/>
          <w:szCs w:val="13"/>
          <w:i w:val="1"/>
          <w:iCs w:val="1"/>
          <w:color w:val="auto"/>
        </w:rPr>
        <w:t>Business Combinations (Topic 805): Accounting for Contract Assets and Contract Liabilities from Contracts with Customers</w:t>
      </w:r>
      <w:r>
        <w:rPr>
          <w:rFonts w:ascii="Arial" w:cs="Arial" w:eastAsia="Arial" w:hAnsi="Arial"/>
          <w:sz w:val="13"/>
          <w:szCs w:val="13"/>
          <w:color w:val="auto"/>
        </w:rPr>
        <w:t>. This guidance requires that an acquirer recognize and measure contract assets and contract liabilities acquired in a business combination in accordance with Topic 606, Revenue from Contracts with Customers, as if it had originated the contracts. The guidance is effective prospectively for interim and annual periods beginning after December 15, 2022, with early adoption permitted. We have not adopted this guidance as of December 31, 2021, but do not anticipate that our adoption will have a material impact on our financial position, results of operations or cash flows.</w:t>
      </w:r>
    </w:p>
    <w:p>
      <w:pPr>
        <w:spacing w:after="0" w:line="152"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 xml:space="preserve">In July 2021, the FASB issued ASU 2021-05, </w:t>
      </w:r>
      <w:r>
        <w:rPr>
          <w:rFonts w:ascii="Arial" w:cs="Arial" w:eastAsia="Arial" w:hAnsi="Arial"/>
          <w:sz w:val="13"/>
          <w:szCs w:val="13"/>
          <w:i w:val="1"/>
          <w:iCs w:val="1"/>
          <w:color w:val="auto"/>
        </w:rPr>
        <w:t>Lessors - Certain Leases with Variable Lease Payments (Topic 842) w</w:t>
      </w:r>
      <w:r>
        <w:rPr>
          <w:rFonts w:ascii="Arial" w:cs="Arial" w:eastAsia="Arial" w:hAnsi="Arial"/>
          <w:sz w:val="13"/>
          <w:szCs w:val="13"/>
          <w:color w:val="auto"/>
        </w:rPr>
        <w:t>hich modifies the lease classification requirements for lessors in Topic 842, which we adopted on the effective date of January 1, 2019. The amendments require lessors to classify and account for a lease with variable lease payments that do not depend on a reference index or a rate as an operating lease at lease commencement if another classification (i.e., sales-type or direct financing) would result in the recognition of a day-one loss. For entities that have adopted Topic 842, the guidance is effective for fiscal years, and for interim periods within those fiscal years, beginning after December 15, 2021, with early adoption permitted. We have elected to early adopt the guidance on a prospective basis as of July 1, 2021. Our adoption did not have a material impact on our financial position, results of operations or cash flows.</w:t>
      </w:r>
    </w:p>
    <w:p>
      <w:pPr>
        <w:spacing w:after="0" w:line="155"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 Equity</w:t>
      </w:r>
      <w:r>
        <w:rPr>
          <w:rFonts w:ascii="Arial" w:cs="Arial" w:eastAsia="Arial" w:hAnsi="Arial"/>
          <w:sz w:val="14"/>
          <w:szCs w:val="14"/>
          <w:color w:val="auto"/>
        </w:rPr>
        <w:t xml:space="preserve"> </w:t>
      </w:r>
      <w:r>
        <w:rPr>
          <w:rFonts w:ascii="Arial" w:cs="Arial" w:eastAsia="Arial" w:hAnsi="Arial"/>
          <w:sz w:val="14"/>
          <w:szCs w:val="14"/>
          <w:i w:val="1"/>
          <w:iCs w:val="1"/>
          <w:color w:val="auto"/>
        </w:rPr>
        <w:t>(Subtopic 815-40): Accounting for Convertible Instruments and Contracts in an Entity’s Own Equity</w:t>
      </w:r>
      <w:r>
        <w:rPr>
          <w:rFonts w:ascii="Arial" w:cs="Arial" w:eastAsia="Arial" w:hAnsi="Arial"/>
          <w:sz w:val="14"/>
          <w:szCs w:val="14"/>
          <w:color w:val="auto"/>
        </w:rPr>
        <w:t>, which simplifies accounting for certain financial instruments with characteristics of liabilities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2021, and our adoption did not have a material impact on our financial position, results of operations or cash flows.</w:t>
      </w:r>
    </w:p>
    <w:p>
      <w:pPr>
        <w:spacing w:after="0" w:line="17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 xml:space="preserve">In March 2020, the FASB issued ASU 2020-04, </w:t>
      </w:r>
      <w:r>
        <w:rPr>
          <w:rFonts w:ascii="Arial" w:cs="Arial" w:eastAsia="Arial" w:hAnsi="Arial"/>
          <w:sz w:val="14"/>
          <w:szCs w:val="14"/>
          <w:i w:val="1"/>
          <w:iCs w:val="1"/>
          <w:color w:val="auto"/>
        </w:rPr>
        <w:t>Reference Rate Reform (Topic 848): Facilitation of the Effects of Reference Rate Reform on Financial Reporting</w:t>
      </w:r>
      <w:r>
        <w:rPr>
          <w:rFonts w:ascii="Arial" w:cs="Arial" w:eastAsia="Arial" w:hAnsi="Arial"/>
          <w:sz w:val="14"/>
          <w:szCs w:val="14"/>
          <w:color w:val="auto"/>
        </w:rPr>
        <w:t>, which provides optional expedients and exceptions for applying GAAP to contracts, hedging relationships and other transactions that reference LIBOR or another reference rate expected to be discontinued because of reference rate reform. This guidance is effective prospectively upon issuance through December 31, 2022 and may be applied from the beginning of an interim period that includes the issuance date of this ASU. We will apply applicable expedients and exceptions to contract modifications through December 31, 2022.</w:t>
      </w:r>
    </w:p>
    <w:p>
      <w:pPr>
        <w:spacing w:after="0" w:line="167" w:lineRule="exact"/>
        <w:rPr>
          <w:sz w:val="20"/>
          <w:szCs w:val="20"/>
          <w:color w:val="auto"/>
        </w:rPr>
      </w:pPr>
    </w:p>
    <w:p>
      <w:pPr>
        <w:ind w:right="60" w:firstLine="509"/>
        <w:spacing w:after="0" w:line="279"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adopted this guidance effective January 1, 2021, and our adoption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28" w:name="page129"/>
    <w:bookmarkEnd w:id="1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3—Revenues and Accounts Receivable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disaggregate our revenues by segment and type of activity. These categories depict how the nature, amount, timing and uncertainty of revenues and cash flows are affected by economic</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factors.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Revenues from Contracts with Customers. </w:t>
      </w:r>
      <w:r>
        <w:rPr>
          <w:rFonts w:ascii="Arial" w:cs="Arial" w:eastAsia="Arial" w:hAnsi="Arial"/>
          <w:sz w:val="13"/>
          <w:szCs w:val="13"/>
          <w:color w:val="auto"/>
        </w:rPr>
        <w:t>The following tables present our revenues from contracts with customers disaggregated by segment and type of activity (in millions):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93"/>
              </w:rPr>
              <w:t>Year Ended December 31,</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Crude Oil segment revenues from contracts with customers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820" w:type="dxa"/>
            <w:vAlign w:val="bottom"/>
          </w:tcPr>
          <w:p>
            <w:pPr>
              <w:ind w:left="120"/>
              <w:spacing w:after="0"/>
              <w:rPr>
                <w:sz w:val="20"/>
                <w:szCs w:val="20"/>
                <w:color w:val="auto"/>
              </w:rPr>
            </w:pPr>
            <w:r>
              <w:rPr>
                <w:rFonts w:ascii="Arial" w:cs="Arial" w:eastAsia="Arial" w:hAnsi="Arial"/>
                <w:sz w:val="14"/>
                <w:szCs w:val="14"/>
                <w:color w:val="auto"/>
              </w:rPr>
              <w:t>Sales</w:t>
            </w:r>
          </w:p>
        </w:tc>
        <w:tc>
          <w:tcPr>
            <w:tcW w:w="900" w:type="dxa"/>
            <w:vAlign w:val="bottom"/>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21,250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30,156</w:t>
            </w:r>
          </w:p>
        </w:tc>
      </w:tr>
      <w:tr>
        <w:trPr>
          <w:trHeight w:val="181"/>
        </w:trPr>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Transportation</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r>
      <w:tr>
        <w:trPr>
          <w:trHeight w:val="18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Terminalling, Storage and Other</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Crude Oil segment revenues from contracts with customers</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8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93"/>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NGL segment revenues from contracts with customers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820" w:type="dxa"/>
            <w:vAlign w:val="bottom"/>
          </w:tcPr>
          <w:p>
            <w:pPr>
              <w:ind w:left="120"/>
              <w:spacing w:after="0"/>
              <w:rPr>
                <w:sz w:val="20"/>
                <w:szCs w:val="20"/>
                <w:color w:val="auto"/>
              </w:rPr>
            </w:pPr>
            <w:r>
              <w:rPr>
                <w:rFonts w:ascii="Arial" w:cs="Arial" w:eastAsia="Arial" w:hAnsi="Arial"/>
                <w:sz w:val="14"/>
                <w:szCs w:val="14"/>
                <w:color w:val="auto"/>
              </w:rPr>
              <w:t>Sales</w:t>
            </w:r>
          </w:p>
        </w:tc>
        <w:tc>
          <w:tcPr>
            <w:tcW w:w="900" w:type="dxa"/>
            <w:vAlign w:val="bottom"/>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2,292</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2,211</w:t>
            </w:r>
          </w:p>
        </w:tc>
      </w:tr>
      <w:tr>
        <w:trPr>
          <w:trHeight w:val="181"/>
        </w:trPr>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Transportation</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Terminalling, Storage and Other</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NGL segment revenues from contracts with customers</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i w:val="1"/>
          <w:iCs w:val="1"/>
          <w:color w:val="auto"/>
        </w:rPr>
        <w:t xml:space="preserve">Sales Revenues. </w:t>
      </w:r>
      <w:r>
        <w:rPr>
          <w:rFonts w:ascii="Arial" w:cs="Arial" w:eastAsia="Arial" w:hAnsi="Arial"/>
          <w:sz w:val="14"/>
          <w:szCs w:val="14"/>
          <w:color w:val="auto"/>
        </w:rPr>
        <w:t>Revenues from sales of crude oil and NGL are recognized at the time title to the product sold transfers to the purchaser, which occurs upon delivery of the product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purchaser or its designee. The consideration received under these contracts is variable based on commodity prices. Inventory exchanges under buy/sell transactions are excluded from sales revenues in our Consolidated Statements of Operations.</w:t>
      </w:r>
    </w:p>
    <w:p>
      <w:pPr>
        <w:spacing w:after="0" w:line="163"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See “</w:t>
      </w:r>
      <w:r>
        <w:rPr>
          <w:rFonts w:ascii="Arial" w:cs="Arial" w:eastAsia="Arial" w:hAnsi="Arial"/>
          <w:sz w:val="13"/>
          <w:szCs w:val="13"/>
          <w:i w:val="1"/>
          <w:iCs w:val="1"/>
          <w:color w:val="auto"/>
        </w:rPr>
        <w:t>Contract Balances</w:t>
      </w:r>
      <w:r>
        <w:rPr>
          <w:rFonts w:ascii="Arial" w:cs="Arial" w:eastAsia="Arial" w:hAnsi="Arial"/>
          <w:sz w:val="13"/>
          <w:szCs w:val="13"/>
          <w:color w:val="auto"/>
        </w:rPr>
        <w:t>” below for further discussion of contract liabilities associated with these agreements. The following table presents amounts in Other current assets and deferred revenue associated with these agreements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244"/>
        </w:trPr>
        <w:tc>
          <w:tcPr>
            <w:tcW w:w="8320" w:type="dxa"/>
            <w:vAlign w:val="bottom"/>
          </w:tcPr>
          <w:p>
            <w:pPr>
              <w:ind w:left="20"/>
              <w:spacing w:after="0"/>
              <w:rPr>
                <w:sz w:val="20"/>
                <w:szCs w:val="20"/>
                <w:color w:val="auto"/>
              </w:rPr>
            </w:pPr>
            <w:r>
              <w:rPr>
                <w:rFonts w:ascii="Arial" w:cs="Arial" w:eastAsia="Arial" w:hAnsi="Arial"/>
                <w:sz w:val="14"/>
                <w:szCs w:val="14"/>
                <w:color w:val="auto"/>
              </w:rPr>
              <w:t xml:space="preserve">Deferred revenue </w:t>
            </w:r>
            <w:r>
              <w:rPr>
                <w:rFonts w:ascii="Arial" w:cs="Arial" w:eastAsia="Arial" w:hAnsi="Arial"/>
                <w:sz w:val="18"/>
                <w:szCs w:val="18"/>
                <w:color w:val="auto"/>
                <w:vertAlign w:val="superscript"/>
              </w:rPr>
              <w:t>(1)</w:t>
            </w:r>
          </w:p>
        </w:tc>
        <w:tc>
          <w:tcPr>
            <w:tcW w:w="1000" w:type="dxa"/>
            <w:vAlign w:val="bottom"/>
          </w:tcPr>
          <w:p>
            <w:pPr>
              <w:jc w:val="right"/>
              <w:ind w:right="854"/>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46570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6">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44" w:lineRule="exact"/>
        <w:rPr>
          <w:sz w:val="20"/>
          <w:szCs w:val="20"/>
          <w:color w:val="auto"/>
        </w:rPr>
      </w:pPr>
    </w:p>
    <w:p>
      <w:pPr>
        <w:ind w:left="440" w:hanging="435"/>
        <w:spacing w:after="0"/>
        <w:tabs>
          <w:tab w:leader="none" w:pos="44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liabilities” on our Consolidated Balance Sheet.</w:t>
      </w:r>
    </w:p>
    <w:p>
      <w:pPr>
        <w:spacing w:after="0" w:line="181" w:lineRule="exact"/>
        <w:rPr>
          <w:sz w:val="20"/>
          <w:szCs w:val="20"/>
          <w:color w:val="auto"/>
        </w:rPr>
      </w:pPr>
    </w:p>
    <w:p>
      <w:pPr>
        <w:ind w:right="340" w:firstLine="509"/>
        <w:spacing w:after="0" w:line="321" w:lineRule="auto"/>
        <w:rPr>
          <w:sz w:val="20"/>
          <w:szCs w:val="20"/>
          <w:color w:val="auto"/>
        </w:rPr>
      </w:pPr>
      <w:r>
        <w:rPr>
          <w:rFonts w:ascii="Arial" w:cs="Arial" w:eastAsia="Arial" w:hAnsi="Arial"/>
          <w:sz w:val="13"/>
          <w:szCs w:val="13"/>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9" w:name="page130"/>
    <w:bookmarkEnd w:id="1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i w:val="1"/>
          <w:iCs w:val="1"/>
          <w:color w:val="auto"/>
        </w:rPr>
        <w:t xml:space="preserve">Transportation Revenues. </w:t>
      </w:r>
      <w:r>
        <w:rPr>
          <w:rFonts w:ascii="Arial" w:cs="Arial" w:eastAsia="Arial" w:hAnsi="Arial"/>
          <w:sz w:val="14"/>
          <w:szCs w:val="14"/>
          <w:color w:val="auto"/>
        </w:rPr>
        <w:t>Transportation revenues include revenues from transporting crude oil and NGL on pipelines and trucks. Revenues from pipeline tariffs and fees are associated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6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4"/>
          <w:szCs w:val="14"/>
          <w:i w:val="1"/>
          <w:iCs w:val="1"/>
          <w:color w:val="auto"/>
        </w:rPr>
        <w:t xml:space="preserve">Terminalling, Storage and Other Revenues. </w:t>
      </w:r>
      <w:r>
        <w:rPr>
          <w:rFonts w:ascii="Arial" w:cs="Arial" w:eastAsia="Arial" w:hAnsi="Arial"/>
          <w:sz w:val="14"/>
          <w:szCs w:val="14"/>
          <w:color w:val="auto"/>
        </w:rPr>
        <w:t>Revenues in this category include (i) fees that are generated when we receive liquids from one connecting source and deliver the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17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i w:val="1"/>
          <w:iCs w:val="1"/>
          <w:color w:val="auto"/>
        </w:rPr>
        <w:t xml:space="preserve">Reconciliation to Total Revenues of Reportable Segments. </w:t>
      </w:r>
      <w:r>
        <w:rPr>
          <w:rFonts w:ascii="Arial" w:cs="Arial" w:eastAsia="Arial" w:hAnsi="Arial"/>
          <w:sz w:val="14"/>
          <w:szCs w:val="14"/>
          <w:color w:val="auto"/>
        </w:rPr>
        <w:t>The following disclosures only include information regarding revenues associated with consolidated entities; revenues from entities</w:t>
      </w:r>
      <w:r>
        <w:rPr>
          <w:rFonts w:ascii="Arial" w:cs="Arial" w:eastAsia="Arial" w:hAnsi="Arial"/>
          <w:sz w:val="14"/>
          <w:szCs w:val="14"/>
          <w:i w:val="1"/>
          <w:iCs w:val="1"/>
          <w:color w:val="auto"/>
        </w:rPr>
        <w:t xml:space="preserve"> </w:t>
      </w:r>
      <w:r>
        <w:rPr>
          <w:rFonts w:ascii="Arial" w:cs="Arial" w:eastAsia="Arial" w:hAnsi="Arial"/>
          <w:sz w:val="14"/>
          <w:szCs w:val="14"/>
          <w:color w:val="auto"/>
        </w:rPr>
        <w:t>accounted for by the equity method are not included. The following tables present the reconciliation of our revenues from contracts with customers (as described above for each segment) to segment revenues and total revenues as disclosed in our Consolidated Statements of Operations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2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2021</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13"/>
                <w:szCs w:val="13"/>
                <w:color w:val="auto"/>
              </w:rPr>
            </w:pPr>
          </w:p>
        </w:tc>
        <w:tc>
          <w:tcPr>
            <w:tcW w:w="1180" w:type="dxa"/>
            <w:vAlign w:val="bottom"/>
            <w:gridSpan w:val="2"/>
          </w:tcPr>
          <w:p>
            <w:pPr>
              <w:ind w:left="260"/>
              <w:spacing w:after="0"/>
              <w:rPr>
                <w:sz w:val="20"/>
                <w:szCs w:val="20"/>
                <w:color w:val="auto"/>
              </w:rPr>
            </w:pPr>
            <w:r>
              <w:rPr>
                <w:rFonts w:ascii="Arial" w:cs="Arial" w:eastAsia="Arial" w:hAnsi="Arial"/>
                <w:sz w:val="11"/>
                <w:szCs w:val="11"/>
                <w:b w:val="1"/>
                <w:bCs w:val="1"/>
                <w:color w:val="auto"/>
              </w:rPr>
              <w:t>NGL</w:t>
            </w:r>
          </w:p>
        </w:tc>
        <w:tc>
          <w:tcPr>
            <w:tcW w:w="340" w:type="dxa"/>
            <w:vAlign w:val="bottom"/>
          </w:tcPr>
          <w:p>
            <w:pPr>
              <w:spacing w:after="0"/>
              <w:rPr>
                <w:sz w:val="13"/>
                <w:szCs w:val="13"/>
                <w:color w:val="auto"/>
              </w:rPr>
            </w:pPr>
          </w:p>
        </w:tc>
        <w:tc>
          <w:tcPr>
            <w:tcW w:w="1080" w:type="dxa"/>
            <w:vAlign w:val="bottom"/>
          </w:tcPr>
          <w:p>
            <w:pPr>
              <w:jc w:val="right"/>
              <w:ind w:right="5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42,949</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in revenues</w:t>
            </w:r>
          </w:p>
        </w:tc>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revenues of reportable segments</w:t>
            </w:r>
          </w:p>
        </w:tc>
        <w:tc>
          <w:tcPr>
            <w:tcW w:w="2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42,438</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revenues elimination</w:t>
            </w:r>
          </w:p>
        </w:tc>
        <w:tc>
          <w:tcPr>
            <w:tcW w:w="2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revenues</w:t>
            </w:r>
          </w:p>
        </w:tc>
        <w:tc>
          <w:tcPr>
            <w:tcW w:w="2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2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2020</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1"/>
                <w:szCs w:val="11"/>
                <w:b w:val="1"/>
                <w:bCs w:val="1"/>
                <w:color w:val="auto"/>
              </w:rPr>
              <w:t>NGL</w:t>
            </w:r>
          </w:p>
        </w:tc>
        <w:tc>
          <w:tcPr>
            <w:tcW w:w="34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84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23,802</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in revenues</w:t>
            </w:r>
          </w:p>
        </w:tc>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 of reportable segments</w:t>
            </w:r>
          </w:p>
        </w:tc>
        <w:tc>
          <w:tcPr>
            <w:tcW w:w="2840" w:type="dxa"/>
            <w:vAlign w:val="bottom"/>
            <w:gridSpan w:val="2"/>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23,559</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revenues elimination</w:t>
            </w:r>
          </w:p>
        </w:tc>
        <w:tc>
          <w:tcPr>
            <w:tcW w:w="2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2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92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2019</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1"/>
                <w:szCs w:val="11"/>
                <w:b w:val="1"/>
                <w:bCs w:val="1"/>
                <w:color w:val="auto"/>
              </w:rPr>
              <w:t>NGL</w:t>
            </w:r>
          </w:p>
        </w:tc>
        <w:tc>
          <w:tcPr>
            <w:tcW w:w="34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84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33,706</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in revenues</w:t>
            </w:r>
          </w:p>
        </w:tc>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 of reportable segments</w:t>
            </w:r>
          </w:p>
        </w:tc>
        <w:tc>
          <w:tcPr>
            <w:tcW w:w="2920" w:type="dxa"/>
            <w:vAlign w:val="bottom"/>
            <w:gridSpan w:val="4"/>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34,094</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revenues elimination</w:t>
            </w:r>
          </w:p>
        </w:tc>
        <w:tc>
          <w:tcPr>
            <w:tcW w:w="2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2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gridSpan w:val="5"/>
            <w:vMerge w:val="restart"/>
          </w:tcPr>
          <w:p>
            <w:pPr>
              <w:jc w:val="right"/>
              <w:ind w:right="1269"/>
              <w:spacing w:after="0"/>
              <w:rPr>
                <w:sz w:val="20"/>
                <w:szCs w:val="20"/>
                <w:color w:val="auto"/>
              </w:rPr>
            </w:pPr>
            <w:r>
              <w:rPr>
                <w:rFonts w:ascii="Arial" w:cs="Arial" w:eastAsia="Arial" w:hAnsi="Arial"/>
                <w:sz w:val="14"/>
                <w:szCs w:val="14"/>
                <w:color w:val="auto"/>
              </w:rPr>
              <w:t>F-18</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920" w:type="dxa"/>
            <w:vAlign w:val="bottom"/>
          </w:tcPr>
          <w:p>
            <w:pPr>
              <w:spacing w:after="0"/>
              <w:rPr>
                <w:sz w:val="24"/>
                <w:szCs w:val="24"/>
                <w:color w:val="auto"/>
              </w:rPr>
            </w:pPr>
          </w:p>
        </w:tc>
        <w:tc>
          <w:tcPr>
            <w:tcW w:w="3200" w:type="dxa"/>
            <w:vAlign w:val="bottom"/>
            <w:gridSpan w:val="5"/>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0" w:name="page131"/>
    <w:bookmarkEnd w:id="1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i w:val="1"/>
          <w:iCs w:val="1"/>
          <w:color w:val="auto"/>
        </w:rPr>
        <w:t xml:space="preserve">Minimum Volume Commitments. </w:t>
      </w:r>
      <w:r>
        <w:rPr>
          <w:rFonts w:ascii="Arial" w:cs="Arial" w:eastAsia="Arial" w:hAnsi="Arial"/>
          <w:sz w:val="14"/>
          <w:szCs w:val="14"/>
          <w:color w:val="auto"/>
        </w:rPr>
        <w:t>We have certain agreements that require counterparties to transport or throughput a minimum volume over an agreed upon period. Some of these agreements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68"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2"/>
                <w:szCs w:val="12"/>
                <w:color w:val="auto"/>
              </w:rPr>
            </w:pPr>
          </w:p>
        </w:tc>
      </w:tr>
      <w:tr>
        <w:trPr>
          <w:trHeight w:val="147"/>
        </w:trPr>
        <w:tc>
          <w:tcPr>
            <w:tcW w:w="4160" w:type="dxa"/>
            <w:vAlign w:val="bottom"/>
            <w:gridSpan w:val="3"/>
          </w:tcPr>
          <w:p>
            <w:pPr>
              <w:ind w:left="20"/>
              <w:spacing w:after="0"/>
              <w:rPr>
                <w:sz w:val="20"/>
                <w:szCs w:val="20"/>
                <w:color w:val="auto"/>
              </w:rPr>
            </w:pPr>
            <w:r>
              <w:rPr>
                <w:rFonts w:ascii="Arial" w:cs="Arial" w:eastAsia="Arial" w:hAnsi="Arial"/>
                <w:sz w:val="11"/>
                <w:szCs w:val="11"/>
                <w:b w:val="1"/>
                <w:bCs w:val="1"/>
                <w:color w:val="auto"/>
              </w:rPr>
              <w:t>Counterparty Deficiencies</w:t>
            </w:r>
          </w:p>
        </w:tc>
        <w:tc>
          <w:tcPr>
            <w:tcW w:w="4160" w:type="dxa"/>
            <w:vAlign w:val="bottom"/>
            <w:gridSpan w:val="2"/>
          </w:tcPr>
          <w:p>
            <w:pPr>
              <w:spacing w:after="0"/>
              <w:rPr>
                <w:sz w:val="20"/>
                <w:szCs w:val="20"/>
                <w:color w:val="auto"/>
              </w:rPr>
            </w:pPr>
            <w:r>
              <w:rPr>
                <w:rFonts w:ascii="Arial" w:cs="Arial" w:eastAsia="Arial" w:hAnsi="Arial"/>
                <w:sz w:val="11"/>
                <w:szCs w:val="11"/>
                <w:b w:val="1"/>
                <w:bCs w:val="1"/>
                <w:color w:val="auto"/>
              </w:rPr>
              <w:t>Financial Statement Classification</w:t>
            </w:r>
          </w:p>
        </w:tc>
        <w:tc>
          <w:tcPr>
            <w:tcW w:w="340" w:type="dxa"/>
            <w:vAlign w:val="bottom"/>
          </w:tcPr>
          <w:p>
            <w:pPr>
              <w:spacing w:after="0"/>
              <w:rPr>
                <w:sz w:val="12"/>
                <w:szCs w:val="12"/>
                <w:color w:val="auto"/>
              </w:rPr>
            </w:pPr>
          </w:p>
        </w:tc>
        <w:tc>
          <w:tcPr>
            <w:tcW w:w="1100" w:type="dxa"/>
            <w:vAlign w:val="bottom"/>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4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Billed and collected</w:t>
            </w:r>
          </w:p>
        </w:tc>
        <w:tc>
          <w:tcPr>
            <w:tcW w:w="100" w:type="dxa"/>
            <w:vAlign w:val="bottom"/>
            <w:tcBorders>
              <w:top w:val="single" w:sz="8" w:color="CCEEFF"/>
            </w:tcBorders>
            <w:shd w:val="clear" w:color="auto" w:fill="CCEEFF"/>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0"/>
        </w:trPr>
        <w:tc>
          <w:tcPr>
            <w:tcW w:w="4160" w:type="dxa"/>
            <w:vAlign w:val="bottom"/>
            <w:tcBorders>
              <w:bottom w:val="single" w:sz="8" w:color="CCEEFF"/>
            </w:tcBorders>
            <w:gridSpan w:val="3"/>
          </w:tcPr>
          <w:p>
            <w:pPr>
              <w:ind w:left="20"/>
              <w:spacing w:after="0" w:line="181" w:lineRule="exact"/>
              <w:rPr>
                <w:sz w:val="20"/>
                <w:szCs w:val="20"/>
                <w:color w:val="auto"/>
              </w:rPr>
            </w:pPr>
            <w:r>
              <w:rPr>
                <w:rFonts w:ascii="Arial" w:cs="Arial" w:eastAsia="Arial" w:hAnsi="Arial"/>
                <w:sz w:val="14"/>
                <w:szCs w:val="14"/>
                <w:color w:val="auto"/>
              </w:rPr>
              <w:t xml:space="preserve">Unbilled </w:t>
            </w:r>
            <w:r>
              <w:rPr>
                <w:rFonts w:ascii="Arial" w:cs="Arial" w:eastAsia="Arial" w:hAnsi="Arial"/>
                <w:sz w:val="18"/>
                <w:szCs w:val="18"/>
                <w:color w:val="auto"/>
                <w:vertAlign w:val="superscript"/>
              </w:rPr>
              <w:t>(1)</w:t>
            </w: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41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95" w:lineRule="exact"/>
        <w:rPr>
          <w:sz w:val="20"/>
          <w:szCs w:val="20"/>
          <w:color w:val="auto"/>
        </w:rPr>
      </w:pPr>
    </w:p>
    <w:p>
      <w:pPr>
        <w:ind w:left="520" w:right="80" w:hanging="515"/>
        <w:spacing w:after="0" w:line="228" w:lineRule="auto"/>
        <w:tabs>
          <w:tab w:leader="none" w:pos="51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23"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i w:val="1"/>
          <w:iCs w:val="1"/>
          <w:color w:val="auto"/>
        </w:rPr>
        <w:t>Contract Balances</w:t>
      </w:r>
      <w:r>
        <w:rPr>
          <w:rFonts w:ascii="Arial" w:cs="Arial" w:eastAsia="Arial" w:hAnsi="Arial"/>
          <w:sz w:val="14"/>
          <w:szCs w:val="14"/>
          <w:color w:val="auto"/>
        </w:rPr>
        <w:t>. Our contract balances consist of amounts received associated with services or sales for which we have not yet completed the related performance obligation.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table presents the changes in the liability balance associated with contracts with customers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3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Contract Liabilities</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6"/>
                <w:szCs w:val="16"/>
                <w:color w:val="auto"/>
              </w:rPr>
            </w:pPr>
          </w:p>
        </w:tc>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0" w:type="dxa"/>
            <w:vAlign w:val="bottom"/>
            <w:tcBorders>
              <w:top w:val="single" w:sz="8" w:color="CCEEFF"/>
              <w:bottom w:val="single" w:sz="8" w:color="CCEEFF"/>
            </w:tcBorders>
            <w:gridSpan w:val="2"/>
            <w:vMerge w:val="restart"/>
          </w:tcPr>
          <w:p>
            <w:pPr>
              <w:ind w:left="120"/>
              <w:spacing w:after="0" w:line="182" w:lineRule="exact"/>
              <w:rPr>
                <w:sz w:val="20"/>
                <w:szCs w:val="20"/>
                <w:color w:val="auto"/>
              </w:rPr>
            </w:pPr>
            <w:r>
              <w:rPr>
                <w:rFonts w:ascii="Arial" w:cs="Arial" w:eastAsia="Arial" w:hAnsi="Arial"/>
                <w:sz w:val="14"/>
                <w:szCs w:val="14"/>
                <w:color w:val="auto"/>
              </w:rPr>
              <w:t xml:space="preserve">Amounts recognized as revenue </w:t>
            </w:r>
            <w:r>
              <w:rPr>
                <w:rFonts w:ascii="Arial" w:cs="Arial" w:eastAsia="Arial" w:hAnsi="Arial"/>
                <w:sz w:val="18"/>
                <w:szCs w:val="18"/>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9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line="143"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92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Additions </w:t>
            </w:r>
            <w:r>
              <w:rPr>
                <w:rFonts w:ascii="Arial" w:cs="Arial" w:eastAsia="Arial" w:hAnsi="Arial"/>
                <w:sz w:val="18"/>
                <w:szCs w:val="18"/>
                <w:color w:val="auto"/>
                <w:vertAlign w:val="superscript"/>
              </w:rPr>
              <w:t>(2)</w:t>
            </w:r>
          </w:p>
        </w:tc>
        <w:tc>
          <w:tcPr>
            <w:tcW w:w="3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920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2020</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92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4"/>
                <w:szCs w:val="14"/>
                <w:color w:val="auto"/>
              </w:rPr>
              <w:t xml:space="preserve">Amounts recognized as revenue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9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Additions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20" w:right="440" w:hanging="515"/>
        <w:spacing w:after="0" w:line="228" w:lineRule="auto"/>
        <w:tabs>
          <w:tab w:leader="none" w:pos="51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Includes approximately $155 million associated with crude oil sales agreements that were entered into in conjunction with storage arrangements and future inventory exchanges. Such agreements were entered into in 2019 and recognized as revenue in the first quarter of 2020.</w:t>
      </w:r>
    </w:p>
    <w:p>
      <w:pPr>
        <w:spacing w:after="0" w:line="74" w:lineRule="exact"/>
        <w:rPr>
          <w:rFonts w:ascii="Arial" w:cs="Arial" w:eastAsia="Arial" w:hAnsi="Arial"/>
          <w:sz w:val="18"/>
          <w:szCs w:val="18"/>
          <w:color w:val="auto"/>
          <w:vertAlign w:val="superscript"/>
        </w:rPr>
      </w:pPr>
    </w:p>
    <w:p>
      <w:pPr>
        <w:ind w:left="520" w:right="440" w:hanging="515"/>
        <w:spacing w:after="0" w:line="228" w:lineRule="auto"/>
        <w:tabs>
          <w:tab w:leader="none" w:pos="51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Includes approximately $361 million associated with crude oil sales agreements that were entered into in conjunction with storage arrangements and future inventory exchanges. Such amount was recognized as revenue in the first quarter of 2021.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1" w:name="page132"/>
    <w:bookmarkEnd w:id="1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firstLine="509"/>
        <w:spacing w:after="0" w:line="260" w:lineRule="auto"/>
        <w:rPr>
          <w:sz w:val="20"/>
          <w:szCs w:val="20"/>
          <w:color w:val="auto"/>
        </w:rPr>
      </w:pPr>
      <w:r>
        <w:rPr>
          <w:rFonts w:ascii="Arial" w:cs="Arial" w:eastAsia="Arial" w:hAnsi="Arial"/>
          <w:sz w:val="14"/>
          <w:szCs w:val="14"/>
          <w:i w:val="1"/>
          <w:iCs w:val="1"/>
          <w:color w:val="auto"/>
        </w:rPr>
        <w:t>Remaining Performance Obligations</w:t>
      </w:r>
      <w:r>
        <w:rPr>
          <w:rFonts w:ascii="Arial" w:cs="Arial" w:eastAsia="Arial" w:hAnsi="Arial"/>
          <w:sz w:val="14"/>
          <w:szCs w:val="14"/>
          <w:color w:val="auto"/>
        </w:rPr>
        <w:t>. The information below includes the amount of consideration allocated to partially and wholly unsatisfied remaining performance obligations under</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2021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2027 and Thereafter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4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Pipeline revenues supported by minimum volume commitments and</w:t>
            </w:r>
          </w:p>
        </w:tc>
        <w:tc>
          <w:tcPr>
            <w:tcW w:w="720" w:type="dxa"/>
            <w:vAlign w:val="bottom"/>
            <w:vMerge w:val="restart"/>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94"/>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4"/>
                <w:szCs w:val="14"/>
                <w:color w:val="auto"/>
              </w:rPr>
              <w:t xml:space="preserve">capacity agreements </w:t>
            </w:r>
            <w:r>
              <w:rPr>
                <w:rFonts w:ascii="Arial" w:cs="Arial" w:eastAsia="Arial" w:hAnsi="Arial"/>
                <w:sz w:val="18"/>
                <w:szCs w:val="18"/>
                <w:color w:val="auto"/>
                <w:vertAlign w:val="superscript"/>
              </w:rPr>
              <w:t>(1)</w:t>
            </w:r>
          </w:p>
        </w:tc>
        <w:tc>
          <w:tcPr>
            <w:tcW w:w="72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Terminalling, storage and other agreement revenues</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00" w:hanging="495"/>
        <w:spacing w:after="0"/>
        <w:tabs>
          <w:tab w:leader="none" w:pos="50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Calculated as volumes committed under contracts multiplied by the current applicable tariff rate.</w:t>
      </w:r>
    </w:p>
    <w:p>
      <w:pPr>
        <w:spacing w:after="0" w:line="22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167" w:lineRule="exact"/>
        <w:rPr>
          <w:sz w:val="20"/>
          <w:szCs w:val="20"/>
          <w:color w:val="auto"/>
        </w:rPr>
      </w:pPr>
    </w:p>
    <w:p>
      <w:pPr>
        <w:ind w:left="640" w:hanging="12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Minimum volume commitments on certain of our joint venture pipeline systems;</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Acreage dedications;</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Buy/sell arrangements with future committed volumes;</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Short-term contracts and those with variable consideration due to the election of practical expedients, as discussed below;</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Contracts within the scope of ASC Topic 842, </w:t>
      </w:r>
      <w:r>
        <w:rPr>
          <w:rFonts w:ascii="Arial" w:cs="Arial" w:eastAsia="Arial" w:hAnsi="Arial"/>
          <w:sz w:val="14"/>
          <w:szCs w:val="14"/>
          <w:i w:val="1"/>
          <w:iCs w:val="1"/>
          <w:color w:val="auto"/>
        </w:rPr>
        <w:t>Leases</w:t>
      </w:r>
      <w:r>
        <w:rPr>
          <w:rFonts w:ascii="Arial" w:cs="Arial" w:eastAsia="Arial" w:hAnsi="Arial"/>
          <w:sz w:val="14"/>
          <w:szCs w:val="14"/>
          <w:color w:val="auto"/>
        </w:rPr>
        <w:t>; and</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Contracts within the scope of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68"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Accounts Receivable and Other Receivables, Net</w:t>
      </w:r>
    </w:p>
    <w:p>
      <w:pPr>
        <w:spacing w:after="0" w:line="179" w:lineRule="exact"/>
        <w:rPr>
          <w:sz w:val="20"/>
          <w:szCs w:val="20"/>
          <w:color w:val="auto"/>
        </w:rPr>
      </w:pPr>
    </w:p>
    <w:p>
      <w:pPr>
        <w:ind w:right="420" w:firstLine="509"/>
        <w:spacing w:after="0" w:line="267" w:lineRule="auto"/>
        <w:rPr>
          <w:sz w:val="20"/>
          <w:szCs w:val="20"/>
          <w:color w:val="auto"/>
        </w:rPr>
      </w:pPr>
      <w:r>
        <w:rPr>
          <w:rFonts w:ascii="Arial" w:cs="Arial" w:eastAsia="Arial" w:hAnsi="Arial"/>
          <w:sz w:val="14"/>
          <w:szCs w:val="14"/>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2" w:name="page133"/>
    <w:bookmarkEnd w:id="1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509"/>
        <w:spacing w:after="0" w:line="284" w:lineRule="auto"/>
        <w:rPr>
          <w:sz w:val="20"/>
          <w:szCs w:val="20"/>
          <w:color w:val="auto"/>
        </w:rPr>
      </w:pPr>
      <w:r>
        <w:rPr>
          <w:rFonts w:ascii="Arial" w:cs="Arial" w:eastAsia="Arial" w:hAnsi="Arial"/>
          <w:sz w:val="13"/>
          <w:szCs w:val="13"/>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34"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2021 and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is a reconciliation of trade accounts receivable from revenues from contracts with customers to total Trade accounts receivable and other receivables, net as presented on our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r>
      <w:tr>
        <w:trPr>
          <w:trHeight w:val="172"/>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accounts receivable arising from revenues from contracts with customers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center"/>
              <w:ind w:left="12"/>
              <w:spacing w:after="0"/>
              <w:rPr>
                <w:sz w:val="20"/>
                <w:szCs w:val="20"/>
                <w:color w:val="auto"/>
              </w:rPr>
            </w:pPr>
            <w:r>
              <w:rPr>
                <w:rFonts w:ascii="Arial" w:cs="Arial" w:eastAsia="Arial" w:hAnsi="Arial"/>
                <w:sz w:val="14"/>
                <w:szCs w:val="14"/>
                <w:color w:val="auto"/>
                <w:w w:val="91"/>
              </w:rPr>
              <w:t>4,031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4"/>
                <w:szCs w:val="14"/>
                <w:color w:val="auto"/>
                <w:w w:val="91"/>
              </w:rPr>
              <w:t>2,317</w:t>
            </w:r>
          </w:p>
        </w:tc>
      </w:tr>
      <w:tr>
        <w:trPr>
          <w:trHeight w:val="180"/>
        </w:trPr>
        <w:tc>
          <w:tcPr>
            <w:tcW w:w="832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Other trade accounts receivables and other receivables </w:t>
            </w:r>
            <w:r>
              <w:rPr>
                <w:rFonts w:ascii="Arial" w:cs="Arial" w:eastAsia="Arial" w:hAnsi="Arial"/>
                <w:sz w:val="18"/>
                <w:szCs w:val="18"/>
                <w:color w:val="auto"/>
                <w:vertAlign w:val="superscript"/>
              </w:rPr>
              <w:t>(1)</w:t>
            </w:r>
          </w:p>
        </w:tc>
        <w:tc>
          <w:tcPr>
            <w:tcW w:w="920" w:type="dxa"/>
            <w:vAlign w:val="bottom"/>
          </w:tcPr>
          <w:p>
            <w:pPr>
              <w:spacing w:after="0"/>
              <w:rPr>
                <w:sz w:val="15"/>
                <w:szCs w:val="15"/>
                <w:color w:val="auto"/>
              </w:rPr>
            </w:pPr>
          </w:p>
        </w:tc>
        <w:tc>
          <w:tcPr>
            <w:tcW w:w="520" w:type="dxa"/>
            <w:vAlign w:val="bottom"/>
          </w:tcPr>
          <w:p>
            <w:pPr>
              <w:jc w:val="center"/>
              <w:ind w:left="12"/>
              <w:spacing w:after="0"/>
              <w:rPr>
                <w:sz w:val="20"/>
                <w:szCs w:val="20"/>
                <w:color w:val="auto"/>
              </w:rPr>
            </w:pPr>
            <w:r>
              <w:rPr>
                <w:rFonts w:ascii="Arial" w:cs="Arial" w:eastAsia="Arial" w:hAnsi="Arial"/>
                <w:sz w:val="14"/>
                <w:szCs w:val="14"/>
                <w:color w:val="auto"/>
                <w:w w:val="91"/>
              </w:rPr>
              <w:t>5,126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center"/>
              <w:ind w:left="472"/>
              <w:spacing w:after="0"/>
              <w:rPr>
                <w:sz w:val="20"/>
                <w:szCs w:val="20"/>
                <w:color w:val="auto"/>
              </w:rPr>
            </w:pPr>
            <w:r>
              <w:rPr>
                <w:rFonts w:ascii="Arial" w:cs="Arial" w:eastAsia="Arial" w:hAnsi="Arial"/>
                <w:sz w:val="14"/>
                <w:szCs w:val="14"/>
                <w:color w:val="auto"/>
                <w:w w:val="91"/>
              </w:rPr>
              <w:t>2,818</w:t>
            </w:r>
          </w:p>
        </w:tc>
      </w:tr>
      <w:tr>
        <w:trPr>
          <w:trHeight w:val="18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Impact due to contractual rights of offset with counterparties</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(4,452)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94"/>
              </w:rPr>
              <w:t>(2,582)</w:t>
            </w:r>
          </w:p>
        </w:tc>
      </w:tr>
      <w:tr>
        <w:trPr>
          <w:trHeight w:val="171"/>
        </w:trPr>
        <w:tc>
          <w:tcPr>
            <w:tcW w:w="8320" w:type="dxa"/>
            <w:vAlign w:val="bottom"/>
            <w:gridSpan w:val="2"/>
          </w:tcPr>
          <w:p>
            <w:pPr>
              <w:ind w:left="120"/>
              <w:spacing w:after="0"/>
              <w:rPr>
                <w:sz w:val="20"/>
                <w:szCs w:val="20"/>
                <w:color w:val="auto"/>
              </w:rPr>
            </w:pPr>
            <w:r>
              <w:rPr>
                <w:rFonts w:ascii="Arial" w:cs="Arial" w:eastAsia="Arial" w:hAnsi="Arial"/>
                <w:sz w:val="14"/>
                <w:szCs w:val="14"/>
                <w:color w:val="auto"/>
              </w:rPr>
              <w:t>Trade accounts receivable and other receivables, net</w:t>
            </w: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91"/>
              </w:rPr>
              <w:t>4,705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color w:val="auto"/>
                <w:w w:val="91"/>
              </w:rPr>
              <w:t>2,553</w:t>
            </w:r>
          </w:p>
        </w:tc>
      </w:tr>
      <w:tr>
        <w:trPr>
          <w:trHeight w:val="20"/>
        </w:trPr>
        <w:tc>
          <w:tcPr>
            <w:tcW w:w="38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111" w:lineRule="exact"/>
        <w:rPr>
          <w:sz w:val="20"/>
          <w:szCs w:val="20"/>
          <w:color w:val="auto"/>
        </w:rPr>
      </w:pPr>
    </w:p>
    <w:p>
      <w:pPr>
        <w:ind w:left="500" w:hanging="495"/>
        <w:spacing w:after="0"/>
        <w:tabs>
          <w:tab w:leader="none" w:pos="50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balance is comprised primarily of accounts receivable associated with buy/sell arrangements that are not within the scope of ASC 606.</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4—Net Income/(Loss) Per Common Unit</w:t>
      </w:r>
    </w:p>
    <w:p>
      <w:pPr>
        <w:spacing w:after="0" w:line="204" w:lineRule="exact"/>
        <w:rPr>
          <w:sz w:val="20"/>
          <w:szCs w:val="20"/>
          <w:color w:val="auto"/>
        </w:rPr>
      </w:pPr>
    </w:p>
    <w:p>
      <w:pPr>
        <w:ind w:right="120" w:firstLine="509"/>
        <w:spacing w:after="0" w:line="309" w:lineRule="auto"/>
        <w:rPr>
          <w:sz w:val="20"/>
          <w:szCs w:val="20"/>
          <w:color w:val="auto"/>
        </w:rPr>
      </w:pPr>
      <w:r>
        <w:rPr>
          <w:rFonts w:ascii="Arial" w:cs="Arial" w:eastAsia="Arial" w:hAnsi="Arial"/>
          <w:sz w:val="12"/>
          <w:szCs w:val="12"/>
          <w:color w:val="auto"/>
        </w:rPr>
        <w:t>After consideration of distributions to preferred unitholders (whether paid in cash or in-kind), basic and diluted net income/(loss)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144" w:lineRule="exact"/>
        <w:rPr>
          <w:sz w:val="20"/>
          <w:szCs w:val="20"/>
          <w:color w:val="auto"/>
        </w:rPr>
      </w:pPr>
    </w:p>
    <w:p>
      <w:pPr>
        <w:ind w:right="140" w:firstLine="509"/>
        <w:spacing w:after="0" w:line="297" w:lineRule="auto"/>
        <w:rPr>
          <w:sz w:val="20"/>
          <w:szCs w:val="20"/>
          <w:color w:val="auto"/>
        </w:rPr>
      </w:pPr>
      <w:r>
        <w:rPr>
          <w:rFonts w:ascii="Arial" w:cs="Arial" w:eastAsia="Arial" w:hAnsi="Arial"/>
          <w:sz w:val="13"/>
          <w:szCs w:val="13"/>
          <w:color w:val="auto"/>
        </w:rPr>
        <w:t>We calculate basic and diluted net income/(loss) per common unit by dividing net income/(loss) attributable to PAA (after deducting amounts allocated to the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145"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approximately 71 million Series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3" w:name="page134"/>
    <w:bookmarkEnd w:id="1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309" w:lineRule="auto"/>
        <w:rPr>
          <w:sz w:val="20"/>
          <w:szCs w:val="20"/>
          <w:color w:val="auto"/>
        </w:rPr>
      </w:pPr>
      <w:r>
        <w:rPr>
          <w:rFonts w:ascii="Arial" w:cs="Arial" w:eastAsia="Arial" w:hAnsi="Arial"/>
          <w:sz w:val="12"/>
          <w:szCs w:val="12"/>
          <w:color w:val="auto"/>
        </w:rPr>
        <w:t>preferred units, on a weighted-average basis, were excluded from the calculation of diluted net income/(loss) per common unit for the year ended December 31, 2021 and 2020 as the effect was antidilutive for both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year ended December 31, 2019 were reduced by a hypothetical common unit repurchase based on the remaining unamortized fair value, as prescribed by the treasury stock method in guidance issued by the FASB. For the twelve months ended December 31, 2021 and 2020, approximately 0.5 million and 0.3 million equity-indexed compensation plan awards, respectively, on a weighted-average basis, were excluded from the computation of diluted net loss per common unit as the effect did not change the presentation of diluted net income/(loss) per common unit or the effect was antidilutive.</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computation of basic and diluted net income/(loss) per common unit (in millions, except per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r>
      <w:tr>
        <w:trPr>
          <w:trHeight w:val="161"/>
        </w:trPr>
        <w:tc>
          <w:tcPr>
            <w:tcW w:w="20" w:type="dxa"/>
            <w:vAlign w:val="bottom"/>
          </w:tcPr>
          <w:p>
            <w:pPr>
              <w:spacing w:after="0"/>
              <w:rPr>
                <w:sz w:val="14"/>
                <w:szCs w:val="14"/>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Income/(Loss) per Common Unit</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ind w:left="100"/>
              <w:spacing w:after="0"/>
              <w:rPr>
                <w:sz w:val="20"/>
                <w:szCs w:val="20"/>
                <w:color w:val="auto"/>
              </w:rPr>
            </w:pPr>
            <w:r>
              <w:rPr>
                <w:rFonts w:ascii="Arial" w:cs="Arial" w:eastAsia="Arial" w:hAnsi="Arial"/>
                <w:sz w:val="14"/>
                <w:szCs w:val="14"/>
                <w:color w:val="auto"/>
              </w:rPr>
              <w:t>Net income/(loss) attributable to PAA</w:t>
            </w: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2,171</w:t>
            </w:r>
          </w:p>
        </w:tc>
      </w:tr>
      <w:tr>
        <w:trPr>
          <w:trHeight w:val="181"/>
        </w:trPr>
        <w:tc>
          <w:tcPr>
            <w:tcW w:w="20" w:type="dxa"/>
            <w:vAlign w:val="bottom"/>
          </w:tcPr>
          <w:p>
            <w:pPr>
              <w:spacing w:after="0"/>
              <w:rPr>
                <w:sz w:val="15"/>
                <w:szCs w:val="15"/>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Distributions to Series A preferred unitholders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0"/>
        </w:trPr>
        <w:tc>
          <w:tcPr>
            <w:tcW w:w="20" w:type="dxa"/>
            <w:vAlign w:val="bottom"/>
          </w:tcPr>
          <w:p>
            <w:pPr>
              <w:spacing w:after="0"/>
              <w:rPr>
                <w:sz w:val="15"/>
                <w:szCs w:val="15"/>
                <w:color w:val="auto"/>
              </w:rPr>
            </w:pPr>
          </w:p>
        </w:tc>
        <w:tc>
          <w:tcPr>
            <w:tcW w:w="6760" w:type="dxa"/>
            <w:vAlign w:val="bottom"/>
            <w:gridSpan w:val="2"/>
          </w:tcPr>
          <w:p>
            <w:pPr>
              <w:ind w:left="160"/>
              <w:spacing w:after="0"/>
              <w:rPr>
                <w:sz w:val="20"/>
                <w:szCs w:val="20"/>
                <w:color w:val="auto"/>
              </w:rPr>
            </w:pPr>
            <w:r>
              <w:rPr>
                <w:rFonts w:ascii="Arial" w:cs="Arial" w:eastAsia="Arial" w:hAnsi="Arial"/>
                <w:sz w:val="14"/>
                <w:szCs w:val="14"/>
                <w:color w:val="auto"/>
              </w:rPr>
              <w:t>Distributions to Series B preferred unitholders</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1"/>
        </w:trPr>
        <w:tc>
          <w:tcPr>
            <w:tcW w:w="20" w:type="dxa"/>
            <w:vAlign w:val="bottom"/>
          </w:tcPr>
          <w:p>
            <w:pPr>
              <w:spacing w:after="0"/>
              <w:rPr>
                <w:sz w:val="15"/>
                <w:szCs w:val="15"/>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Distributions to participating securities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20" w:type="dxa"/>
            <w:vAlign w:val="bottom"/>
          </w:tcPr>
          <w:p>
            <w:pPr>
              <w:spacing w:after="0"/>
              <w:rPr>
                <w:sz w:val="15"/>
                <w:szCs w:val="15"/>
                <w:color w:val="auto"/>
              </w:rPr>
            </w:pPr>
          </w:p>
        </w:tc>
        <w:tc>
          <w:tcPr>
            <w:tcW w:w="6760" w:type="dxa"/>
            <w:vAlign w:val="bottom"/>
            <w:gridSpan w:val="2"/>
          </w:tcPr>
          <w:p>
            <w:pPr>
              <w:ind w:left="160"/>
              <w:spacing w:after="0"/>
              <w:rPr>
                <w:sz w:val="20"/>
                <w:szCs w:val="20"/>
                <w:color w:val="auto"/>
              </w:rPr>
            </w:pPr>
            <w:r>
              <w:rPr>
                <w:rFonts w:ascii="Arial" w:cs="Arial" w:eastAsia="Arial" w:hAnsi="Arial"/>
                <w:sz w:val="14"/>
                <w:szCs w:val="14"/>
                <w:color w:val="auto"/>
              </w:rPr>
              <w:t>Other</w:t>
            </w:r>
          </w:p>
        </w:tc>
        <w:tc>
          <w:tcPr>
            <w:tcW w:w="9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20" w:type="dxa"/>
            <w:vAlign w:val="bottom"/>
          </w:tcPr>
          <w:p>
            <w:pPr>
              <w:spacing w:after="0"/>
              <w:rPr>
                <w:sz w:val="16"/>
                <w:szCs w:val="16"/>
                <w:color w:val="auto"/>
              </w:rPr>
            </w:pPr>
          </w:p>
        </w:tc>
        <w:tc>
          <w:tcPr>
            <w:tcW w:w="6760" w:type="dxa"/>
            <w:vAlign w:val="bottom"/>
            <w:tcBorders>
              <w:top w:val="single" w:sz="8" w:color="CCEEFF"/>
              <w:bottom w:val="single" w:sz="8" w:color="CCEEFF"/>
            </w:tcBorders>
            <w:gridSpan w:val="2"/>
            <w:shd w:val="clear" w:color="auto" w:fill="CCEEFF"/>
          </w:tcPr>
          <w:p>
            <w:pPr>
              <w:ind w:left="100"/>
              <w:spacing w:after="0" w:line="171" w:lineRule="exact"/>
              <w:rPr>
                <w:sz w:val="20"/>
                <w:szCs w:val="20"/>
                <w:color w:val="auto"/>
              </w:rPr>
            </w:pPr>
            <w:r>
              <w:rPr>
                <w:rFonts w:ascii="Arial" w:cs="Arial" w:eastAsia="Arial" w:hAnsi="Arial"/>
                <w:sz w:val="14"/>
                <w:szCs w:val="14"/>
                <w:color w:val="auto"/>
              </w:rPr>
              <w:t xml:space="preserve">Net income/(loss) allocated to common unitholders </w:t>
            </w:r>
            <w:r>
              <w:rPr>
                <w:rFonts w:ascii="Arial" w:cs="Arial" w:eastAsia="Arial" w:hAnsi="Arial"/>
                <w:sz w:val="18"/>
                <w:szCs w:val="18"/>
                <w:color w:val="auto"/>
                <w:vertAlign w:val="superscript"/>
              </w:rPr>
              <w:t>(1)</w:t>
            </w:r>
          </w:p>
        </w:tc>
        <w:tc>
          <w:tcPr>
            <w:tcW w:w="98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Basic weighted average common units outstanding</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202"/>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Basic net income/(loss) per common unit</w:t>
            </w:r>
          </w:p>
        </w:tc>
        <w:tc>
          <w:tcPr>
            <w:tcW w:w="98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Diluted Net Income/(Loss) per Common Unit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ind w:left="100"/>
              <w:spacing w:after="0"/>
              <w:rPr>
                <w:sz w:val="20"/>
                <w:szCs w:val="20"/>
                <w:color w:val="auto"/>
              </w:rPr>
            </w:pPr>
            <w:r>
              <w:rPr>
                <w:rFonts w:ascii="Arial" w:cs="Arial" w:eastAsia="Arial" w:hAnsi="Arial"/>
                <w:sz w:val="14"/>
                <w:szCs w:val="14"/>
                <w:color w:val="auto"/>
              </w:rPr>
              <w:t>Net income/(loss) attributable to PAA</w:t>
            </w: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2,171</w:t>
            </w:r>
          </w:p>
        </w:tc>
      </w:tr>
      <w:tr>
        <w:trPr>
          <w:trHeight w:val="181"/>
        </w:trPr>
        <w:tc>
          <w:tcPr>
            <w:tcW w:w="20" w:type="dxa"/>
            <w:vAlign w:val="bottom"/>
          </w:tcPr>
          <w:p>
            <w:pPr>
              <w:spacing w:after="0"/>
              <w:rPr>
                <w:sz w:val="15"/>
                <w:szCs w:val="15"/>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Distributions to Series A preferred unitholders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6760" w:type="dxa"/>
            <w:vAlign w:val="bottom"/>
            <w:gridSpan w:val="2"/>
          </w:tcPr>
          <w:p>
            <w:pPr>
              <w:ind w:left="160"/>
              <w:spacing w:after="0"/>
              <w:rPr>
                <w:sz w:val="20"/>
                <w:szCs w:val="20"/>
                <w:color w:val="auto"/>
              </w:rPr>
            </w:pPr>
            <w:r>
              <w:rPr>
                <w:rFonts w:ascii="Arial" w:cs="Arial" w:eastAsia="Arial" w:hAnsi="Arial"/>
                <w:sz w:val="14"/>
                <w:szCs w:val="14"/>
                <w:color w:val="auto"/>
              </w:rPr>
              <w:t>Distributions to Series B preferred unitholders</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Distributions to participating securities</w:t>
            </w:r>
          </w:p>
        </w:tc>
        <w:tc>
          <w:tcPr>
            <w:tcW w:w="9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20" w:type="dxa"/>
            <w:vAlign w:val="bottom"/>
          </w:tcPr>
          <w:p>
            <w:pPr>
              <w:spacing w:after="0"/>
              <w:rPr>
                <w:sz w:val="14"/>
                <w:szCs w:val="14"/>
                <w:color w:val="auto"/>
              </w:rPr>
            </w:pPr>
          </w:p>
        </w:tc>
        <w:tc>
          <w:tcPr>
            <w:tcW w:w="6760" w:type="dxa"/>
            <w:vAlign w:val="bottom"/>
            <w:gridSpan w:val="2"/>
          </w:tcPr>
          <w:p>
            <w:pPr>
              <w:ind w:left="100"/>
              <w:spacing w:after="0" w:line="171" w:lineRule="exact"/>
              <w:rPr>
                <w:sz w:val="20"/>
                <w:szCs w:val="20"/>
                <w:color w:val="auto"/>
              </w:rPr>
            </w:pPr>
            <w:r>
              <w:rPr>
                <w:rFonts w:ascii="Arial" w:cs="Arial" w:eastAsia="Arial" w:hAnsi="Arial"/>
                <w:sz w:val="14"/>
                <w:szCs w:val="14"/>
                <w:color w:val="auto"/>
              </w:rPr>
              <w:t xml:space="preserve">Net income/(loss) allocated to common unitholders </w:t>
            </w:r>
            <w:r>
              <w:rPr>
                <w:rFonts w:ascii="Arial" w:cs="Arial" w:eastAsia="Arial" w:hAnsi="Arial"/>
                <w:sz w:val="18"/>
                <w:szCs w:val="18"/>
                <w:color w:val="auto"/>
                <w:vertAlign w:val="superscript"/>
              </w:rPr>
              <w:t>(1)</w:t>
            </w:r>
          </w:p>
        </w:tc>
        <w:tc>
          <w:tcPr>
            <w:tcW w:w="98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2,119</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ind w:left="100"/>
              <w:spacing w:after="0"/>
              <w:rPr>
                <w:sz w:val="20"/>
                <w:szCs w:val="20"/>
                <w:color w:val="auto"/>
              </w:rPr>
            </w:pPr>
            <w:r>
              <w:rPr>
                <w:rFonts w:ascii="Arial" w:cs="Arial" w:eastAsia="Arial" w:hAnsi="Arial"/>
                <w:sz w:val="14"/>
                <w:szCs w:val="14"/>
                <w:color w:val="auto"/>
              </w:rPr>
              <w:t>Basic weighted average common units outstanding</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727</w:t>
            </w:r>
          </w:p>
        </w:tc>
      </w:tr>
      <w:tr>
        <w:trPr>
          <w:trHeight w:val="181"/>
        </w:trPr>
        <w:tc>
          <w:tcPr>
            <w:tcW w:w="20" w:type="dxa"/>
            <w:vAlign w:val="bottom"/>
          </w:tcPr>
          <w:p>
            <w:pPr>
              <w:spacing w:after="0"/>
              <w:rPr>
                <w:sz w:val="15"/>
                <w:szCs w:val="15"/>
                <w:color w:val="auto"/>
              </w:rPr>
            </w:pPr>
          </w:p>
        </w:tc>
        <w:tc>
          <w:tcPr>
            <w:tcW w:w="6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Effect of dilutive securities: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ind w:left="400"/>
              <w:spacing w:after="0"/>
              <w:rPr>
                <w:sz w:val="20"/>
                <w:szCs w:val="20"/>
                <w:color w:val="auto"/>
              </w:rPr>
            </w:pPr>
            <w:r>
              <w:rPr>
                <w:rFonts w:ascii="Arial" w:cs="Arial" w:eastAsia="Arial" w:hAnsi="Arial"/>
                <w:sz w:val="14"/>
                <w:szCs w:val="14"/>
                <w:color w:val="auto"/>
              </w:rPr>
              <w:t>Series A preferred units</w:t>
            </w:r>
          </w:p>
        </w:tc>
        <w:tc>
          <w:tcPr>
            <w:tcW w:w="9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Equity-indexed compensation plan awards</w:t>
            </w:r>
          </w:p>
        </w:tc>
        <w:tc>
          <w:tcPr>
            <w:tcW w:w="9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20" w:type="dxa"/>
            <w:vAlign w:val="bottom"/>
          </w:tcPr>
          <w:p>
            <w:pPr>
              <w:spacing w:after="0"/>
              <w:rPr>
                <w:sz w:val="14"/>
                <w:szCs w:val="14"/>
                <w:color w:val="auto"/>
              </w:rPr>
            </w:pPr>
          </w:p>
        </w:tc>
        <w:tc>
          <w:tcPr>
            <w:tcW w:w="6760" w:type="dxa"/>
            <w:vAlign w:val="bottom"/>
            <w:gridSpan w:val="2"/>
          </w:tcPr>
          <w:p>
            <w:pPr>
              <w:ind w:left="100"/>
              <w:spacing w:after="0"/>
              <w:rPr>
                <w:sz w:val="20"/>
                <w:szCs w:val="20"/>
                <w:color w:val="auto"/>
              </w:rPr>
            </w:pPr>
            <w:r>
              <w:rPr>
                <w:rFonts w:ascii="Arial" w:cs="Arial" w:eastAsia="Arial" w:hAnsi="Arial"/>
                <w:sz w:val="14"/>
                <w:szCs w:val="14"/>
                <w:color w:val="auto"/>
              </w:rPr>
              <w:t>Diluted weighted average common units outstanding</w:t>
            </w:r>
          </w:p>
        </w:tc>
        <w:tc>
          <w:tcPr>
            <w:tcW w:w="9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ind w:left="100"/>
              <w:spacing w:after="0"/>
              <w:rPr>
                <w:sz w:val="20"/>
                <w:szCs w:val="20"/>
                <w:color w:val="auto"/>
              </w:rPr>
            </w:pPr>
            <w:r>
              <w:rPr>
                <w:rFonts w:ascii="Arial" w:cs="Arial" w:eastAsia="Arial" w:hAnsi="Arial"/>
                <w:sz w:val="14"/>
                <w:szCs w:val="14"/>
                <w:color w:val="auto"/>
              </w:rPr>
              <w:t>Diluted net income/(loss) per common unit</w:t>
            </w:r>
          </w:p>
        </w:tc>
        <w:tc>
          <w:tcPr>
            <w:tcW w:w="98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138" w:lineRule="exact"/>
        <w:rPr>
          <w:sz w:val="20"/>
          <w:szCs w:val="20"/>
          <w:color w:val="auto"/>
        </w:rPr>
      </w:pPr>
    </w:p>
    <w:p>
      <w:pPr>
        <w:ind w:left="520" w:hanging="515"/>
        <w:spacing w:after="0" w:line="235" w:lineRule="auto"/>
        <w:tabs>
          <w:tab w:leader="none" w:pos="51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4" w:name="page135"/>
    <w:bookmarkEnd w:id="1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5—Inventory, Linefill and Base Gas and Long-term Inventory</w:t>
      </w:r>
    </w:p>
    <w:p>
      <w:pPr>
        <w:spacing w:after="0" w:line="204" w:lineRule="exact"/>
        <w:rPr>
          <w:sz w:val="20"/>
          <w:szCs w:val="20"/>
          <w:color w:val="auto"/>
        </w:rPr>
      </w:pPr>
    </w:p>
    <w:p>
      <w:pPr>
        <w:ind w:firstLine="509"/>
        <w:spacing w:after="0" w:line="299" w:lineRule="auto"/>
        <w:rPr>
          <w:sz w:val="20"/>
          <w:szCs w:val="20"/>
          <w:color w:val="auto"/>
        </w:rPr>
      </w:pPr>
      <w:r>
        <w:rPr>
          <w:rFonts w:ascii="Arial" w:cs="Arial" w:eastAsia="Arial" w:hAnsi="Arial"/>
          <w:sz w:val="12"/>
          <w:szCs w:val="12"/>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 ended December 31, 2021, no adjustments were recorded. During the years ended December 31, 2020 and 2019, we recorded charges of $233 million (of which</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$40 million was associated with our long-term inventory) and $11 million, respectively,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“Product sales revenues” in our accompanying Consolidated Statements of Operations. See Note 13 for discussion of our derivative and risk management activities.</w:t>
      </w:r>
    </w:p>
    <w:p>
      <w:pPr>
        <w:spacing w:after="0" w:line="152"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Linefill and base gas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Following the sale of our Pine Prairie and Southern Pines natural gas storage facilities in August of 2021, we no longer own natural gas storage facilities. See Note 7 for additional information.</w:t>
      </w:r>
    </w:p>
    <w:p>
      <w:pPr>
        <w:spacing w:after="0" w:line="152"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2021, 2020 and 2019, we did not recognize any material impairments of linefill and base gas.</w:t>
      </w:r>
    </w:p>
    <w:p>
      <w:pPr>
        <w:spacing w:after="0" w:line="16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135" w:name="page136"/>
    <w:bookmarkEnd w:id="1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Inventory, linefill and base gas and long-term inventory consisted of the following (barrels and natural gas volumes in thousands and carrying value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1"/>
                <w:szCs w:val="11"/>
                <w:b w:val="1"/>
                <w:bCs w:val="1"/>
                <w:color w:val="auto"/>
              </w:rPr>
              <w:t>December 31, 2020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4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Volumes</w:t>
            </w:r>
          </w:p>
        </w:tc>
        <w:tc>
          <w:tcPr>
            <w:tcW w:w="1020" w:type="dxa"/>
            <w:vAlign w:val="bottom"/>
            <w:gridSpan w:val="2"/>
          </w:tcPr>
          <w:p>
            <w:pPr>
              <w:ind w:left="280"/>
              <w:spacing w:after="0" w:line="101" w:lineRule="exact"/>
              <w:rPr>
                <w:sz w:val="20"/>
                <w:szCs w:val="20"/>
                <w:color w:val="auto"/>
              </w:rPr>
            </w:pPr>
            <w:r>
              <w:rPr>
                <w:rFonts w:ascii="Arial" w:cs="Arial" w:eastAsia="Arial" w:hAnsi="Arial"/>
                <w:sz w:val="11"/>
                <w:szCs w:val="11"/>
                <w:b w:val="1"/>
                <w:bCs w:val="1"/>
                <w:color w:val="auto"/>
              </w:rPr>
              <w:t>Unit of</w:t>
            </w:r>
          </w:p>
        </w:tc>
        <w:tc>
          <w:tcPr>
            <w:tcW w:w="160" w:type="dxa"/>
            <w:vAlign w:val="bottom"/>
          </w:tcPr>
          <w:p>
            <w:pPr>
              <w:spacing w:after="0"/>
              <w:rPr>
                <w:sz w:val="8"/>
                <w:szCs w:val="8"/>
                <w:color w:val="auto"/>
              </w:rPr>
            </w:pPr>
          </w:p>
        </w:tc>
        <w:tc>
          <w:tcPr>
            <w:tcW w:w="780" w:type="dxa"/>
            <w:vAlign w:val="bottom"/>
          </w:tcPr>
          <w:p>
            <w:pPr>
              <w:jc w:val="right"/>
              <w:ind w:right="191"/>
              <w:spacing w:after="0" w:line="101" w:lineRule="exact"/>
              <w:rPr>
                <w:sz w:val="20"/>
                <w:szCs w:val="20"/>
                <w:color w:val="auto"/>
              </w:rPr>
            </w:pPr>
            <w:r>
              <w:rPr>
                <w:rFonts w:ascii="Arial" w:cs="Arial" w:eastAsia="Arial" w:hAnsi="Arial"/>
                <w:sz w:val="11"/>
                <w:szCs w:val="11"/>
                <w:b w:val="1"/>
                <w:bCs w:val="1"/>
                <w:color w:val="auto"/>
              </w:rPr>
              <w:t>Carrying</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center"/>
              <w:ind w:right="112"/>
              <w:spacing w:after="0" w:line="101" w:lineRule="exact"/>
              <w:rPr>
                <w:sz w:val="20"/>
                <w:szCs w:val="20"/>
                <w:color w:val="auto"/>
              </w:rPr>
            </w:pPr>
            <w:r>
              <w:rPr>
                <w:rFonts w:ascii="Arial" w:cs="Arial" w:eastAsia="Arial" w:hAnsi="Arial"/>
                <w:sz w:val="11"/>
                <w:szCs w:val="11"/>
                <w:b w:val="1"/>
                <w:bCs w:val="1"/>
                <w:color w:val="auto"/>
                <w:w w:val="93"/>
              </w:rPr>
              <w:t>Price/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Volumes</w:t>
            </w:r>
          </w:p>
        </w:tc>
        <w:tc>
          <w:tcPr>
            <w:tcW w:w="1040" w:type="dxa"/>
            <w:vAlign w:val="bottom"/>
            <w:gridSpan w:val="2"/>
          </w:tcPr>
          <w:p>
            <w:pPr>
              <w:ind w:left="300"/>
              <w:spacing w:after="0" w:line="101" w:lineRule="exact"/>
              <w:rPr>
                <w:sz w:val="20"/>
                <w:szCs w:val="20"/>
                <w:color w:val="auto"/>
              </w:rPr>
            </w:pPr>
            <w:r>
              <w:rPr>
                <w:rFonts w:ascii="Arial" w:cs="Arial" w:eastAsia="Arial" w:hAnsi="Arial"/>
                <w:sz w:val="11"/>
                <w:szCs w:val="11"/>
                <w:b w:val="1"/>
                <w:bCs w:val="1"/>
                <w:color w:val="auto"/>
              </w:rPr>
              <w:t>Unit of</w:t>
            </w:r>
          </w:p>
        </w:tc>
        <w:tc>
          <w:tcPr>
            <w:tcW w:w="160" w:type="dxa"/>
            <w:vAlign w:val="bottom"/>
          </w:tcPr>
          <w:p>
            <w:pPr>
              <w:spacing w:after="0"/>
              <w:rPr>
                <w:sz w:val="8"/>
                <w:szCs w:val="8"/>
                <w:color w:val="auto"/>
              </w:rPr>
            </w:pPr>
          </w:p>
        </w:tc>
        <w:tc>
          <w:tcPr>
            <w:tcW w:w="780" w:type="dxa"/>
            <w:vAlign w:val="bottom"/>
          </w:tcPr>
          <w:p>
            <w:pPr>
              <w:jc w:val="right"/>
              <w:ind w:right="191"/>
              <w:spacing w:after="0" w:line="101" w:lineRule="exact"/>
              <w:rPr>
                <w:sz w:val="20"/>
                <w:szCs w:val="20"/>
                <w:color w:val="auto"/>
              </w:rPr>
            </w:pPr>
            <w:r>
              <w:rPr>
                <w:rFonts w:ascii="Arial" w:cs="Arial" w:eastAsia="Arial" w:hAnsi="Arial"/>
                <w:sz w:val="11"/>
                <w:szCs w:val="11"/>
                <w:b w:val="1"/>
                <w:bCs w:val="1"/>
                <w:color w:val="auto"/>
              </w:rPr>
              <w:t>Carrying</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272"/>
              <w:spacing w:after="0" w:line="101" w:lineRule="exact"/>
              <w:rPr>
                <w:sz w:val="20"/>
                <w:szCs w:val="20"/>
                <w:color w:val="auto"/>
              </w:rPr>
            </w:pPr>
            <w:r>
              <w:rPr>
                <w:rFonts w:ascii="Arial" w:cs="Arial" w:eastAsia="Arial" w:hAnsi="Arial"/>
                <w:sz w:val="11"/>
                <w:szCs w:val="11"/>
                <w:b w:val="1"/>
                <w:bCs w:val="1"/>
                <w:color w:val="auto"/>
              </w:rPr>
              <w:t>Price/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2"/>
          </w:tcPr>
          <w:p>
            <w:pPr>
              <w:ind w:left="240"/>
              <w:spacing w:after="0"/>
              <w:rPr>
                <w:sz w:val="20"/>
                <w:szCs w:val="20"/>
                <w:color w:val="auto"/>
              </w:rPr>
            </w:pPr>
            <w:r>
              <w:rPr>
                <w:rFonts w:ascii="Arial" w:cs="Arial" w:eastAsia="Arial" w:hAnsi="Arial"/>
                <w:sz w:val="11"/>
                <w:szCs w:val="11"/>
                <w:b w:val="1"/>
                <w:bCs w:val="1"/>
                <w:color w:val="auto"/>
              </w:rPr>
              <w:t>Measure</w:t>
            </w:r>
          </w:p>
        </w:tc>
        <w:tc>
          <w:tcPr>
            <w:tcW w:w="160" w:type="dxa"/>
            <w:vAlign w:val="bottom"/>
          </w:tcPr>
          <w:p>
            <w:pPr>
              <w:spacing w:after="0"/>
              <w:rPr>
                <w:sz w:val="12"/>
                <w:szCs w:val="12"/>
                <w:color w:val="auto"/>
              </w:rPr>
            </w:pPr>
          </w:p>
        </w:tc>
        <w:tc>
          <w:tcPr>
            <w:tcW w:w="780" w:type="dxa"/>
            <w:vAlign w:val="bottom"/>
          </w:tcPr>
          <w:p>
            <w:pPr>
              <w:jc w:val="right"/>
              <w:ind w:right="271"/>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1"/>
                <w:szCs w:val="11"/>
                <w:b w:val="1"/>
                <w:bCs w:val="1"/>
                <w:color w:val="auto"/>
                <w:w w:val="89"/>
              </w:rPr>
              <w:t xml:space="preserve">Unit </w:t>
            </w:r>
            <w:r>
              <w:rPr>
                <w:rFonts w:ascii="Arial" w:cs="Arial" w:eastAsia="Arial" w:hAnsi="Arial"/>
                <w:sz w:val="14"/>
                <w:szCs w:val="14"/>
                <w:b w:val="1"/>
                <w:bCs w:val="1"/>
                <w:color w:val="auto"/>
                <w:w w:val="89"/>
                <w:vertAlign w:val="superscript"/>
              </w:rPr>
              <w:t>(1)</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ind w:left="260"/>
              <w:spacing w:after="0"/>
              <w:rPr>
                <w:sz w:val="20"/>
                <w:szCs w:val="20"/>
                <w:color w:val="auto"/>
              </w:rPr>
            </w:pPr>
            <w:r>
              <w:rPr>
                <w:rFonts w:ascii="Arial" w:cs="Arial" w:eastAsia="Arial" w:hAnsi="Arial"/>
                <w:sz w:val="11"/>
                <w:szCs w:val="11"/>
                <w:b w:val="1"/>
                <w:bCs w:val="1"/>
                <w:color w:val="auto"/>
              </w:rPr>
              <w:t>Measure</w:t>
            </w:r>
          </w:p>
        </w:tc>
        <w:tc>
          <w:tcPr>
            <w:tcW w:w="160" w:type="dxa"/>
            <w:vAlign w:val="bottom"/>
          </w:tcPr>
          <w:p>
            <w:pPr>
              <w:spacing w:after="0"/>
              <w:rPr>
                <w:sz w:val="12"/>
                <w:szCs w:val="12"/>
                <w:color w:val="auto"/>
              </w:rPr>
            </w:pPr>
          </w:p>
        </w:tc>
        <w:tc>
          <w:tcPr>
            <w:tcW w:w="780" w:type="dxa"/>
            <w:vAlign w:val="bottom"/>
          </w:tcPr>
          <w:p>
            <w:pPr>
              <w:jc w:val="right"/>
              <w:ind w:right="271"/>
              <w:spacing w:after="0"/>
              <w:rPr>
                <w:sz w:val="20"/>
                <w:szCs w:val="20"/>
                <w:color w:val="auto"/>
              </w:rPr>
            </w:pPr>
            <w:r>
              <w:rPr>
                <w:rFonts w:ascii="Arial" w:cs="Arial" w:eastAsia="Arial" w:hAnsi="Arial"/>
                <w:sz w:val="11"/>
                <w:szCs w:val="11"/>
                <w:b w:val="1"/>
                <w:bCs w:val="1"/>
                <w:color w:val="auto"/>
              </w:rPr>
              <w:t>Value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1"/>
                <w:szCs w:val="11"/>
                <w:b w:val="1"/>
                <w:bCs w:val="1"/>
                <w:color w:val="auto"/>
              </w:rPr>
              <w:t xml:space="preserve">Unit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Inventory</w:t>
            </w: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Crude oil</w:t>
            </w:r>
          </w:p>
        </w:tc>
        <w:tc>
          <w:tcPr>
            <w:tcW w:w="900" w:type="dxa"/>
            <w:vAlign w:val="bottom"/>
          </w:tcPr>
          <w:p>
            <w:pPr>
              <w:jc w:val="right"/>
              <w:spacing w:after="0"/>
              <w:rPr>
                <w:sz w:val="20"/>
                <w:szCs w:val="20"/>
                <w:color w:val="auto"/>
              </w:rPr>
            </w:pPr>
            <w:r>
              <w:rPr>
                <w:rFonts w:ascii="Arial" w:cs="Arial" w:eastAsia="Arial" w:hAnsi="Arial"/>
                <w:sz w:val="14"/>
                <w:szCs w:val="14"/>
                <w:color w:val="auto"/>
              </w:rPr>
              <w:t>8,041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barrels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67.65</w:t>
            </w: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13,450</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441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12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12,302</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CCEEFF"/>
            </w:tcBorders>
            <w:gridSpan w:val="3"/>
          </w:tcPr>
          <w:p>
            <w:pPr>
              <w:ind w:left="680"/>
              <w:spacing w:after="0"/>
              <w:rPr>
                <w:sz w:val="20"/>
                <w:szCs w:val="20"/>
                <w:color w:val="auto"/>
              </w:rPr>
            </w:pPr>
            <w:r>
              <w:rPr>
                <w:rFonts w:ascii="Arial" w:cs="Arial" w:eastAsia="Arial" w:hAnsi="Arial"/>
                <w:sz w:val="14"/>
                <w:szCs w:val="14"/>
                <w:color w:val="auto"/>
              </w:rPr>
              <w:t>N/A</w:t>
            </w: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right w:val="single" w:sz="8" w:color="auto"/>
            </w:tcBorders>
            <w:gridSpan w:val="2"/>
          </w:tcPr>
          <w:p>
            <w:pPr>
              <w:ind w:left="480"/>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N/A</w:t>
            </w: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Inventory subtotal</w:t>
            </w: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Linefill and base gas</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Crude oil</w:t>
            </w:r>
          </w:p>
        </w:tc>
        <w:tc>
          <w:tcPr>
            <w:tcW w:w="900" w:type="dxa"/>
            <w:vAlign w:val="bottom"/>
          </w:tcPr>
          <w:p>
            <w:pPr>
              <w:jc w:val="right"/>
              <w:spacing w:after="0"/>
              <w:rPr>
                <w:sz w:val="20"/>
                <w:szCs w:val="20"/>
                <w:color w:val="auto"/>
              </w:rPr>
            </w:pPr>
            <w:r>
              <w:rPr>
                <w:rFonts w:ascii="Arial" w:cs="Arial" w:eastAsia="Arial" w:hAnsi="Arial"/>
                <w:sz w:val="14"/>
                <w:szCs w:val="14"/>
                <w:color w:val="auto"/>
              </w:rPr>
              <w:t>15,199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56.71</w:t>
            </w: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14,669</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828</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56.45</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2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Natural gas </w:t>
            </w:r>
            <w:r>
              <w:rPr>
                <w:rFonts w:ascii="Arial" w:cs="Arial" w:eastAsia="Arial" w:hAnsi="Arial"/>
                <w:sz w:val="18"/>
                <w:szCs w:val="18"/>
                <w:color w:val="auto"/>
                <w:vertAlign w:val="superscript"/>
              </w:rPr>
              <w:t>(2)</w:t>
            </w:r>
          </w:p>
        </w:tc>
        <w:tc>
          <w:tcPr>
            <w:tcW w:w="104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Mcf</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25,576</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Mcf</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110</w:t>
            </w:r>
          </w:p>
        </w:tc>
        <w:tc>
          <w:tcPr>
            <w:tcW w:w="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jc w:val="right"/>
              <w:ind w:right="12"/>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Linefill and base gas subtotal</w:t>
            </w: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inventory</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Crude oil</w:t>
            </w:r>
          </w:p>
        </w:tc>
        <w:tc>
          <w:tcPr>
            <w:tcW w:w="900" w:type="dxa"/>
            <w:vAlign w:val="bottom"/>
          </w:tcPr>
          <w:p>
            <w:pPr>
              <w:jc w:val="right"/>
              <w:spacing w:after="0"/>
              <w:rPr>
                <w:sz w:val="20"/>
                <w:szCs w:val="20"/>
                <w:color w:val="auto"/>
              </w:rPr>
            </w:pPr>
            <w:r>
              <w:rPr>
                <w:rFonts w:ascii="Arial" w:cs="Arial" w:eastAsia="Arial" w:hAnsi="Arial"/>
                <w:sz w:val="14"/>
                <w:szCs w:val="14"/>
                <w:color w:val="auto"/>
              </w:rPr>
              <w:t>2,973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70.30</w:t>
            </w: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2,499</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barrels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2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Long-term inventory subtotal</w:t>
            </w:r>
          </w:p>
        </w:tc>
        <w:tc>
          <w:tcPr>
            <w:tcW w:w="9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right="560" w:hanging="515"/>
        <w:spacing w:after="0" w:line="228" w:lineRule="auto"/>
        <w:tabs>
          <w:tab w:leader="none" w:pos="51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Price per unit of measure is comprised of a weighted average associated with various grades, qualities and locations. Accordingly, these prices may not coincide with any published benchmarks for such products.</w:t>
      </w:r>
    </w:p>
    <w:p>
      <w:pPr>
        <w:spacing w:after="0" w:line="5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Base gas with a carrying value of $110 million was included in the sale of our natural gas storage facilities, which closed in August 2021. See Note 7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6—Property and Equipment</w:t>
      </w:r>
    </w:p>
    <w:p>
      <w:pPr>
        <w:spacing w:after="0" w:line="204"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2021, 2020 and 2019, capitalized interest recorded to property and equipment was $6 million, $8 million and $14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36" w:name="page137"/>
    <w:bookmarkEnd w:id="1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Property and equipment, net is stated at cost and consisted of the following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Estimated Useful</w:t>
            </w: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Lives (Years)</w:t>
            </w:r>
          </w:p>
        </w:tc>
        <w:tc>
          <w:tcPr>
            <w:tcW w:w="340" w:type="dxa"/>
            <w:vAlign w:val="bottom"/>
          </w:tcPr>
          <w:p>
            <w:pPr>
              <w:spacing w:after="0"/>
              <w:rPr>
                <w:sz w:val="13"/>
                <w:szCs w:val="13"/>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664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4"/>
                <w:szCs w:val="14"/>
                <w:color w:val="auto"/>
              </w:rPr>
              <w:t xml:space="preserve">Pipelines and related facilities </w:t>
            </w:r>
            <w:r>
              <w:rPr>
                <w:rFonts w:ascii="Arial" w:cs="Arial" w:eastAsia="Arial" w:hAnsi="Arial"/>
                <w:sz w:val="18"/>
                <w:szCs w:val="18"/>
                <w:color w:val="auto"/>
                <w:vertAlign w:val="superscript"/>
              </w:rPr>
              <w:t>(1) (2)</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10 - 50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12,765</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11,112</w:t>
            </w:r>
          </w:p>
        </w:tc>
      </w:tr>
      <w:tr>
        <w:trPr>
          <w:trHeight w:val="180"/>
        </w:trPr>
        <w:tc>
          <w:tcPr>
            <w:tcW w:w="20" w:type="dxa"/>
            <w:vAlign w:val="bottom"/>
          </w:tcPr>
          <w:p>
            <w:pPr>
              <w:spacing w:after="0"/>
              <w:rPr>
                <w:sz w:val="15"/>
                <w:szCs w:val="15"/>
                <w:color w:val="auto"/>
              </w:rPr>
            </w:pPr>
          </w:p>
        </w:tc>
        <w:tc>
          <w:tcPr>
            <w:tcW w:w="6640" w:type="dxa"/>
            <w:vAlign w:val="bottom"/>
            <w:gridSpan w:val="2"/>
          </w:tcPr>
          <w:p>
            <w:pPr>
              <w:spacing w:after="0" w:line="181" w:lineRule="exact"/>
              <w:rPr>
                <w:sz w:val="20"/>
                <w:szCs w:val="20"/>
                <w:color w:val="auto"/>
              </w:rPr>
            </w:pPr>
            <w:r>
              <w:rPr>
                <w:rFonts w:ascii="Arial" w:cs="Arial" w:eastAsia="Arial" w:hAnsi="Arial"/>
                <w:sz w:val="14"/>
                <w:szCs w:val="14"/>
                <w:color w:val="auto"/>
              </w:rPr>
              <w:t xml:space="preserve">Storage, terminal and rail facilities </w:t>
            </w:r>
            <w:r>
              <w:rPr>
                <w:rFonts w:ascii="Arial" w:cs="Arial" w:eastAsia="Arial" w:hAnsi="Arial"/>
                <w:sz w:val="18"/>
                <w:szCs w:val="18"/>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10 - 50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6,042</w:t>
            </w:r>
          </w:p>
        </w:tc>
      </w:tr>
      <w:tr>
        <w:trPr>
          <w:trHeight w:val="180"/>
        </w:trPr>
        <w:tc>
          <w:tcPr>
            <w:tcW w:w="20" w:type="dxa"/>
            <w:vAlign w:val="bottom"/>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Trucking equipment and other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2 - 15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0"/>
        </w:trPr>
        <w:tc>
          <w:tcPr>
            <w:tcW w:w="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Construction in progress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81"/>
        </w:trPr>
        <w:tc>
          <w:tcPr>
            <w:tcW w:w="20" w:type="dxa"/>
            <w:vAlign w:val="bottom"/>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 property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2 - 50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180"/>
        </w:trPr>
        <w:tc>
          <w:tcPr>
            <w:tcW w:w="20" w:type="dxa"/>
            <w:vAlign w:val="bottom"/>
          </w:tcPr>
          <w:p>
            <w:pPr>
              <w:spacing w:after="0"/>
              <w:rPr>
                <w:sz w:val="15"/>
                <w:szCs w:val="15"/>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Land and other</w:t>
            </w:r>
          </w:p>
        </w:tc>
        <w:tc>
          <w:tcPr>
            <w:tcW w:w="1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171"/>
        </w:trPr>
        <w:tc>
          <w:tcPr>
            <w:tcW w:w="20" w:type="dxa"/>
            <w:vAlign w:val="bottom"/>
          </w:tcPr>
          <w:p>
            <w:pPr>
              <w:spacing w:after="0"/>
              <w:rPr>
                <w:sz w:val="14"/>
                <w:szCs w:val="14"/>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Property and equipment, gross</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18,585</w:t>
            </w:r>
          </w:p>
        </w:tc>
      </w:tr>
      <w:tr>
        <w:trPr>
          <w:trHeight w:val="180"/>
        </w:trPr>
        <w:tc>
          <w:tcPr>
            <w:tcW w:w="20" w:type="dxa"/>
            <w:vAlign w:val="bottom"/>
          </w:tcPr>
          <w:p>
            <w:pPr>
              <w:spacing w:after="0"/>
              <w:rPr>
                <w:sz w:val="15"/>
                <w:szCs w:val="15"/>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depreciation</w:t>
            </w: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(3,974)</w:t>
            </w:r>
          </w:p>
        </w:tc>
      </w:tr>
      <w:tr>
        <w:trPr>
          <w:trHeight w:val="196"/>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11" w:lineRule="exact"/>
        <w:rPr>
          <w:sz w:val="20"/>
          <w:szCs w:val="20"/>
          <w:color w:val="auto"/>
        </w:rPr>
      </w:pPr>
    </w:p>
    <w:p>
      <w:pPr>
        <w:ind w:left="500" w:hanging="495"/>
        <w:spacing w:after="0"/>
        <w:tabs>
          <w:tab w:leader="none" w:pos="50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We include rights-of-way, which are intangible assets, in our Pipelines and related facilities amounts within property and equipment.</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Useful lives changed to 10 to 50 years in 2021. See below for additional information.</w:t>
      </w:r>
    </w:p>
    <w:p>
      <w:pPr>
        <w:spacing w:after="0" w:line="181"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We calculate our depreciation using the straight-line method, based on estimated useful lives and salvage values of our assets. Depreciation expense for the years ended December 31, 2021, 2020 and 2019 was $652 million, $563 million and $525 million, respectively. During the first quarter of 2021, we modified the useful lives of our Pipelines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year ended December 31, 2021, these reductions in useful lives increased depreciation expense by approximately $72 million, which resulted in a decrease to both basic and diluted net income per common unit of approximately $0.10 from what these amounts would have been absent the change in useful lives.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2020 and 2019, we incurred liabilities for construction in progress that had not been paid of $48 million, $51 million and $120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 (Held and Used)</w:t>
      </w:r>
    </w:p>
    <w:p>
      <w:pPr>
        <w:spacing w:after="0" w:line="200"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36"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57" w:lineRule="exact"/>
        <w:rPr>
          <w:sz w:val="20"/>
          <w:szCs w:val="20"/>
          <w:color w:val="auto"/>
        </w:rPr>
      </w:pPr>
    </w:p>
    <w:p>
      <w:pPr>
        <w:ind w:left="760" w:hanging="246"/>
        <w:spacing w:after="0"/>
        <w:tabs>
          <w:tab w:leader="none" w:pos="7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whether there is an indication of impairment;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grouping of assets;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intention of “holding,” “abandoning” or “selling” an asset;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forecast of undiscounted expected future cash flow over the asset’s estimated useful life;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if an impairment exists, the fair value of the asset or asset group.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7" w:name="page138"/>
    <w:bookmarkEnd w:id="13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when we evaluate property and equipment and other long-lived assets for recoverability, it may also be necessary to review related depreciation estimates and methods.</w:t>
      </w:r>
    </w:p>
    <w:p>
      <w:pPr>
        <w:spacing w:after="0" w:line="211" w:lineRule="exact"/>
        <w:rPr>
          <w:sz w:val="20"/>
          <w:szCs w:val="20"/>
          <w:color w:val="auto"/>
        </w:rPr>
      </w:pPr>
    </w:p>
    <w:p>
      <w:pPr>
        <w:ind w:right="40" w:firstLine="509"/>
        <w:spacing w:after="0" w:line="313" w:lineRule="auto"/>
        <w:rPr>
          <w:sz w:val="20"/>
          <w:szCs w:val="20"/>
          <w:color w:val="auto"/>
        </w:rPr>
      </w:pPr>
      <w:r>
        <w:rPr>
          <w:rFonts w:ascii="Arial" w:cs="Arial" w:eastAsia="Arial" w:hAnsi="Arial"/>
          <w:sz w:val="12"/>
          <w:szCs w:val="12"/>
          <w:color w:val="auto"/>
        </w:rPr>
        <w:t>During the year ended December 31, 2021, we recognized approximately $220 million of non-cash impairment losses related to certain crude oil storage terminal assets included in our Crude Oil segment. This amount is reflected in “(Gains)/losses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140"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153"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Of our impairment losses, approximately $415 million was associated with certain pipeline assets in our Crude Oil segment located in the Mid-Continent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59" w:lineRule="exact"/>
        <w:rPr>
          <w:sz w:val="20"/>
          <w:szCs w:val="20"/>
          <w:color w:val="auto"/>
        </w:rPr>
      </w:pPr>
    </w:p>
    <w:p>
      <w:pPr>
        <w:jc w:val="both"/>
        <w:ind w:right="160" w:firstLine="509"/>
        <w:spacing w:after="0" w:line="267" w:lineRule="auto"/>
        <w:rPr>
          <w:sz w:val="20"/>
          <w:szCs w:val="20"/>
          <w:color w:val="auto"/>
        </w:rPr>
      </w:pPr>
      <w:r>
        <w:rPr>
          <w:rFonts w:ascii="Arial" w:cs="Arial" w:eastAsia="Arial" w:hAnsi="Arial"/>
          <w:sz w:val="14"/>
          <w:szCs w:val="14"/>
          <w:color w:val="auto"/>
        </w:rPr>
        <w:t>The remaining impairment losses were associated with idled or underutilized assets, primarily in our Crude Oil segment, including certain pipelines located in the Western region and other long-lived assets, for which it has been determined that it is unlikely that opportunities will exist in the future to recover our investment in these assets. We wrote off substantially all of the carrying value of these assets.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recognize any material impairments during the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7—Acquisitions, Divestitures and Other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Venture Transaction</w:t>
      </w:r>
    </w:p>
    <w:p>
      <w:pPr>
        <w:spacing w:after="0" w:line="200"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spacing w:after="0" w:line="156" w:lineRule="exact"/>
        <w:rPr>
          <w:sz w:val="20"/>
          <w:szCs w:val="20"/>
          <w:color w:val="auto"/>
        </w:rPr>
      </w:pPr>
    </w:p>
    <w:p>
      <w:pPr>
        <w:ind w:firstLine="509"/>
        <w:spacing w:after="0" w:line="233" w:lineRule="auto"/>
        <w:rPr>
          <w:sz w:val="20"/>
          <w:szCs w:val="20"/>
          <w:color w:val="auto"/>
        </w:rPr>
      </w:pPr>
      <w:r>
        <w:rPr>
          <w:rFonts w:ascii="Arial" w:cs="Arial" w:eastAsia="Arial" w:hAnsi="Arial"/>
          <w:sz w:val="14"/>
          <w:szCs w:val="14"/>
          <w:color w:val="auto"/>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$3.256 billion is utilized as the consideration transferred for the purchase price allocation.</w:t>
      </w:r>
    </w:p>
    <w:p>
      <w:pPr>
        <w:spacing w:after="0" w:line="160" w:lineRule="exact"/>
        <w:rPr>
          <w:sz w:val="20"/>
          <w:szCs w:val="20"/>
          <w:color w:val="auto"/>
        </w:rPr>
      </w:pPr>
    </w:p>
    <w:p>
      <w:pPr>
        <w:jc w:val="both"/>
        <w:ind w:right="300" w:firstLine="509"/>
        <w:spacing w:after="0" w:line="237" w:lineRule="auto"/>
        <w:rPr>
          <w:sz w:val="20"/>
          <w:szCs w:val="20"/>
          <w:color w:val="auto"/>
        </w:rPr>
      </w:pPr>
      <w:r>
        <w:rPr>
          <w:rFonts w:ascii="Arial" w:cs="Arial" w:eastAsia="Arial" w:hAnsi="Arial"/>
          <w:sz w:val="14"/>
          <w:szCs w:val="14"/>
          <w:color w:val="auto"/>
        </w:rPr>
        <w:t>The combination of the historical cost and fair value, discussed above, resulted in net assets of the joint venture of approximately $7.575 billion upon formation. Oryx Midstream’s 35% interest in the net assets of the Permian JV was recognized as noncontrolling interest in partners’ capital. The difference between the noncontrolling interest recognized and the fair value of Oryx Midstream’s assets acquired and liabilities assumed was recorded as an increase to our partners’ capital excluding noncontrolling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8" w:name="page139"/>
    <w:bookmarkEnd w:id="1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amounts recognized in partners’ capital associated with this transaction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0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Recognized Amount</w:t>
            </w:r>
          </w:p>
        </w:tc>
      </w:tr>
      <w:tr>
        <w:trPr>
          <w:trHeight w:val="175"/>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w:t>
            </w:r>
          </w:p>
        </w:tc>
      </w:tr>
      <w:tr>
        <w:trPr>
          <w:trHeight w:val="212"/>
        </w:trPr>
        <w:tc>
          <w:tcPr>
            <w:tcW w:w="9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 capital, excluding noncontrolling interests</w:t>
            </w:r>
          </w:p>
        </w:tc>
        <w:tc>
          <w:tcPr>
            <w:tcW w:w="3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71"/>
        </w:trPr>
        <w:tc>
          <w:tcPr>
            <w:tcW w:w="90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w:t>
            </w:r>
          </w:p>
        </w:tc>
      </w:tr>
      <w:tr>
        <w:trPr>
          <w:trHeight w:val="20"/>
        </w:trPr>
        <w:tc>
          <w:tcPr>
            <w:tcW w:w="9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40" w:firstLine="509"/>
        <w:spacing w:after="0" w:line="280" w:lineRule="auto"/>
        <w:rPr>
          <w:sz w:val="20"/>
          <w:szCs w:val="20"/>
          <w:color w:val="auto"/>
        </w:rPr>
      </w:pPr>
      <w:r>
        <w:rPr>
          <w:rFonts w:ascii="Arial" w:cs="Arial" w:eastAsia="Arial" w:hAnsi="Arial"/>
          <w:sz w:val="13"/>
          <w:szCs w:val="13"/>
          <w:color w:val="auto"/>
        </w:rPr>
        <w:t>The fair value of the $3.256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(“DCF”) approach and (ii) a guideline public company method (“GPCM”). The value of our Permian Basin assets that were contributed to the joint venture was based on a GPCM. The DCF approach utilized a discount rate of 11.75%, based on our estimate of the risk that a theoretical market participant would assign to the business. The projection of future crude volumes gathered and transported was also a key assumption in the DCF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spacing w:after="0" w:line="158" w:lineRule="exact"/>
        <w:rPr>
          <w:sz w:val="20"/>
          <w:szCs w:val="20"/>
          <w:color w:val="auto"/>
        </w:rPr>
      </w:pPr>
    </w:p>
    <w:p>
      <w:pPr>
        <w:ind w:right="60" w:firstLine="509"/>
        <w:spacing w:after="0" w:line="297" w:lineRule="auto"/>
        <w:rPr>
          <w:sz w:val="20"/>
          <w:szCs w:val="20"/>
          <w:color w:val="auto"/>
        </w:rPr>
      </w:pPr>
      <w:r>
        <w:rPr>
          <w:rFonts w:ascii="Arial" w:cs="Arial" w:eastAsia="Arial" w:hAnsi="Arial"/>
          <w:sz w:val="13"/>
          <w:szCs w:val="13"/>
          <w:color w:val="auto"/>
        </w:rPr>
        <w:t>The determination of the fair value of the assets acquired and liabilities assumed was estimated in accordance with the applicable accounting guidance. The analysis was performed based on estimates that are reflective of market participant assumptions. The determination of these values is preliminary, pending finalization of working capital balances, and we expect to finalize our fair value determination in 2022. The following table reflects our preliminary determination of the fair value of those assets and liabilities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Identifiable Assets Acquired and Liabilities Assumed</w:t>
            </w:r>
          </w:p>
        </w:tc>
        <w:tc>
          <w:tcPr>
            <w:tcW w:w="23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Estimated Useful Lives</w:t>
            </w:r>
          </w:p>
        </w:tc>
        <w:tc>
          <w:tcPr>
            <w:tcW w:w="360" w:type="dxa"/>
            <w:vAlign w:val="bottom"/>
          </w:tcPr>
          <w:p>
            <w:pPr>
              <w:spacing w:after="0"/>
              <w:rPr>
                <w:sz w:val="10"/>
                <w:szCs w:val="10"/>
                <w:color w:val="auto"/>
              </w:rPr>
            </w:pPr>
          </w:p>
        </w:tc>
        <w:tc>
          <w:tcPr>
            <w:tcW w:w="1880" w:type="dxa"/>
            <w:vAlign w:val="bottom"/>
            <w:vMerge w:val="restart"/>
          </w:tcPr>
          <w:p>
            <w:pPr>
              <w:jc w:val="right"/>
              <w:ind w:right="551"/>
              <w:spacing w:after="0"/>
              <w:rPr>
                <w:sz w:val="20"/>
                <w:szCs w:val="20"/>
                <w:color w:val="auto"/>
              </w:rPr>
            </w:pPr>
            <w:r>
              <w:rPr>
                <w:rFonts w:ascii="Arial" w:cs="Arial" w:eastAsia="Arial" w:hAnsi="Arial"/>
                <w:sz w:val="11"/>
                <w:szCs w:val="11"/>
                <w:b w:val="1"/>
                <w:bCs w:val="1"/>
                <w:color w:val="auto"/>
              </w:rPr>
              <w:t>Recognized Amount</w:t>
            </w:r>
          </w:p>
        </w:tc>
        <w:tc>
          <w:tcPr>
            <w:tcW w:w="0" w:type="dxa"/>
            <w:vAlign w:val="bottom"/>
          </w:tcPr>
          <w:p>
            <w:pPr>
              <w:spacing w:after="0"/>
              <w:rPr>
                <w:sz w:val="1"/>
                <w:szCs w:val="1"/>
                <w:color w:val="auto"/>
              </w:rPr>
            </w:pPr>
          </w:p>
        </w:tc>
      </w:tr>
      <w:tr>
        <w:trPr>
          <w:trHeight w:val="148"/>
        </w:trPr>
        <w:tc>
          <w:tcPr>
            <w:tcW w:w="6680" w:type="dxa"/>
            <w:vAlign w:val="bottom"/>
            <w:gridSpan w:val="2"/>
            <w:vMerge w:val="continue"/>
          </w:tcPr>
          <w:p>
            <w:pPr>
              <w:spacing w:after="0"/>
              <w:rPr>
                <w:sz w:val="12"/>
                <w:szCs w:val="12"/>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(in years)</w:t>
            </w:r>
          </w:p>
        </w:tc>
        <w:tc>
          <w:tcPr>
            <w:tcW w:w="3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1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4"/>
                <w:szCs w:val="14"/>
                <w:color w:val="auto"/>
              </w:rPr>
              <w:t>3-30</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0"/>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Intangible assets</w:t>
            </w:r>
          </w:p>
        </w:tc>
        <w:tc>
          <w:tcPr>
            <w:tcW w:w="2240" w:type="dxa"/>
            <w:vAlign w:val="bottom"/>
          </w:tcPr>
          <w:p>
            <w:pPr>
              <w:jc w:val="right"/>
              <w:ind w:right="993"/>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0"/>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Linefill</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Working capital and other assets and liabilities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3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20" w:firstLine="509"/>
        <w:spacing w:after="0" w:line="288" w:lineRule="auto"/>
        <w:rPr>
          <w:sz w:val="20"/>
          <w:szCs w:val="20"/>
          <w:color w:val="auto"/>
        </w:rPr>
      </w:pPr>
      <w:r>
        <w:rPr>
          <w:rFonts w:ascii="Arial" w:cs="Arial" w:eastAsia="Arial" w:hAnsi="Arial"/>
          <w:sz w:val="13"/>
          <w:szCs w:val="13"/>
          <w:color w:val="auto"/>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9" w:name="page140"/>
    <w:bookmarkEnd w:id="1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$28 million during the year ended December 31, 2021, and the future amortization expense through 2026 is estimated as follows (in millions):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40" w:type="dxa"/>
            <w:vAlign w:val="bottom"/>
            <w:shd w:val="clear" w:color="auto" w:fill="CCEEFF"/>
          </w:tcPr>
          <w:p>
            <w:pPr>
              <w:jc w:val="right"/>
              <w:ind w:right="4269"/>
              <w:spacing w:after="0"/>
              <w:rPr>
                <w:sz w:val="20"/>
                <w:szCs w:val="20"/>
                <w:color w:val="auto"/>
              </w:rPr>
            </w:pPr>
            <w:r>
              <w:rPr>
                <w:rFonts w:ascii="Arial" w:cs="Arial" w:eastAsia="Arial" w:hAnsi="Arial"/>
                <w:sz w:val="14"/>
                <w:szCs w:val="14"/>
                <w:color w:val="auto"/>
                <w:w w:val="89"/>
              </w:rPr>
              <w:t>2022</w:t>
            </w:r>
          </w:p>
        </w:tc>
        <w:tc>
          <w:tcPr>
            <w:tcW w:w="536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w:t>
            </w:r>
          </w:p>
        </w:tc>
      </w:tr>
      <w:tr>
        <w:trPr>
          <w:trHeight w:val="180"/>
        </w:trPr>
        <w:tc>
          <w:tcPr>
            <w:tcW w:w="4640" w:type="dxa"/>
            <w:vAlign w:val="bottom"/>
          </w:tcPr>
          <w:p>
            <w:pPr>
              <w:jc w:val="right"/>
              <w:ind w:right="4269"/>
              <w:spacing w:after="0"/>
              <w:rPr>
                <w:sz w:val="20"/>
                <w:szCs w:val="20"/>
                <w:color w:val="auto"/>
              </w:rPr>
            </w:pPr>
            <w:r>
              <w:rPr>
                <w:rFonts w:ascii="Arial" w:cs="Arial" w:eastAsia="Arial" w:hAnsi="Arial"/>
                <w:sz w:val="14"/>
                <w:szCs w:val="14"/>
                <w:color w:val="auto"/>
                <w:w w:val="89"/>
              </w:rPr>
              <w:t>2023</w:t>
            </w:r>
          </w:p>
        </w:tc>
        <w:tc>
          <w:tcPr>
            <w:tcW w:w="536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138</w:t>
            </w:r>
          </w:p>
        </w:tc>
      </w:tr>
      <w:tr>
        <w:trPr>
          <w:trHeight w:val="181"/>
        </w:trPr>
        <w:tc>
          <w:tcPr>
            <w:tcW w:w="4640" w:type="dxa"/>
            <w:vAlign w:val="bottom"/>
            <w:shd w:val="clear" w:color="auto" w:fill="CCEEFF"/>
          </w:tcPr>
          <w:p>
            <w:pPr>
              <w:jc w:val="right"/>
              <w:ind w:right="4269"/>
              <w:spacing w:after="0"/>
              <w:rPr>
                <w:sz w:val="20"/>
                <w:szCs w:val="20"/>
                <w:color w:val="auto"/>
              </w:rPr>
            </w:pPr>
            <w:r>
              <w:rPr>
                <w:rFonts w:ascii="Arial" w:cs="Arial" w:eastAsia="Arial" w:hAnsi="Arial"/>
                <w:sz w:val="14"/>
                <w:szCs w:val="14"/>
                <w:color w:val="auto"/>
                <w:w w:val="89"/>
              </w:rPr>
              <w:t>2024</w:t>
            </w:r>
          </w:p>
        </w:tc>
        <w:tc>
          <w:tcPr>
            <w:tcW w:w="536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w:t>
            </w:r>
          </w:p>
        </w:tc>
      </w:tr>
      <w:tr>
        <w:trPr>
          <w:trHeight w:val="180"/>
        </w:trPr>
        <w:tc>
          <w:tcPr>
            <w:tcW w:w="4640" w:type="dxa"/>
            <w:vAlign w:val="bottom"/>
          </w:tcPr>
          <w:p>
            <w:pPr>
              <w:jc w:val="right"/>
              <w:ind w:right="4269"/>
              <w:spacing w:after="0"/>
              <w:rPr>
                <w:sz w:val="20"/>
                <w:szCs w:val="20"/>
                <w:color w:val="auto"/>
              </w:rPr>
            </w:pPr>
            <w:r>
              <w:rPr>
                <w:rFonts w:ascii="Arial" w:cs="Arial" w:eastAsia="Arial" w:hAnsi="Arial"/>
                <w:sz w:val="14"/>
                <w:szCs w:val="14"/>
                <w:color w:val="auto"/>
                <w:w w:val="89"/>
              </w:rPr>
              <w:t>2025</w:t>
            </w:r>
          </w:p>
        </w:tc>
        <w:tc>
          <w:tcPr>
            <w:tcW w:w="536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117</w:t>
            </w:r>
          </w:p>
        </w:tc>
      </w:tr>
      <w:tr>
        <w:trPr>
          <w:trHeight w:val="181"/>
        </w:trPr>
        <w:tc>
          <w:tcPr>
            <w:tcW w:w="4640" w:type="dxa"/>
            <w:vAlign w:val="bottom"/>
            <w:shd w:val="clear" w:color="auto" w:fill="CCEEFF"/>
          </w:tcPr>
          <w:p>
            <w:pPr>
              <w:jc w:val="right"/>
              <w:ind w:right="4269"/>
              <w:spacing w:after="0"/>
              <w:rPr>
                <w:sz w:val="20"/>
                <w:szCs w:val="20"/>
                <w:color w:val="auto"/>
              </w:rPr>
            </w:pPr>
            <w:r>
              <w:rPr>
                <w:rFonts w:ascii="Arial" w:cs="Arial" w:eastAsia="Arial" w:hAnsi="Arial"/>
                <w:sz w:val="14"/>
                <w:szCs w:val="14"/>
                <w:color w:val="auto"/>
                <w:w w:val="89"/>
              </w:rPr>
              <w:t>2026</w:t>
            </w:r>
          </w:p>
        </w:tc>
        <w:tc>
          <w:tcPr>
            <w:tcW w:w="536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r>
    </w:tbl>
    <w:p>
      <w:pPr>
        <w:spacing w:after="0" w:line="255"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color w:val="auto"/>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spacing w:after="0" w:line="153"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Quarterly distributions of available cash from the Permian JV to us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us. Upon termination of the MSA, quarterly distributions of available cash will be paid 65% to PAA and 35% to Oryx.</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MSA, distributions will be allocated as follows (in millions):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Available Cash</w:t>
            </w:r>
          </w:p>
        </w:tc>
        <w:tc>
          <w:tcPr>
            <w:tcW w:w="14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Distributions Percentages</w:t>
            </w:r>
          </w:p>
        </w:tc>
      </w:tr>
      <w:tr>
        <w:trPr>
          <w:trHeight w:val="169"/>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Tier</w:t>
            </w:r>
          </w:p>
        </w:tc>
        <w:tc>
          <w:tcPr>
            <w:tcW w:w="4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Annualized</w:t>
            </w:r>
          </w:p>
        </w:tc>
        <w:tc>
          <w:tcPr>
            <w:tcW w:w="1420" w:type="dxa"/>
            <w:vAlign w:val="bottom"/>
          </w:tcPr>
          <w:p>
            <w:pPr>
              <w:ind w:left="980"/>
              <w:spacing w:after="0"/>
              <w:rPr>
                <w:sz w:val="20"/>
                <w:szCs w:val="20"/>
                <w:color w:val="auto"/>
              </w:rPr>
            </w:pPr>
            <w:r>
              <w:rPr>
                <w:rFonts w:ascii="Arial" w:cs="Arial" w:eastAsia="Arial" w:hAnsi="Arial"/>
                <w:sz w:val="11"/>
                <w:szCs w:val="11"/>
                <w:b w:val="1"/>
                <w:bCs w:val="1"/>
                <w:color w:val="auto"/>
              </w:rPr>
              <w:t>PAA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960"/>
              <w:spacing w:after="0"/>
              <w:rPr>
                <w:sz w:val="20"/>
                <w:szCs w:val="20"/>
                <w:color w:val="auto"/>
              </w:rPr>
            </w:pPr>
            <w:r>
              <w:rPr>
                <w:rFonts w:ascii="Arial" w:cs="Arial" w:eastAsia="Arial" w:hAnsi="Arial"/>
                <w:sz w:val="11"/>
                <w:szCs w:val="11"/>
                <w:b w:val="1"/>
                <w:bCs w:val="1"/>
                <w:color w:val="auto"/>
              </w:rPr>
              <w:t>Oryx</w:t>
            </w:r>
          </w:p>
        </w:tc>
      </w:tr>
      <w:tr>
        <w:trPr>
          <w:trHeight w:val="171"/>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Up to $300</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ind w:left="692"/>
              <w:spacing w:after="0"/>
              <w:rPr>
                <w:sz w:val="20"/>
                <w:szCs w:val="20"/>
                <w:color w:val="auto"/>
              </w:rPr>
            </w:pPr>
            <w:r>
              <w:rPr>
                <w:rFonts w:ascii="Arial" w:cs="Arial" w:eastAsia="Arial" w:hAnsi="Arial"/>
                <w:sz w:val="14"/>
                <w:szCs w:val="14"/>
                <w:color w:val="auto"/>
                <w:w w:val="92"/>
              </w:rPr>
              <w:t>50%</w:t>
            </w: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50%</w:t>
            </w:r>
          </w:p>
        </w:tc>
      </w:tr>
      <w:tr>
        <w:trPr>
          <w:trHeight w:val="180"/>
        </w:trPr>
        <w:tc>
          <w:tcPr>
            <w:tcW w:w="218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400" w:type="dxa"/>
            <w:vAlign w:val="bottom"/>
          </w:tcPr>
          <w:p>
            <w:pPr>
              <w:jc w:val="center"/>
              <w:spacing w:after="0"/>
              <w:rPr>
                <w:sz w:val="20"/>
                <w:szCs w:val="20"/>
                <w:color w:val="auto"/>
              </w:rPr>
            </w:pPr>
            <w:r>
              <w:rPr>
                <w:rFonts w:ascii="Arial" w:cs="Arial" w:eastAsia="Arial" w:hAnsi="Arial"/>
                <w:sz w:val="14"/>
                <w:szCs w:val="14"/>
                <w:color w:val="auto"/>
                <w:w w:val="90"/>
              </w:rPr>
              <w:t>$300 - $428</w:t>
            </w:r>
          </w:p>
        </w:tc>
        <w:tc>
          <w:tcPr>
            <w:tcW w:w="100" w:type="dxa"/>
            <w:vAlign w:val="bottom"/>
          </w:tcPr>
          <w:p>
            <w:pPr>
              <w:spacing w:after="0"/>
              <w:rPr>
                <w:sz w:val="15"/>
                <w:szCs w:val="15"/>
                <w:color w:val="auto"/>
              </w:rPr>
            </w:pPr>
          </w:p>
        </w:tc>
        <w:tc>
          <w:tcPr>
            <w:tcW w:w="1420" w:type="dxa"/>
            <w:vAlign w:val="bottom"/>
          </w:tcPr>
          <w:p>
            <w:pPr>
              <w:jc w:val="center"/>
              <w:ind w:left="672"/>
              <w:spacing w:after="0"/>
              <w:rPr>
                <w:sz w:val="20"/>
                <w:szCs w:val="20"/>
                <w:color w:val="auto"/>
              </w:rPr>
            </w:pPr>
            <w:r>
              <w:rPr>
                <w:rFonts w:ascii="Arial" w:cs="Arial" w:eastAsia="Arial" w:hAnsi="Arial"/>
                <w:sz w:val="14"/>
                <w:szCs w:val="14"/>
                <w:color w:val="auto"/>
                <w:w w:val="89"/>
              </w:rPr>
              <w:t>100%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181"/>
        </w:trPr>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$428 - $815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ind w:left="692"/>
              <w:spacing w:after="0"/>
              <w:rPr>
                <w:sz w:val="20"/>
                <w:szCs w:val="20"/>
                <w:color w:val="auto"/>
              </w:rPr>
            </w:pPr>
            <w:r>
              <w:rPr>
                <w:rFonts w:ascii="Arial" w:cs="Arial" w:eastAsia="Arial" w:hAnsi="Arial"/>
                <w:sz w:val="14"/>
                <w:szCs w:val="14"/>
                <w:color w:val="auto"/>
                <w:w w:val="92"/>
              </w:rPr>
              <w:t>65%</w:t>
            </w:r>
          </w:p>
        </w:tc>
        <w:tc>
          <w:tcPr>
            <w:tcW w:w="3040" w:type="dxa"/>
            <w:vAlign w:val="bottom"/>
            <w:gridSpan w:val="3"/>
            <w:shd w:val="clear" w:color="auto" w:fill="CCEEFF"/>
          </w:tcPr>
          <w:p>
            <w:pPr>
              <w:ind w:left="1820"/>
              <w:spacing w:after="0"/>
              <w:rPr>
                <w:sz w:val="20"/>
                <w:szCs w:val="20"/>
                <w:color w:val="auto"/>
              </w:rPr>
            </w:pPr>
            <w:r>
              <w:rPr>
                <w:rFonts w:ascii="Arial" w:cs="Arial" w:eastAsia="Arial" w:hAnsi="Arial"/>
                <w:sz w:val="14"/>
                <w:szCs w:val="14"/>
                <w:color w:val="auto"/>
              </w:rPr>
              <w:t>35%</w:t>
            </w:r>
          </w:p>
        </w:tc>
      </w:tr>
      <w:tr>
        <w:trPr>
          <w:trHeight w:val="180"/>
        </w:trPr>
        <w:tc>
          <w:tcPr>
            <w:tcW w:w="2180" w:type="dxa"/>
            <w:vAlign w:val="bottom"/>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$815 and above</w:t>
            </w:r>
          </w:p>
        </w:tc>
        <w:tc>
          <w:tcPr>
            <w:tcW w:w="1420" w:type="dxa"/>
            <w:vAlign w:val="bottom"/>
          </w:tcPr>
          <w:p>
            <w:pPr>
              <w:jc w:val="center"/>
              <w:ind w:left="692"/>
              <w:spacing w:after="0"/>
              <w:rPr>
                <w:sz w:val="20"/>
                <w:szCs w:val="20"/>
                <w:color w:val="auto"/>
              </w:rPr>
            </w:pPr>
            <w:r>
              <w:rPr>
                <w:rFonts w:ascii="Arial" w:cs="Arial" w:eastAsia="Arial" w:hAnsi="Arial"/>
                <w:sz w:val="14"/>
                <w:szCs w:val="14"/>
                <w:color w:val="auto"/>
                <w:w w:val="92"/>
              </w:rPr>
              <w:t>70%</w:t>
            </w:r>
          </w:p>
        </w:tc>
        <w:tc>
          <w:tcPr>
            <w:tcW w:w="3040" w:type="dxa"/>
            <w:vAlign w:val="bottom"/>
            <w:gridSpan w:val="3"/>
          </w:tcPr>
          <w:p>
            <w:pPr>
              <w:ind w:left="1820"/>
              <w:spacing w:after="0"/>
              <w:rPr>
                <w:sz w:val="20"/>
                <w:szCs w:val="20"/>
                <w:color w:val="auto"/>
              </w:rPr>
            </w:pPr>
            <w:r>
              <w:rPr>
                <w:rFonts w:ascii="Arial" w:cs="Arial" w:eastAsia="Arial" w:hAnsi="Arial"/>
                <w:sz w:val="14"/>
                <w:szCs w:val="14"/>
                <w:color w:val="auto"/>
              </w:rPr>
              <w:t>30%</w:t>
            </w:r>
          </w:p>
        </w:tc>
      </w:tr>
    </w:tbl>
    <w:p>
      <w:pPr>
        <w:spacing w:after="0" w:line="244"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Oryx Midstream is a portfolio company of Stonepeak Infrastructure Partners (“Stonepeak”). Affiliates of Stonepeak own approximately 8.9% of our outstanding Series A preferred units, which equates to less than 1% of our outstanding common units and Series A preferred units (our “common unit equivalents”) combined.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 Forma and Other Financial Results</w:t>
      </w:r>
    </w:p>
    <w:p>
      <w:pPr>
        <w:spacing w:after="0" w:line="200"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PAA and Oryx Midstream, and gives effect to the joint venture formation as if it had occurred on January 1, 2020.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2020; furthermore, this financial information is not intended to be a projection of future results (in millions, except per unit amounts):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0" w:name="page141"/>
    <w:bookmarkEnd w:id="1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60" w:type="dxa"/>
            <w:vAlign w:val="bottom"/>
            <w:tcBorders>
              <w:bottom w:val="single" w:sz="8" w:color="auto"/>
            </w:tcBorders>
          </w:tcPr>
          <w:p>
            <w:pPr>
              <w:spacing w:after="0"/>
              <w:rPr>
                <w:sz w:val="13"/>
                <w:szCs w:val="13"/>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89"/>
              </w:rPr>
              <w:t>2020</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Net income/(loss) attributable to PAA</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(2,898)</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income/(loss) allocated to common unitholders</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Basic and diluted net income/(loss) per common unit</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(4.26)</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Exchange</w:t>
      </w:r>
    </w:p>
    <w:p>
      <w:pPr>
        <w:spacing w:after="0" w:line="200" w:lineRule="exact"/>
        <w:rPr>
          <w:sz w:val="20"/>
          <w:szCs w:val="20"/>
          <w:color w:val="auto"/>
        </w:rPr>
      </w:pPr>
    </w:p>
    <w:p>
      <w:pPr>
        <w:ind w:right="200" w:firstLine="509"/>
        <w:spacing w:after="0" w:line="280" w:lineRule="auto"/>
        <w:rPr>
          <w:sz w:val="20"/>
          <w:szCs w:val="20"/>
          <w:color w:val="auto"/>
        </w:rPr>
      </w:pPr>
      <w:r>
        <w:rPr>
          <w:rFonts w:ascii="Arial" w:cs="Arial" w:eastAsia="Arial" w:hAnsi="Arial"/>
          <w:sz w:val="13"/>
          <w:szCs w:val="13"/>
          <w:color w:val="auto"/>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200" w:lineRule="exact"/>
        <w:rPr>
          <w:sz w:val="20"/>
          <w:szCs w:val="20"/>
          <w:color w:val="auto"/>
        </w:rPr>
      </w:pPr>
    </w:p>
    <w:p>
      <w:pPr>
        <w:ind w:right="80" w:firstLine="509"/>
        <w:spacing w:after="0" w:line="279" w:lineRule="auto"/>
        <w:rPr>
          <w:sz w:val="20"/>
          <w:szCs w:val="20"/>
          <w:color w:val="auto"/>
        </w:rPr>
      </w:pPr>
      <w:r>
        <w:rPr>
          <w:rFonts w:ascii="Arial" w:cs="Arial" w:eastAsia="Arial" w:hAnsi="Arial"/>
          <w:sz w:val="13"/>
          <w:szCs w:val="13"/>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Crude Oil segment.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of $115 million and intangible assets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159"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During the second quarter of 2019, we acquired a crude oil terminal, including tank bottoms and linefill, in Cushing, Oklahoma for cash consideration of $44 million, which was accounted for as an asset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20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year ended December 31, 2020, we received cash proceeds of $451 million, primarily from the sale of:</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1" w:name="page142"/>
    <w:bookmarkEnd w:id="1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60" w:hanging="246"/>
        <w:spacing w:after="0"/>
        <w:tabs>
          <w:tab w:leader="none" w:pos="7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certain Los Angeles Basin crude oil terminals previously included in our Crude Oil segment for proceeds of approximately $200 million, subject to certain adjustments;</w:t>
      </w:r>
    </w:p>
    <w:p>
      <w:pPr>
        <w:spacing w:after="0" w:line="157"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certain NGL terminals previously included in our NGL segment for proceeds of approximately $163 million (including $22 million related to a multi-year supply agreement related to the sale), subject to certain adjustments; and</w:t>
      </w:r>
    </w:p>
    <w:p>
      <w:pPr>
        <w:spacing w:after="0" w:line="100"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a 10% ownership interest in Saddlehorn Pipeline Company, LLC (“Saddlehorn”) for proceeds of approximately $78 million, including working capital adjustments (see Note 9 for additional information).</w:t>
      </w:r>
    </w:p>
    <w:p>
      <w:pPr>
        <w:spacing w:after="0" w:line="15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We recognized a loss related to these assets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153"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During the year ended December 31, 2019, we sold certain non-core assets for total proceeds of $77 million that primarily consisted of a storage terminal in North Dakota, which is reflected in our Crude Oil segment for the period prior to the sale. For the year ended December 31, 2019, we recognized a net loss related to these asset sales of $16 million, which is comprised of gains of $31 million and losses of $47 million. Such amounts are included in “(Gains)/losses on asset sales and asset impairments, net” on our Consolidated Statement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8—Goodwill</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Goodwill represents the future economic benefits arising from assets acquired in a business combination that are not individually identified and separately recognized.</w:t>
      </w:r>
    </w:p>
    <w:p>
      <w:pPr>
        <w:spacing w:after="0" w:line="200" w:lineRule="exact"/>
        <w:rPr>
          <w:sz w:val="20"/>
          <w:szCs w:val="20"/>
          <w:color w:val="auto"/>
        </w:rPr>
      </w:pPr>
    </w:p>
    <w:p>
      <w:pPr>
        <w:jc w:val="both"/>
        <w:ind w:right="80" w:firstLine="509"/>
        <w:spacing w:after="0" w:line="278" w:lineRule="auto"/>
        <w:rPr>
          <w:sz w:val="20"/>
          <w:szCs w:val="20"/>
          <w:color w:val="auto"/>
        </w:rPr>
      </w:pPr>
      <w:r>
        <w:rPr>
          <w:rFonts w:ascii="Arial" w:cs="Arial" w:eastAsia="Arial" w:hAnsi="Arial"/>
          <w:sz w:val="13"/>
          <w:szCs w:val="13"/>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w:t>
      </w:r>
    </w:p>
    <w:p>
      <w:pPr>
        <w:spacing w:after="0" w:line="255" w:lineRule="auto"/>
        <w:rPr>
          <w:sz w:val="20"/>
          <w:szCs w:val="20"/>
          <w:color w:val="auto"/>
        </w:rPr>
      </w:pPr>
      <w:r>
        <w:rPr>
          <w:rFonts w:ascii="Arial" w:cs="Arial" w:eastAsia="Arial" w:hAnsi="Arial"/>
          <w:sz w:val="14"/>
          <w:szCs w:val="14"/>
          <w:color w:val="auto"/>
        </w:rPr>
        <w:t>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model.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42" w:name="page143"/>
    <w:bookmarkEnd w:id="1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509"/>
        <w:spacing w:after="0" w:line="276" w:lineRule="auto"/>
        <w:rPr>
          <w:sz w:val="20"/>
          <w:szCs w:val="20"/>
          <w:color w:val="auto"/>
        </w:rPr>
      </w:pPr>
      <w:r>
        <w:rPr>
          <w:rFonts w:ascii="Arial" w:cs="Arial" w:eastAsia="Arial" w:hAnsi="Arial"/>
          <w:sz w:val="13"/>
          <w:szCs w:val="13"/>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as of March 31, 2020.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As a result of the impairment test, we concluded that the carrying value of each of our reporting units exceeded their respective fair values, resulting in a goodwill impairment charge for the entire goodwill balance for each reporting unit. Prior to the year ended December 31, 2020, we did not recognize any impairments of goodwill.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Goodwill by segment and changes in goodwill is reflected in the following table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Crude Oil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NGL</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vMerge w:val="restart"/>
          </w:tcPr>
          <w:p>
            <w:pPr>
              <w:ind w:left="200"/>
              <w:spacing w:after="0"/>
              <w:rPr>
                <w:sz w:val="20"/>
                <w:szCs w:val="20"/>
                <w:color w:val="auto"/>
              </w:rPr>
            </w:pPr>
            <w:r>
              <w:rPr>
                <w:rFonts w:ascii="Arial" w:cs="Arial" w:eastAsia="Arial" w:hAnsi="Arial"/>
                <w:sz w:val="14"/>
                <w:szCs w:val="14"/>
                <w:color w:val="auto"/>
              </w:rPr>
              <w:t>Acquisitions</w:t>
            </w: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tcBorders>
              <w:top w:val="single" w:sz="8" w:color="CCEEFF"/>
              <w:bottom w:val="single" w:sz="8" w:color="CCEEFF"/>
            </w:tcBorders>
            <w:vMerge w:val="continue"/>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gross</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4"/>
                <w:szCs w:val="14"/>
                <w:color w:val="auto"/>
              </w:rPr>
              <w:t>Impairments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90"/>
              </w:rPr>
              <w:t>(2,287)</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181"/>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impairment losses</w:t>
            </w: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(2,302)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9—Investments in Unconsolidated Entities</w:t>
      </w:r>
    </w:p>
    <w:p>
      <w:pPr>
        <w:spacing w:after="0" w:line="20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3" w:name="page144"/>
    <w:bookmarkEnd w:id="1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investments in unconsolidated entities consisted of the following (in millions, except percentage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Ownership</w:t>
            </w:r>
          </w:p>
        </w:tc>
        <w:tc>
          <w:tcPr>
            <w:tcW w:w="280" w:type="dxa"/>
            <w:vAlign w:val="bottom"/>
          </w:tcPr>
          <w:p>
            <w:pPr>
              <w:spacing w:after="0"/>
              <w:rPr>
                <w:sz w:val="10"/>
                <w:szCs w:val="10"/>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Investment Balance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w w:val="93"/>
              </w:rPr>
              <w:t>Interest at December</w:t>
            </w:r>
          </w:p>
        </w:tc>
        <w:tc>
          <w:tcPr>
            <w:tcW w:w="28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3"/>
            <w:vMerge w:val="restart"/>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60" w:type="dxa"/>
            <w:vAlign w:val="bottom"/>
            <w:gridSpan w:val="2"/>
          </w:tcPr>
          <w:p>
            <w:pPr>
              <w:jc w:val="center"/>
              <w:ind w:left="13"/>
              <w:spacing w:after="0" w:line="83" w:lineRule="exact"/>
              <w:rPr>
                <w:sz w:val="20"/>
                <w:szCs w:val="20"/>
                <w:color w:val="auto"/>
              </w:rPr>
            </w:pPr>
            <w:r>
              <w:rPr>
                <w:rFonts w:ascii="Arial" w:cs="Arial" w:eastAsia="Arial" w:hAnsi="Arial"/>
                <w:sz w:val="9"/>
                <w:szCs w:val="9"/>
                <w:b w:val="1"/>
                <w:bCs w:val="1"/>
                <w:color w:val="auto"/>
              </w:rPr>
              <w:t>31,</w:t>
            </w:r>
          </w:p>
        </w:tc>
        <w:tc>
          <w:tcPr>
            <w:tcW w:w="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gridSpan w:val="3"/>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940" w:type="dxa"/>
            <w:vAlign w:val="bottom"/>
            <w:gridSpan w:val="3"/>
          </w:tcPr>
          <w:p>
            <w:pPr>
              <w:spacing w:after="0" w:line="151" w:lineRule="exact"/>
              <w:rPr>
                <w:sz w:val="20"/>
                <w:szCs w:val="20"/>
                <w:color w:val="auto"/>
              </w:rPr>
            </w:pPr>
            <w:r>
              <w:rPr>
                <w:rFonts w:ascii="Arial" w:cs="Arial" w:eastAsia="Arial" w:hAnsi="Arial"/>
                <w:sz w:val="11"/>
                <w:szCs w:val="11"/>
                <w:b w:val="1"/>
                <w:bCs w:val="1"/>
                <w:color w:val="auto"/>
              </w:rPr>
              <w:t xml:space="preserve">Entity </w:t>
            </w:r>
            <w:r>
              <w:rPr>
                <w:rFonts w:ascii="Arial" w:cs="Arial" w:eastAsia="Arial" w:hAnsi="Arial"/>
                <w:sz w:val="14"/>
                <w:szCs w:val="14"/>
                <w:b w:val="1"/>
                <w:bCs w:val="1"/>
                <w:color w:val="auto"/>
                <w:vertAlign w:val="superscript"/>
              </w:rPr>
              <w:t>(1)</w:t>
            </w:r>
          </w:p>
        </w:tc>
        <w:tc>
          <w:tcPr>
            <w:tcW w:w="2440" w:type="dxa"/>
            <w:vAlign w:val="bottom"/>
          </w:tcPr>
          <w:p>
            <w:pPr>
              <w:jc w:val="center"/>
              <w:spacing w:after="0"/>
              <w:rPr>
                <w:sz w:val="20"/>
                <w:szCs w:val="20"/>
                <w:color w:val="auto"/>
              </w:rPr>
            </w:pPr>
            <w:r>
              <w:rPr>
                <w:rFonts w:ascii="Arial" w:cs="Arial" w:eastAsia="Arial" w:hAnsi="Arial"/>
                <w:sz w:val="11"/>
                <w:szCs w:val="11"/>
                <w:b w:val="1"/>
                <w:bCs w:val="1"/>
                <w:color w:val="auto"/>
                <w:w w:val="95"/>
              </w:rPr>
              <w:t>Type of Operation</w:t>
            </w:r>
          </w:p>
        </w:tc>
        <w:tc>
          <w:tcPr>
            <w:tcW w:w="1260" w:type="dxa"/>
            <w:vAlign w:val="bottom"/>
            <w:gridSpan w:val="2"/>
          </w:tcPr>
          <w:p>
            <w:pPr>
              <w:jc w:val="center"/>
              <w:ind w:left="1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410"/>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BridgeTex Pipeline Company, LLC (“BridgeTex”)</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Cactus II Pipeline LLC (“Cactus II”)</w:t>
            </w: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Capline Pipeline Company LLC</w:t>
            </w:r>
          </w:p>
        </w:tc>
        <w:tc>
          <w:tcPr>
            <w:tcW w:w="2440" w:type="dxa"/>
            <w:vAlign w:val="bottom"/>
            <w:shd w:val="clear" w:color="auto" w:fill="CCEEFF"/>
          </w:tcPr>
          <w:p>
            <w:pPr>
              <w:jc w:val="center"/>
              <w:spacing w:after="0" w:line="181" w:lineRule="exact"/>
              <w:rPr>
                <w:sz w:val="20"/>
                <w:szCs w:val="20"/>
                <w:color w:val="auto"/>
              </w:rPr>
            </w:pPr>
            <w:r>
              <w:rPr>
                <w:rFonts w:ascii="Arial" w:cs="Arial" w:eastAsia="Arial" w:hAnsi="Arial"/>
                <w:sz w:val="14"/>
                <w:szCs w:val="14"/>
                <w:color w:val="auto"/>
                <w:w w:val="92"/>
              </w:rPr>
              <w:t xml:space="preserve">Crude Oil Pipeline </w:t>
            </w:r>
            <w:r>
              <w:rPr>
                <w:rFonts w:ascii="Arial" w:cs="Arial" w:eastAsia="Arial" w:hAnsi="Arial"/>
                <w:sz w:val="18"/>
                <w:szCs w:val="18"/>
                <w:color w:val="auto"/>
                <w:w w:val="92"/>
                <w:vertAlign w:val="superscript"/>
              </w:rPr>
              <w:t>(2)</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Diamond Pipeline LLC (“Diamond”)</w:t>
            </w: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Eagle Ford Pipeline LLC (“Eagle Ford Pipeline”)</w:t>
            </w:r>
          </w:p>
        </w:tc>
        <w:tc>
          <w:tcPr>
            <w:tcW w:w="2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Eagle Ford Terminals Corpus Christi LLC (“Eagle Ford Terminals”)</w:t>
            </w:r>
          </w:p>
        </w:tc>
        <w:tc>
          <w:tcPr>
            <w:tcW w:w="2440" w:type="dxa"/>
            <w:vAlign w:val="bottom"/>
          </w:tcPr>
          <w:p>
            <w:pPr>
              <w:jc w:val="center"/>
              <w:spacing w:after="0"/>
              <w:rPr>
                <w:sz w:val="20"/>
                <w:szCs w:val="20"/>
                <w:color w:val="auto"/>
              </w:rPr>
            </w:pPr>
            <w:r>
              <w:rPr>
                <w:rFonts w:ascii="Arial" w:cs="Arial" w:eastAsia="Arial" w:hAnsi="Arial"/>
                <w:sz w:val="14"/>
                <w:szCs w:val="14"/>
                <w:color w:val="auto"/>
                <w:w w:val="94"/>
              </w:rPr>
              <w:t>Crude Oil Terminal and Dock</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line="181" w:lineRule="exact"/>
              <w:rPr>
                <w:sz w:val="20"/>
                <w:szCs w:val="20"/>
                <w:color w:val="auto"/>
              </w:rPr>
            </w:pPr>
            <w:r>
              <w:rPr>
                <w:rFonts w:ascii="Arial" w:cs="Arial" w:eastAsia="Arial" w:hAnsi="Arial"/>
                <w:sz w:val="14"/>
                <w:szCs w:val="14"/>
                <w:color w:val="auto"/>
              </w:rPr>
              <w:t xml:space="preserve">OMOG JV LLC </w:t>
            </w:r>
            <w:r>
              <w:rPr>
                <w:rFonts w:ascii="Arial" w:cs="Arial" w:eastAsia="Arial" w:hAnsi="Arial"/>
                <w:sz w:val="18"/>
                <w:szCs w:val="18"/>
                <w:color w:val="auto"/>
                <w:vertAlign w:val="superscript"/>
              </w:rPr>
              <w:t>(3)</w:t>
            </w:r>
          </w:p>
        </w:tc>
        <w:tc>
          <w:tcPr>
            <w:tcW w:w="2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Saddlehorn</w:t>
            </w: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White Cliffs Pipeline, LLC</w:t>
            </w:r>
          </w:p>
        </w:tc>
        <w:tc>
          <w:tcPr>
            <w:tcW w:w="2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line="181" w:lineRule="exact"/>
              <w:rPr>
                <w:sz w:val="20"/>
                <w:szCs w:val="20"/>
                <w:color w:val="auto"/>
              </w:rPr>
            </w:pPr>
            <w:r>
              <w:rPr>
                <w:rFonts w:ascii="Arial" w:cs="Arial" w:eastAsia="Arial" w:hAnsi="Arial"/>
                <w:sz w:val="14"/>
                <w:szCs w:val="14"/>
                <w:color w:val="auto"/>
              </w:rPr>
              <w:t xml:space="preserve">Wink to Webster Pipeline LLC (“W2W Pipeline”) </w:t>
            </w:r>
            <w:r>
              <w:rPr>
                <w:rFonts w:ascii="Arial" w:cs="Arial" w:eastAsia="Arial" w:hAnsi="Arial"/>
                <w:sz w:val="18"/>
                <w:szCs w:val="18"/>
                <w:color w:val="auto"/>
                <w:vertAlign w:val="superscript"/>
              </w:rPr>
              <w:t>(4)</w:t>
            </w:r>
          </w:p>
        </w:tc>
        <w:tc>
          <w:tcPr>
            <w:tcW w:w="2440" w:type="dxa"/>
            <w:vAlign w:val="bottom"/>
          </w:tcPr>
          <w:p>
            <w:pPr>
              <w:jc w:val="center"/>
              <w:spacing w:after="0" w:line="181" w:lineRule="exact"/>
              <w:rPr>
                <w:sz w:val="20"/>
                <w:szCs w:val="20"/>
                <w:color w:val="auto"/>
              </w:rPr>
            </w:pPr>
            <w:r>
              <w:rPr>
                <w:rFonts w:ascii="Arial" w:cs="Arial" w:eastAsia="Arial" w:hAnsi="Arial"/>
                <w:sz w:val="14"/>
                <w:szCs w:val="14"/>
                <w:color w:val="auto"/>
                <w:w w:val="92"/>
              </w:rPr>
              <w:t xml:space="preserve">Crude Oil Pipeline </w:t>
            </w:r>
            <w:r>
              <w:rPr>
                <w:rFonts w:ascii="Arial" w:cs="Arial" w:eastAsia="Arial" w:hAnsi="Arial"/>
                <w:sz w:val="18"/>
                <w:szCs w:val="18"/>
                <w:color w:val="auto"/>
                <w:w w:val="92"/>
                <w:vertAlign w:val="superscript"/>
              </w:rPr>
              <w:t>(5)</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investments</w:t>
            </w:r>
          </w:p>
        </w:tc>
        <w:tc>
          <w:tcPr>
            <w:tcW w:w="2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940" w:type="dxa"/>
            <w:vAlign w:val="bottom"/>
            <w:gridSpan w:val="3"/>
          </w:tcPr>
          <w:p>
            <w:pPr>
              <w:ind w:left="160"/>
              <w:spacing w:after="0"/>
              <w:rPr>
                <w:sz w:val="20"/>
                <w:szCs w:val="20"/>
                <w:color w:val="auto"/>
              </w:rPr>
            </w:pPr>
            <w:r>
              <w:rPr>
                <w:rFonts w:ascii="Arial" w:cs="Arial" w:eastAsia="Arial" w:hAnsi="Arial"/>
                <w:sz w:val="14"/>
                <w:szCs w:val="14"/>
                <w:color w:val="auto"/>
              </w:rPr>
              <w:t>Total Investments in Unconsolidated Entities</w:t>
            </w: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The financial results from these entities are reported in our Crude Oil segment.</w:t>
      </w:r>
    </w:p>
    <w:p>
      <w:pPr>
        <w:spacing w:after="0" w:line="74" w:lineRule="exact"/>
        <w:rPr>
          <w:rFonts w:ascii="Arial" w:cs="Arial" w:eastAsia="Arial" w:hAnsi="Arial"/>
          <w:sz w:val="18"/>
          <w:szCs w:val="18"/>
          <w:color w:val="auto"/>
          <w:vertAlign w:val="superscript"/>
        </w:rPr>
      </w:pPr>
    </w:p>
    <w:p>
      <w:pPr>
        <w:ind w:left="520" w:right="260" w:hanging="515"/>
        <w:spacing w:after="0" w:line="228" w:lineRule="auto"/>
        <w:tabs>
          <w:tab w:leader="none" w:pos="51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The Capline pipeline was out of service during 2020 and a majority of 2021 pending the reversal of the pipeline system. The pipeline reversal project was completed with interim service beginning in mid-December 2021 and full service beginning in January 2022.</w:t>
      </w:r>
    </w:p>
    <w:p>
      <w:pPr>
        <w:spacing w:after="0" w:line="5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0"/>
        </w:numPr>
        <w:rPr>
          <w:rFonts w:ascii="Arial" w:cs="Arial" w:eastAsia="Arial" w:hAnsi="Arial"/>
          <w:sz w:val="17"/>
          <w:szCs w:val="17"/>
          <w:color w:val="auto"/>
          <w:vertAlign w:val="superscript"/>
        </w:rPr>
      </w:pPr>
      <w:r>
        <w:rPr>
          <w:rFonts w:ascii="Arial" w:cs="Arial" w:eastAsia="Arial" w:hAnsi="Arial"/>
          <w:sz w:val="13"/>
          <w:szCs w:val="13"/>
          <w:color w:val="auto"/>
        </w:rPr>
        <w:t>Our ownership in this entity was acquired as part of the assets contributed by Oryx Midstream in the formation of the Permian JV in October 2021. See Note 7 for additional information.</w:t>
      </w:r>
    </w:p>
    <w:p>
      <w:pPr>
        <w:spacing w:after="0" w:line="74" w:lineRule="exact"/>
        <w:rPr>
          <w:rFonts w:ascii="Arial" w:cs="Arial" w:eastAsia="Arial" w:hAnsi="Arial"/>
          <w:sz w:val="17"/>
          <w:szCs w:val="17"/>
          <w:color w:val="auto"/>
          <w:vertAlign w:val="superscript"/>
        </w:rPr>
      </w:pPr>
    </w:p>
    <w:p>
      <w:pPr>
        <w:ind w:left="520" w:right="40" w:hanging="515"/>
        <w:spacing w:after="0" w:line="228" w:lineRule="auto"/>
        <w:tabs>
          <w:tab w:leader="none" w:pos="51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Although we own less than 20% of W2W Pipeline, we use the equity method to account for the investment because we believe we have significant influence over the financial and operating decisions of the company.</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The pipeline system was in partial service during 2021 and another phase of the pipeline construction project was completed in the first quarter of 2022.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Impairments</w:t>
      </w:r>
    </w:p>
    <w:p>
      <w:pPr>
        <w:spacing w:after="0" w:line="200" w:lineRule="exact"/>
        <w:rPr>
          <w:sz w:val="20"/>
          <w:szCs w:val="20"/>
          <w:color w:val="auto"/>
        </w:rPr>
      </w:pPr>
    </w:p>
    <w:p>
      <w:pPr>
        <w:ind w:right="380" w:firstLine="509"/>
        <w:spacing w:after="0" w:line="265" w:lineRule="auto"/>
        <w:rPr>
          <w:sz w:val="20"/>
          <w:szCs w:val="20"/>
          <w:color w:val="auto"/>
        </w:rPr>
      </w:pPr>
      <w:r>
        <w:rPr>
          <w:rFonts w:ascii="Arial" w:cs="Arial" w:eastAsia="Arial" w:hAnsi="Arial"/>
          <w:sz w:val="14"/>
          <w:szCs w:val="14"/>
          <w:color w:val="auto"/>
        </w:rPr>
        <w:t>During the year ended December 31, 2020, we recognized losses as a result of the write-down of certain of our investments in unconsolidated entities, as discussed further below. Such amounts are reflected in “Gain on/(impairment of) investments in unconsolidated entities, net” on our Consolidated Statement of Operations.</w:t>
      </w:r>
    </w:p>
    <w:p>
      <w:pPr>
        <w:spacing w:after="0" w:line="154"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i w:val="1"/>
          <w:iCs w:val="1"/>
          <w:color w:val="auto"/>
        </w:rPr>
        <w:t xml:space="preserve">STACK. </w:t>
      </w:r>
      <w:r>
        <w:rPr>
          <w:rFonts w:ascii="Arial" w:cs="Arial" w:eastAsia="Arial" w:hAnsi="Arial"/>
          <w:sz w:val="14"/>
          <w:szCs w:val="14"/>
          <w:color w:val="auto"/>
        </w:rPr>
        <w:t>During the third quarter of 2020, we determined that there was an other-than-temporary impairment of our investment in STACK Pipeline LLC as a result of a continued decline of</w:t>
      </w:r>
      <w:r>
        <w:rPr>
          <w:rFonts w:ascii="Arial" w:cs="Arial" w:eastAsia="Arial" w:hAnsi="Arial"/>
          <w:sz w:val="14"/>
          <w:szCs w:val="14"/>
          <w:i w:val="1"/>
          <w:iCs w:val="1"/>
          <w:color w:val="auto"/>
        </w:rPr>
        <w:t xml:space="preserve"> </w:t>
      </w:r>
      <w:r>
        <w:rPr>
          <w:rFonts w:ascii="Arial" w:cs="Arial" w:eastAsia="Arial" w:hAnsi="Arial"/>
          <w:sz w:val="14"/>
          <w:szCs w:val="14"/>
          <w:color w:val="auto"/>
        </w:rPr>
        <w:t>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7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i w:val="1"/>
          <w:iCs w:val="1"/>
          <w:color w:val="auto"/>
        </w:rPr>
        <w:t>Red Oak</w:t>
      </w:r>
      <w:r>
        <w:rPr>
          <w:rFonts w:ascii="Arial" w:cs="Arial" w:eastAsia="Arial" w:hAnsi="Arial"/>
          <w:sz w:val="14"/>
          <w:szCs w:val="14"/>
          <w:color w:val="auto"/>
        </w:rPr>
        <w:t>. In June 2019, we formed Red Oak Pipeline LLC (“Red Oak”), a joint venture with a subsidiary of Phillips 66 and in which we own a 50% interest, to develop a new crude oil</w:t>
      </w:r>
      <w:r>
        <w:rPr>
          <w:rFonts w:ascii="Arial" w:cs="Arial" w:eastAsia="Arial" w:hAnsi="Arial"/>
          <w:sz w:val="14"/>
          <w:szCs w:val="14"/>
          <w:i w:val="1"/>
          <w:iCs w:val="1"/>
          <w:color w:val="auto"/>
        </w:rPr>
        <w:t xml:space="preserve"> </w:t>
      </w:r>
      <w:r>
        <w:rPr>
          <w:rFonts w:ascii="Arial" w:cs="Arial" w:eastAsia="Arial" w:hAnsi="Arial"/>
          <w:sz w:val="14"/>
          <w:szCs w:val="14"/>
          <w:color w:val="auto"/>
        </w:rPr>
        <w:t>pipeline project. In 2020, the partners of Red Oak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144" w:name="page145"/>
    <w:bookmarkEnd w:id="1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firstLine="509"/>
        <w:spacing w:after="0" w:line="265" w:lineRule="auto"/>
        <w:rPr>
          <w:sz w:val="20"/>
          <w:szCs w:val="20"/>
          <w:color w:val="auto"/>
        </w:rPr>
      </w:pPr>
      <w:r>
        <w:rPr>
          <w:rFonts w:ascii="Arial" w:cs="Arial" w:eastAsia="Arial" w:hAnsi="Arial"/>
          <w:sz w:val="14"/>
          <w:szCs w:val="14"/>
          <w:i w:val="1"/>
          <w:iCs w:val="1"/>
          <w:color w:val="auto"/>
        </w:rPr>
        <w:t xml:space="preserve">Other investments. </w:t>
      </w:r>
      <w:r>
        <w:rPr>
          <w:rFonts w:ascii="Arial" w:cs="Arial" w:eastAsia="Arial" w:hAnsi="Arial"/>
          <w:sz w:val="14"/>
          <w:szCs w:val="14"/>
          <w:color w:val="auto"/>
        </w:rPr>
        <w:t>During the first quarter of 2020, we also recognized a loss of $43 million related to the write-down of certain of our investments included in “Other investments”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table above due to an other-than-temporary impairment related to a decline in market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Formations</w:t>
      </w:r>
    </w:p>
    <w:p>
      <w:pPr>
        <w:spacing w:after="0" w:line="189" w:lineRule="exact"/>
        <w:rPr>
          <w:sz w:val="20"/>
          <w:szCs w:val="20"/>
          <w:color w:val="auto"/>
        </w:rPr>
      </w:pPr>
    </w:p>
    <w:p>
      <w:pPr>
        <w:jc w:val="both"/>
        <w:ind w:right="120" w:firstLine="509"/>
        <w:spacing w:after="0" w:line="288" w:lineRule="auto"/>
        <w:rPr>
          <w:sz w:val="20"/>
          <w:szCs w:val="20"/>
          <w:color w:val="auto"/>
        </w:rPr>
      </w:pPr>
      <w:r>
        <w:rPr>
          <w:rFonts w:ascii="Arial" w:cs="Arial" w:eastAsia="Arial" w:hAnsi="Arial"/>
          <w:sz w:val="13"/>
          <w:szCs w:val="13"/>
          <w:i w:val="1"/>
          <w:iCs w:val="1"/>
          <w:color w:val="auto"/>
        </w:rPr>
        <w:t>Capline LLC</w:t>
      </w:r>
      <w:r>
        <w:rPr>
          <w:rFonts w:ascii="Arial" w:cs="Arial" w:eastAsia="Arial" w:hAnsi="Arial"/>
          <w:sz w:val="13"/>
          <w:szCs w:val="13"/>
          <w:color w:val="auto"/>
        </w:rPr>
        <w:t>. During the first quarter of 2019, the owners of the Capline pipeline system contributed their undivided joint interests in the system to a newly formed entity, Capline Pipeline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52" w:lineRule="exact"/>
        <w:rPr>
          <w:sz w:val="20"/>
          <w:szCs w:val="20"/>
          <w:color w:val="auto"/>
        </w:rPr>
      </w:pPr>
    </w:p>
    <w:p>
      <w:pPr>
        <w:ind w:right="80" w:firstLine="509"/>
        <w:spacing w:after="0" w:line="278" w:lineRule="auto"/>
        <w:rPr>
          <w:sz w:val="20"/>
          <w:szCs w:val="20"/>
          <w:color w:val="auto"/>
        </w:rPr>
      </w:pPr>
      <w:r>
        <w:rPr>
          <w:rFonts w:ascii="Arial" w:cs="Arial" w:eastAsia="Arial" w:hAnsi="Arial"/>
          <w:sz w:val="13"/>
          <w:szCs w:val="13"/>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Crude Oil segment. We determined the fair value of our investment in Capline LLC to be approximately</w:t>
      </w:r>
    </w:p>
    <w:p>
      <w:pPr>
        <w:spacing w:after="0" w:line="266" w:lineRule="auto"/>
        <w:rPr>
          <w:sz w:val="20"/>
          <w:szCs w:val="20"/>
          <w:color w:val="auto"/>
        </w:rPr>
      </w:pPr>
      <w:r>
        <w:rPr>
          <w:rFonts w:ascii="Arial" w:cs="Arial" w:eastAsia="Arial" w:hAnsi="Arial"/>
          <w:sz w:val="14"/>
          <w:szCs w:val="14"/>
          <w:color w:val="auto"/>
        </w:rPr>
        <w:t>$444 million, resulting in the recognition of a gain of $269 million during the year ended December 31, 2019. Such gain is included in “Gain on/(impairment of) investment in unconsolidated entities, net” on our Consolidated Statement of Operations.</w:t>
      </w:r>
    </w:p>
    <w:p>
      <w:pPr>
        <w:spacing w:after="0" w:line="163"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The fair value of our investment in Capline LLC was based on an income approach utilizing a discounted cash flow analysis. The cash flow forecasts require the use of various assumptions and estimates which include those related to the timing and amount of capital expenditures, the expected tariff rates and volumes of crude oil, and the terminal value. We probability-weighted various forecasted cash flow scenarios utilized in the analysis when we considered the possible outcomes. We used a discount rate representing our estimate of the risk adjusted discount rate that would be used by market participants.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20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i w:val="1"/>
          <w:iCs w:val="1"/>
          <w:color w:val="auto"/>
        </w:rPr>
        <w:t xml:space="preserve">Saddlehorn. </w:t>
      </w:r>
      <w:r>
        <w:rPr>
          <w:rFonts w:ascii="Arial" w:cs="Arial" w:eastAsia="Arial" w:hAnsi="Arial"/>
          <w:sz w:val="14"/>
          <w:szCs w:val="14"/>
          <w:color w:val="auto"/>
        </w:rPr>
        <w:t>In February 2020, we sold a 10% ownership interest in Saddlehorn for proceeds of approximately $78 million and have retained a 30% ownership interest. We recorded a gain of</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$21 million related to this sale, which is included in “Gain on/(impairment of) investments in unconsolidated entities, net” on our Consolidated Statement of Operations. We continue to account for our remaining interest under the equity method of accounting.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0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Contributions</w:t>
      </w:r>
    </w:p>
    <w:p>
      <w:pPr>
        <w:spacing w:after="0" w:line="200" w:lineRule="exact"/>
        <w:rPr>
          <w:sz w:val="20"/>
          <w:szCs w:val="20"/>
          <w:color w:val="auto"/>
        </w:rPr>
      </w:pPr>
    </w:p>
    <w:p>
      <w:pPr>
        <w:jc w:val="both"/>
        <w:ind w:right="140" w:firstLine="509"/>
        <w:spacing w:after="0" w:line="319" w:lineRule="auto"/>
        <w:rPr>
          <w:sz w:val="20"/>
          <w:szCs w:val="20"/>
          <w:color w:val="auto"/>
        </w:rPr>
      </w:pPr>
      <w:r>
        <w:rPr>
          <w:rFonts w:ascii="Arial" w:cs="Arial" w:eastAsia="Arial" w:hAnsi="Arial"/>
          <w:sz w:val="12"/>
          <w:szCs w:val="12"/>
          <w:color w:val="auto"/>
        </w:rPr>
        <w:t>We generally fund our portion of development, construction or capital investment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2021, 2020 and 2019, we made cash contributions of $82 million, $445 million and $504 million, respectively, to certain of our equity method investees. In addition, we capitalized interest of $12 million, $16 million and $20 million during the years ended December 31, 2021, 2020 and 2019, respectively, related to contributions to unconsolidated entities for projects under development and construction.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5" w:name="page146"/>
    <w:bookmarkEnd w:id="1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Differences</w:t>
      </w:r>
    </w:p>
    <w:p>
      <w:pPr>
        <w:spacing w:after="0" w:line="200"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Our investments in unconsolidated entities exceeded our share of the underlying equity in the net assets of such entities by $223 million and $170 million at December 31, 2021 and 2020,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2021 and 2020 was attributable to goodwill related to our ownership interest in BridgeTex and Capline LLC with the remaining basis difference primarily related to capitalized interest incurred during construction of the assets of our unconsolidated entities.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Summarized Financial Information of Unconsolidated Entities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Combined summarized financial information for all of our unconsolidated entities is shown in the tables below (in millions). None of our unconsolidated entities have noncontrolling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interests.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3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Noncurrent assets</w:t>
            </w:r>
          </w:p>
        </w:tc>
        <w:tc>
          <w:tcPr>
            <w:tcW w:w="3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8,879</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8,769</w:t>
            </w:r>
          </w:p>
        </w:tc>
      </w:tr>
      <w:tr>
        <w:trPr>
          <w:trHeight w:val="181"/>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3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431"/>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3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Operating income</w:t>
            </w:r>
          </w:p>
        </w:tc>
        <w:tc>
          <w:tcPr>
            <w:tcW w:w="4340" w:type="dxa"/>
            <w:vAlign w:val="bottom"/>
            <w:gridSpan w:val="2"/>
          </w:tcPr>
          <w:p>
            <w:pPr>
              <w:jc w:val="right"/>
              <w:ind w:right="796"/>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994</w:t>
            </w:r>
          </w:p>
        </w:tc>
      </w:tr>
      <w:tr>
        <w:trPr>
          <w:trHeight w:val="181"/>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4340" w:type="dxa"/>
            <w:vAlign w:val="bottom"/>
            <w:gridSpan w:val="2"/>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r>
      <w:tr>
        <w:trPr>
          <w:trHeight w:val="8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340" w:type="dxa"/>
            <w:vAlign w:val="bottom"/>
            <w:gridSpan w:val="2"/>
          </w:tcPr>
          <w:p>
            <w:pPr>
              <w:jc w:val="right"/>
              <w:ind w:right="1876"/>
              <w:spacing w:after="0"/>
              <w:rPr>
                <w:sz w:val="20"/>
                <w:szCs w:val="20"/>
                <w:color w:val="auto"/>
              </w:rPr>
            </w:pPr>
            <w:r>
              <w:rPr>
                <w:rFonts w:ascii="Arial" w:cs="Arial" w:eastAsia="Arial" w:hAnsi="Arial"/>
                <w:sz w:val="14"/>
                <w:szCs w:val="14"/>
                <w:color w:val="auto"/>
              </w:rPr>
              <w:t>F-34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6" w:name="page147"/>
    <w:bookmarkEnd w:id="1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10—Intangible Assets, Net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Intangible assets, net of accumulated amortization, consisted of the following (in millions):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3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December 31, 2021</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December 31, 2020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00" w:type="dxa"/>
            <w:vAlign w:val="bottom"/>
          </w:tcPr>
          <w:p>
            <w:pPr>
              <w:spacing w:after="0"/>
              <w:rPr>
                <w:sz w:val="9"/>
                <w:szCs w:val="9"/>
                <w:color w:val="auto"/>
              </w:rPr>
            </w:pPr>
          </w:p>
        </w:tc>
        <w:tc>
          <w:tcPr>
            <w:tcW w:w="152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1"/>
              </w:rPr>
              <w:t>Estimated Useful</w:t>
            </w:r>
          </w:p>
        </w:tc>
        <w:tc>
          <w:tcPr>
            <w:tcW w:w="24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9"/>
                <w:szCs w:val="9"/>
                <w:color w:val="auto"/>
              </w:rPr>
            </w:pPr>
          </w:p>
        </w:tc>
        <w:tc>
          <w:tcPr>
            <w:tcW w:w="1220" w:type="dxa"/>
            <w:vAlign w:val="bottom"/>
            <w:gridSpan w:val="2"/>
          </w:tcPr>
          <w:p>
            <w:pPr>
              <w:ind w:left="200"/>
              <w:spacing w:after="0" w:line="105"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Net</w:t>
            </w:r>
          </w:p>
        </w:tc>
        <w:tc>
          <w:tcPr>
            <w:tcW w:w="24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9"/>
                <w:szCs w:val="9"/>
                <w:color w:val="auto"/>
              </w:rPr>
            </w:pPr>
          </w:p>
        </w:tc>
        <w:tc>
          <w:tcPr>
            <w:tcW w:w="1220" w:type="dxa"/>
            <w:vAlign w:val="bottom"/>
            <w:gridSpan w:val="2"/>
          </w:tcPr>
          <w:p>
            <w:pPr>
              <w:ind w:left="200"/>
              <w:spacing w:after="0" w:line="105"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9"/>
                <w:szCs w:val="9"/>
                <w:color w:val="auto"/>
              </w:rPr>
            </w:pPr>
          </w:p>
        </w:tc>
        <w:tc>
          <w:tcPr>
            <w:tcW w:w="660" w:type="dxa"/>
            <w:vAlign w:val="bottom"/>
            <w:vMerge w:val="restart"/>
          </w:tcPr>
          <w:p>
            <w:pPr>
              <w:jc w:val="right"/>
              <w:ind w:right="293"/>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Lives (Years)</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Amortization</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Amortization</w:t>
            </w: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0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Customer contracts and relationships </w:t>
            </w:r>
            <w:r>
              <w:rPr>
                <w:rFonts w:ascii="Arial" w:cs="Arial" w:eastAsia="Arial" w:hAnsi="Arial"/>
                <w:sz w:val="18"/>
                <w:szCs w:val="18"/>
                <w:color w:val="auto"/>
                <w:vertAlign w:val="superscript"/>
              </w:rPr>
              <w:t>(1)</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 – 31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1,291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agreements</w:t>
            </w:r>
          </w:p>
        </w:tc>
        <w:tc>
          <w:tcPr>
            <w:tcW w:w="15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2"/>
              </w:rPr>
              <w:t>1 – 70</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ind w:left="100"/>
              <w:spacing w:after="0" w:line="171" w:lineRule="exact"/>
              <w:rPr>
                <w:sz w:val="20"/>
                <w:szCs w:val="20"/>
                <w:color w:val="auto"/>
              </w:rPr>
            </w:pPr>
            <w:r>
              <w:rPr>
                <w:rFonts w:ascii="Arial" w:cs="Arial" w:eastAsia="Arial" w:hAnsi="Arial"/>
                <w:sz w:val="14"/>
                <w:szCs w:val="14"/>
                <w:color w:val="auto"/>
              </w:rPr>
              <w:t xml:space="preserve">Intangible assets </w:t>
            </w:r>
            <w:r>
              <w:rPr>
                <w:rFonts w:ascii="Arial" w:cs="Arial" w:eastAsia="Arial" w:hAnsi="Arial"/>
                <w:sz w:val="18"/>
                <w:szCs w:val="18"/>
                <w:color w:val="auto"/>
                <w:vertAlign w:val="superscript"/>
              </w:rPr>
              <w:t>(2)</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46570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7">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82" w:lineRule="exact"/>
        <w:rPr>
          <w:sz w:val="20"/>
          <w:szCs w:val="20"/>
          <w:color w:val="auto"/>
        </w:rPr>
      </w:pPr>
    </w:p>
    <w:p>
      <w:pPr>
        <w:ind w:left="520" w:right="180" w:hanging="515"/>
        <w:spacing w:after="0" w:line="228" w:lineRule="auto"/>
        <w:tabs>
          <w:tab w:leader="none" w:pos="51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The increase in intangible assets related to Customer contracts and relationships in 2021 is associated with the assets acquired in the formation of the Permian JV. See Note 7 for additional information.</w:t>
      </w:r>
    </w:p>
    <w:p>
      <w:pPr>
        <w:spacing w:after="0" w:line="5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1"/>
        </w:numPr>
        <w:rPr>
          <w:rFonts w:ascii="Arial" w:cs="Arial" w:eastAsia="Arial" w:hAnsi="Arial"/>
          <w:sz w:val="17"/>
          <w:szCs w:val="17"/>
          <w:color w:val="auto"/>
          <w:vertAlign w:val="superscript"/>
        </w:rPr>
      </w:pPr>
      <w:r>
        <w:rPr>
          <w:rFonts w:ascii="Arial" w:cs="Arial" w:eastAsia="Arial" w:hAnsi="Arial"/>
          <w:sz w:val="13"/>
          <w:szCs w:val="13"/>
          <w:color w:val="auto"/>
        </w:rPr>
        <w:t>We include rights-of-way, which are intangible assets, in our pipeline and related facilities amounts within property and equipment. See Note 6 for a discussion of property and equipment.</w:t>
      </w:r>
    </w:p>
    <w:p>
      <w:pPr>
        <w:spacing w:after="0" w:line="181"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2021.</w:t>
      </w:r>
    </w:p>
    <w:p>
      <w:pPr>
        <w:spacing w:after="0" w:line="153"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Amortization expense for finite-lived intangible assets for the years ended December 31, 2021, 2020 and 2019 was $122 million, $90 million and $76 million, respectively. We estimate that our amortization expense related to finite-lived intangible assets for the next five years will be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900" w:type="dxa"/>
            <w:vAlign w:val="bottom"/>
            <w:shd w:val="clear" w:color="auto" w:fill="CCEEFF"/>
          </w:tcPr>
          <w:p>
            <w:pPr>
              <w:jc w:val="right"/>
              <w:ind w:right="2529"/>
              <w:spacing w:after="0"/>
              <w:rPr>
                <w:sz w:val="20"/>
                <w:szCs w:val="20"/>
                <w:color w:val="auto"/>
              </w:rPr>
            </w:pPr>
            <w:r>
              <w:rPr>
                <w:rFonts w:ascii="Arial" w:cs="Arial" w:eastAsia="Arial" w:hAnsi="Arial"/>
                <w:sz w:val="14"/>
                <w:szCs w:val="14"/>
                <w:color w:val="auto"/>
                <w:w w:val="89"/>
              </w:rPr>
              <w:t>2022</w:t>
            </w:r>
          </w:p>
        </w:tc>
        <w:tc>
          <w:tcPr>
            <w:tcW w:w="75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180"/>
        </w:trPr>
        <w:tc>
          <w:tcPr>
            <w:tcW w:w="20" w:type="dxa"/>
            <w:vAlign w:val="bottom"/>
          </w:tcPr>
          <w:p>
            <w:pPr>
              <w:spacing w:after="0"/>
              <w:rPr>
                <w:sz w:val="15"/>
                <w:szCs w:val="15"/>
                <w:color w:val="auto"/>
              </w:rPr>
            </w:pPr>
          </w:p>
        </w:tc>
        <w:tc>
          <w:tcPr>
            <w:tcW w:w="2900" w:type="dxa"/>
            <w:vAlign w:val="bottom"/>
          </w:tcPr>
          <w:p>
            <w:pPr>
              <w:jc w:val="right"/>
              <w:ind w:right="2529"/>
              <w:spacing w:after="0"/>
              <w:rPr>
                <w:sz w:val="20"/>
                <w:szCs w:val="20"/>
                <w:color w:val="auto"/>
              </w:rPr>
            </w:pPr>
            <w:r>
              <w:rPr>
                <w:rFonts w:ascii="Arial" w:cs="Arial" w:eastAsia="Arial" w:hAnsi="Arial"/>
                <w:sz w:val="14"/>
                <w:szCs w:val="14"/>
                <w:color w:val="auto"/>
                <w:w w:val="89"/>
              </w:rPr>
              <w:t>2023</w:t>
            </w:r>
          </w:p>
        </w:tc>
        <w:tc>
          <w:tcPr>
            <w:tcW w:w="75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81"/>
        </w:trPr>
        <w:tc>
          <w:tcPr>
            <w:tcW w:w="20" w:type="dxa"/>
            <w:vAlign w:val="bottom"/>
          </w:tcPr>
          <w:p>
            <w:pPr>
              <w:spacing w:after="0"/>
              <w:rPr>
                <w:sz w:val="15"/>
                <w:szCs w:val="15"/>
                <w:color w:val="auto"/>
              </w:rPr>
            </w:pPr>
          </w:p>
        </w:tc>
        <w:tc>
          <w:tcPr>
            <w:tcW w:w="2900" w:type="dxa"/>
            <w:vAlign w:val="bottom"/>
            <w:shd w:val="clear" w:color="auto" w:fill="CCEEFF"/>
          </w:tcPr>
          <w:p>
            <w:pPr>
              <w:jc w:val="right"/>
              <w:ind w:right="2529"/>
              <w:spacing w:after="0"/>
              <w:rPr>
                <w:sz w:val="20"/>
                <w:szCs w:val="20"/>
                <w:color w:val="auto"/>
              </w:rPr>
            </w:pPr>
            <w:r>
              <w:rPr>
                <w:rFonts w:ascii="Arial" w:cs="Arial" w:eastAsia="Arial" w:hAnsi="Arial"/>
                <w:sz w:val="14"/>
                <w:szCs w:val="14"/>
                <w:color w:val="auto"/>
                <w:w w:val="89"/>
              </w:rPr>
              <w:t>2024</w:t>
            </w:r>
          </w:p>
        </w:tc>
        <w:tc>
          <w:tcPr>
            <w:tcW w:w="75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80"/>
        </w:trPr>
        <w:tc>
          <w:tcPr>
            <w:tcW w:w="20" w:type="dxa"/>
            <w:vAlign w:val="bottom"/>
          </w:tcPr>
          <w:p>
            <w:pPr>
              <w:spacing w:after="0"/>
              <w:rPr>
                <w:sz w:val="15"/>
                <w:szCs w:val="15"/>
                <w:color w:val="auto"/>
              </w:rPr>
            </w:pPr>
          </w:p>
        </w:tc>
        <w:tc>
          <w:tcPr>
            <w:tcW w:w="2900" w:type="dxa"/>
            <w:vAlign w:val="bottom"/>
          </w:tcPr>
          <w:p>
            <w:pPr>
              <w:jc w:val="right"/>
              <w:ind w:right="2529"/>
              <w:spacing w:after="0"/>
              <w:rPr>
                <w:sz w:val="20"/>
                <w:szCs w:val="20"/>
                <w:color w:val="auto"/>
              </w:rPr>
            </w:pPr>
            <w:r>
              <w:rPr>
                <w:rFonts w:ascii="Arial" w:cs="Arial" w:eastAsia="Arial" w:hAnsi="Arial"/>
                <w:sz w:val="14"/>
                <w:szCs w:val="14"/>
                <w:color w:val="auto"/>
                <w:w w:val="89"/>
              </w:rPr>
              <w:t>2025</w:t>
            </w:r>
          </w:p>
        </w:tc>
        <w:tc>
          <w:tcPr>
            <w:tcW w:w="75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207</w:t>
            </w:r>
          </w:p>
        </w:tc>
      </w:tr>
      <w:tr>
        <w:trPr>
          <w:trHeight w:val="181"/>
        </w:trPr>
        <w:tc>
          <w:tcPr>
            <w:tcW w:w="20" w:type="dxa"/>
            <w:vAlign w:val="bottom"/>
          </w:tcPr>
          <w:p>
            <w:pPr>
              <w:spacing w:after="0"/>
              <w:rPr>
                <w:sz w:val="15"/>
                <w:szCs w:val="15"/>
                <w:color w:val="auto"/>
              </w:rPr>
            </w:pPr>
          </w:p>
        </w:tc>
        <w:tc>
          <w:tcPr>
            <w:tcW w:w="2900" w:type="dxa"/>
            <w:vAlign w:val="bottom"/>
            <w:shd w:val="clear" w:color="auto" w:fill="CCEEFF"/>
          </w:tcPr>
          <w:p>
            <w:pPr>
              <w:jc w:val="right"/>
              <w:ind w:right="2529"/>
              <w:spacing w:after="0"/>
              <w:rPr>
                <w:sz w:val="20"/>
                <w:szCs w:val="20"/>
                <w:color w:val="auto"/>
              </w:rPr>
            </w:pPr>
            <w:r>
              <w:rPr>
                <w:rFonts w:ascii="Arial" w:cs="Arial" w:eastAsia="Arial" w:hAnsi="Arial"/>
                <w:sz w:val="14"/>
                <w:szCs w:val="14"/>
                <w:color w:val="auto"/>
                <w:w w:val="89"/>
              </w:rPr>
              <w:t>2026</w:t>
            </w:r>
          </w:p>
        </w:tc>
        <w:tc>
          <w:tcPr>
            <w:tcW w:w="75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870"/>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540" w:type="dxa"/>
            <w:vAlign w:val="bottom"/>
          </w:tcPr>
          <w:p>
            <w:pPr>
              <w:jc w:val="right"/>
              <w:ind w:right="4609"/>
              <w:spacing w:after="0"/>
              <w:rPr>
                <w:sz w:val="20"/>
                <w:szCs w:val="20"/>
                <w:color w:val="auto"/>
              </w:rPr>
            </w:pPr>
            <w:r>
              <w:rPr>
                <w:rFonts w:ascii="Arial" w:cs="Arial" w:eastAsia="Arial" w:hAnsi="Arial"/>
                <w:sz w:val="14"/>
                <w:szCs w:val="14"/>
                <w:color w:val="auto"/>
              </w:rPr>
              <w:t>F-35</w:t>
            </w:r>
          </w:p>
        </w:tc>
        <w:tc>
          <w:tcPr>
            <w:tcW w:w="8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75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47" w:name="page148"/>
    <w:bookmarkEnd w:id="1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11—Debt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Debt consisted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ind w:right="330"/>
              <w:spacing w:after="0"/>
              <w:rPr>
                <w:sz w:val="20"/>
                <w:szCs w:val="20"/>
                <w:color w:val="auto"/>
              </w:rPr>
            </w:pPr>
            <w:r>
              <w:rPr>
                <w:rFonts w:ascii="Arial" w:cs="Arial" w:eastAsia="Arial" w:hAnsi="Arial"/>
                <w:sz w:val="11"/>
                <w:szCs w:val="11"/>
                <w:b w:val="1"/>
                <w:bCs w:val="1"/>
                <w:color w:val="auto"/>
              </w:rPr>
              <w:t>December 31,</w:t>
            </w:r>
          </w:p>
        </w:tc>
      </w:tr>
      <w:tr>
        <w:trPr>
          <w:trHeight w:val="148"/>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61"/>
        </w:trPr>
        <w:tc>
          <w:tcPr>
            <w:tcW w:w="20" w:type="dxa"/>
            <w:vAlign w:val="bottom"/>
          </w:tcPr>
          <w:p>
            <w:pPr>
              <w:spacing w:after="0"/>
              <w:rPr>
                <w:sz w:val="14"/>
                <w:szCs w:val="14"/>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spacing w:after="0" w:line="181" w:lineRule="exact"/>
              <w:rPr>
                <w:sz w:val="20"/>
                <w:szCs w:val="20"/>
                <w:color w:val="auto"/>
              </w:rPr>
            </w:pPr>
            <w:r>
              <w:rPr>
                <w:rFonts w:ascii="Arial" w:cs="Arial" w:eastAsia="Arial" w:hAnsi="Arial"/>
                <w:sz w:val="14"/>
                <w:szCs w:val="14"/>
                <w:color w:val="auto"/>
              </w:rPr>
              <w:t xml:space="preserve">Commercial paper notes, bearing a weighted-average interest rate of 0.7% </w:t>
            </w:r>
            <w:r>
              <w:rPr>
                <w:rFonts w:ascii="Arial" w:cs="Arial" w:eastAsia="Arial" w:hAnsi="Arial"/>
                <w:sz w:val="18"/>
                <w:szCs w:val="18"/>
                <w:color w:val="auto"/>
                <w:vertAlign w:val="superscript"/>
              </w:rPr>
              <w:t>(1)</w:t>
            </w:r>
          </w:p>
        </w:tc>
        <w:tc>
          <w:tcPr>
            <w:tcW w:w="1040" w:type="dxa"/>
            <w:vAlign w:val="bottom"/>
          </w:tcPr>
          <w:p>
            <w:pPr>
              <w:jc w:val="right"/>
              <w:ind w:right="896"/>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Senior secured hedged inventory facility, bearing a weighted-average interest rate of 1.2% </w:t>
            </w:r>
            <w:r>
              <w:rPr>
                <w:rFonts w:ascii="Arial" w:cs="Arial" w:eastAsia="Arial" w:hAnsi="Arial"/>
                <w:sz w:val="18"/>
                <w:szCs w:val="18"/>
                <w:color w:val="auto"/>
                <w:vertAlign w:val="superscript"/>
              </w:rPr>
              <w:t>(1)</w:t>
            </w:r>
          </w:p>
        </w:tc>
        <w:tc>
          <w:tcPr>
            <w:tcW w:w="10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0"/>
        </w:trPr>
        <w:tc>
          <w:tcPr>
            <w:tcW w:w="20" w:type="dxa"/>
            <w:vAlign w:val="bottom"/>
          </w:tcPr>
          <w:p>
            <w:pPr>
              <w:spacing w:after="0"/>
              <w:rPr>
                <w:sz w:val="15"/>
                <w:szCs w:val="15"/>
                <w:color w:val="auto"/>
              </w:rPr>
            </w:pPr>
          </w:p>
        </w:tc>
        <w:tc>
          <w:tcPr>
            <w:tcW w:w="8300" w:type="dxa"/>
            <w:vAlign w:val="bottom"/>
            <w:gridSpan w:val="2"/>
          </w:tcPr>
          <w:p>
            <w:pPr>
              <w:spacing w:after="0"/>
              <w:rPr>
                <w:sz w:val="20"/>
                <w:szCs w:val="20"/>
                <w:color w:val="auto"/>
              </w:rPr>
            </w:pPr>
            <w:r>
              <w:rPr>
                <w:rFonts w:ascii="Arial" w:cs="Arial" w:eastAsia="Arial" w:hAnsi="Arial"/>
                <w:sz w:val="14"/>
                <w:szCs w:val="14"/>
                <w:color w:val="auto"/>
              </w:rPr>
              <w:t>Senior notes: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3.65% senior notes due June 2022 </w:t>
            </w:r>
            <w:r>
              <w:rPr>
                <w:rFonts w:ascii="Arial" w:cs="Arial" w:eastAsia="Arial" w:hAnsi="Arial"/>
                <w:sz w:val="18"/>
                <w:szCs w:val="18"/>
                <w:color w:val="auto"/>
                <w:vertAlign w:val="superscript"/>
              </w:rPr>
              <w:t>(2)</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171"/>
        </w:trPr>
        <w:tc>
          <w:tcPr>
            <w:tcW w:w="20" w:type="dxa"/>
            <w:vAlign w:val="bottom"/>
          </w:tcPr>
          <w:p>
            <w:pPr>
              <w:spacing w:after="0"/>
              <w:rPr>
                <w:sz w:val="14"/>
                <w:szCs w:val="14"/>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short-term debt</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r>
      <w:tr>
        <w:trPr>
          <w:trHeight w:val="202"/>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spacing w:after="0"/>
              <w:rPr>
                <w:sz w:val="20"/>
                <w:szCs w:val="20"/>
                <w:color w:val="auto"/>
              </w:rPr>
            </w:pPr>
            <w:r>
              <w:rPr>
                <w:rFonts w:ascii="Arial" w:cs="Arial" w:eastAsia="Arial" w:hAnsi="Arial"/>
                <w:sz w:val="14"/>
                <w:szCs w:val="14"/>
                <w:color w:val="auto"/>
              </w:rPr>
              <w:t>Senior notes: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3.65% senior notes due June 2022</w:t>
            </w:r>
          </w:p>
        </w:tc>
        <w:tc>
          <w:tcPr>
            <w:tcW w:w="10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2.85% senior notes due January 2023</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3.85% senior notes due October 2023</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3.60% senior notes due November 2024</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4.65% senior notes due October 2025</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4.50% senior notes due December 2026</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3.55% senior notes due December 2029</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3.80% senior notes due September 2030</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6.70% senior notes due May 2036</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6.65% senior notes due January 2037</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5.15% senior notes due June 2042 </w:t>
            </w:r>
            <w:r>
              <w:rPr>
                <w:rFonts w:ascii="Arial" w:cs="Arial" w:eastAsia="Arial" w:hAnsi="Arial"/>
                <w:sz w:val="18"/>
                <w:szCs w:val="18"/>
                <w:color w:val="auto"/>
                <w:vertAlign w:val="superscript"/>
              </w:rPr>
              <w:t>(3)</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4.30% senior notes due January 2043 </w:t>
            </w:r>
            <w:r>
              <w:rPr>
                <w:rFonts w:ascii="Arial" w:cs="Arial" w:eastAsia="Arial" w:hAnsi="Arial"/>
                <w:sz w:val="18"/>
                <w:szCs w:val="18"/>
                <w:color w:val="auto"/>
                <w:vertAlign w:val="superscript"/>
              </w:rPr>
              <w:t>(3)</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4.70% senior notes due June 2044 </w:t>
            </w:r>
            <w:r>
              <w:rPr>
                <w:rFonts w:ascii="Arial" w:cs="Arial" w:eastAsia="Arial" w:hAnsi="Arial"/>
                <w:sz w:val="18"/>
                <w:szCs w:val="18"/>
                <w:color w:val="auto"/>
                <w:vertAlign w:val="superscript"/>
              </w:rPr>
              <w:t>(3)</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4.90% senior notes due February 2045 </w:t>
            </w:r>
            <w:r>
              <w:rPr>
                <w:rFonts w:ascii="Arial" w:cs="Arial" w:eastAsia="Arial" w:hAnsi="Arial"/>
                <w:sz w:val="18"/>
                <w:szCs w:val="18"/>
                <w:color w:val="auto"/>
                <w:vertAlign w:val="superscript"/>
              </w:rPr>
              <w:t>(3)</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649</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Unamortized discounts and debt issuance costs</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71"/>
        </w:trPr>
        <w:tc>
          <w:tcPr>
            <w:tcW w:w="20" w:type="dxa"/>
            <w:vAlign w:val="bottom"/>
          </w:tcPr>
          <w:p>
            <w:pPr>
              <w:spacing w:after="0"/>
              <w:rPr>
                <w:sz w:val="14"/>
                <w:szCs w:val="14"/>
                <w:color w:val="auto"/>
              </w:rPr>
            </w:pPr>
          </w:p>
        </w:tc>
        <w:tc>
          <w:tcPr>
            <w:tcW w:w="8300" w:type="dxa"/>
            <w:vAlign w:val="bottom"/>
            <w:gridSpan w:val="2"/>
          </w:tcPr>
          <w:p>
            <w:pPr>
              <w:ind w:left="260"/>
              <w:spacing w:after="0"/>
              <w:rPr>
                <w:sz w:val="20"/>
                <w:szCs w:val="20"/>
                <w:color w:val="auto"/>
              </w:rPr>
            </w:pPr>
            <w:r>
              <w:rPr>
                <w:rFonts w:ascii="Arial" w:cs="Arial" w:eastAsia="Arial" w:hAnsi="Arial"/>
                <w:sz w:val="14"/>
                <w:szCs w:val="14"/>
                <w:color w:val="auto"/>
              </w:rPr>
              <w:t>Senior notes, net of unamortized discounts and debt issuance costs</w:t>
            </w: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8,329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9,071</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debt:</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GO Zone term loans, net of debt issuance costs of $1, bearing a weighted-average interest rate of 1.3% </w:t>
            </w:r>
            <w:r>
              <w:rPr>
                <w:rFonts w:ascii="Arial" w:cs="Arial" w:eastAsia="Arial" w:hAnsi="Arial"/>
                <w:sz w:val="18"/>
                <w:szCs w:val="18"/>
                <w:color w:val="auto"/>
                <w:vertAlign w:val="superscript"/>
              </w:rPr>
              <w:t>(4)</w:t>
            </w:r>
          </w:p>
        </w:tc>
        <w:tc>
          <w:tcPr>
            <w:tcW w:w="1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71"/>
        </w:trPr>
        <w:tc>
          <w:tcPr>
            <w:tcW w:w="20" w:type="dxa"/>
            <w:vAlign w:val="bottom"/>
          </w:tcPr>
          <w:p>
            <w:pPr>
              <w:spacing w:after="0"/>
              <w:rPr>
                <w:sz w:val="14"/>
                <w:szCs w:val="14"/>
                <w:color w:val="auto"/>
              </w:rPr>
            </w:pPr>
          </w:p>
        </w:tc>
        <w:tc>
          <w:tcPr>
            <w:tcW w:w="8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long-term debt</w:t>
            </w:r>
          </w:p>
        </w:tc>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8,398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w:t>
            </w:r>
          </w:p>
        </w:tc>
      </w:tr>
      <w:tr>
        <w:trPr>
          <w:trHeight w:val="196"/>
        </w:trPr>
        <w:tc>
          <w:tcPr>
            <w:tcW w:w="20" w:type="dxa"/>
            <w:vAlign w:val="bottom"/>
          </w:tcPr>
          <w:p>
            <w:pPr>
              <w:spacing w:after="0"/>
              <w:rPr>
                <w:sz w:val="16"/>
                <w:szCs w:val="16"/>
                <w:color w:val="auto"/>
              </w:rPr>
            </w:pPr>
          </w:p>
        </w:tc>
        <w:tc>
          <w:tcPr>
            <w:tcW w:w="8300" w:type="dxa"/>
            <w:vAlign w:val="bottom"/>
            <w:tcBorders>
              <w:bottom w:val="single" w:sz="8" w:color="CCEEFF"/>
            </w:tcBorders>
            <w:gridSpan w:val="2"/>
            <w:shd w:val="clear" w:color="auto" w:fill="CCEEFF"/>
          </w:tcPr>
          <w:p>
            <w:pPr>
              <w:ind w:left="360"/>
              <w:spacing w:after="0" w:line="171" w:lineRule="exact"/>
              <w:rPr>
                <w:sz w:val="20"/>
                <w:szCs w:val="20"/>
                <w:color w:val="auto"/>
              </w:rPr>
            </w:pPr>
            <w:r>
              <w:rPr>
                <w:rFonts w:ascii="Arial" w:cs="Arial" w:eastAsia="Arial" w:hAnsi="Arial"/>
                <w:sz w:val="14"/>
                <w:szCs w:val="14"/>
                <w:color w:val="auto"/>
              </w:rPr>
              <w:t xml:space="preserve">Total debt </w:t>
            </w:r>
            <w:r>
              <w:rPr>
                <w:rFonts w:ascii="Arial" w:cs="Arial" w:eastAsia="Arial" w:hAnsi="Arial"/>
                <w:sz w:val="18"/>
                <w:szCs w:val="18"/>
                <w:color w:val="auto"/>
                <w:vertAlign w:val="superscript"/>
              </w:rPr>
              <w:t>(5)</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9,220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10,213</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138" w:lineRule="exact"/>
        <w:rPr>
          <w:sz w:val="20"/>
          <w:szCs w:val="20"/>
          <w:color w:val="auto"/>
        </w:rPr>
      </w:pPr>
    </w:p>
    <w:p>
      <w:pPr>
        <w:ind w:left="520" w:right="20" w:hanging="515"/>
        <w:spacing w:after="0" w:line="228" w:lineRule="auto"/>
        <w:tabs>
          <w:tab w:leader="none" w:pos="51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We classified these commercial paper notes and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In January 2022, we provided notice of our intention to redeem these senior notes on March 1, 2022.</w:t>
      </w:r>
    </w:p>
    <w:p>
      <w:pPr>
        <w:spacing w:after="0" w:line="74" w:lineRule="exact"/>
        <w:rPr>
          <w:rFonts w:ascii="Arial" w:cs="Arial" w:eastAsia="Arial" w:hAnsi="Arial"/>
          <w:sz w:val="18"/>
          <w:szCs w:val="18"/>
          <w:color w:val="auto"/>
          <w:vertAlign w:val="superscript"/>
        </w:rPr>
      </w:pPr>
    </w:p>
    <w:p>
      <w:pPr>
        <w:ind w:left="520" w:hanging="515"/>
        <w:spacing w:after="0" w:line="228" w:lineRule="auto"/>
        <w:tabs>
          <w:tab w:leader="none" w:pos="51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During the year ended December 31, 2020, we repurchased $17 million of our outstanding senior notes on the open market and recognized a gain of $3 million on these transactions, which is included in “Other income/(expense), net” on our Consolidated Statement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8" w:name="page149"/>
    <w:bookmarkEnd w:id="1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right="340" w:hanging="515"/>
        <w:spacing w:after="0" w:line="228" w:lineRule="auto"/>
        <w:tabs>
          <w:tab w:leader="none" w:pos="51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The GO Zone term loans were initially assumed by one of our subsidiaries in connection with the acquisition of the Southern Pines natural gas storage facility. The loans were repaid in August 2021 in connection with the sale of that facility. See Note 7 for additional information.</w:t>
      </w:r>
    </w:p>
    <w:p>
      <w:pPr>
        <w:spacing w:after="0" w:line="74" w:lineRule="exact"/>
        <w:rPr>
          <w:rFonts w:ascii="Arial" w:cs="Arial" w:eastAsia="Arial" w:hAnsi="Arial"/>
          <w:sz w:val="18"/>
          <w:szCs w:val="18"/>
          <w:color w:val="auto"/>
          <w:vertAlign w:val="superscript"/>
        </w:rPr>
      </w:pPr>
    </w:p>
    <w:p>
      <w:pPr>
        <w:ind w:left="520" w:hanging="515"/>
        <w:spacing w:after="0" w:line="264" w:lineRule="auto"/>
        <w:tabs>
          <w:tab w:leader="none" w:pos="510" w:val="left"/>
        </w:tabs>
        <w:numPr>
          <w:ilvl w:val="0"/>
          <w:numId w:val="93"/>
        </w:numPr>
        <w:rPr>
          <w:rFonts w:ascii="Arial" w:cs="Arial" w:eastAsia="Arial" w:hAnsi="Arial"/>
          <w:sz w:val="17"/>
          <w:szCs w:val="17"/>
          <w:color w:val="auto"/>
          <w:vertAlign w:val="superscript"/>
        </w:rPr>
      </w:pPr>
      <w:r>
        <w:rPr>
          <w:rFonts w:ascii="Arial" w:cs="Arial" w:eastAsia="Arial" w:hAnsi="Arial"/>
          <w:sz w:val="13"/>
          <w:szCs w:val="13"/>
          <w:color w:val="auto"/>
        </w:rPr>
        <w:t>Our fixed-rate senior notes had a face value of approximately $9.1 billion at both December 31, 2021 and 2020. We estimated the aggregate fair value of these notes to be approximately $9.9 billion at both December 31, 2021 and 2020.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Commercial Paper Program</w:t>
      </w:r>
    </w:p>
    <w:p>
      <w:pPr>
        <w:spacing w:after="0" w:line="200"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Agreements</w:t>
      </w:r>
    </w:p>
    <w:p>
      <w:pPr>
        <w:spacing w:after="0" w:line="200"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2"/>
          <w:szCs w:val="12"/>
          <w:i w:val="1"/>
          <w:iCs w:val="1"/>
          <w:color w:val="auto"/>
        </w:rPr>
        <w:t>Senior secured hedged inventory facility</w:t>
      </w:r>
      <w:r>
        <w:rPr>
          <w:rFonts w:ascii="Arial" w:cs="Arial" w:eastAsia="Arial" w:hAnsi="Arial"/>
          <w:sz w:val="12"/>
          <w:szCs w:val="12"/>
          <w:color w:val="auto"/>
        </w:rPr>
        <w:t>. In August 2021, we entered into an amended credit agreement which replaced our $1.4 billion senior secured hedged inventory facility scheduled to</w:t>
      </w:r>
      <w:r>
        <w:rPr>
          <w:rFonts w:ascii="Arial" w:cs="Arial" w:eastAsia="Arial" w:hAnsi="Arial"/>
          <w:sz w:val="12"/>
          <w:szCs w:val="12"/>
          <w:i w:val="1"/>
          <w:iCs w:val="1"/>
          <w:color w:val="auto"/>
        </w:rPr>
        <w:t xml:space="preserve"> </w:t>
      </w:r>
      <w:r>
        <w:rPr>
          <w:rFonts w:ascii="Arial" w:cs="Arial" w:eastAsia="Arial" w:hAnsi="Arial"/>
          <w:sz w:val="12"/>
          <w:szCs w:val="12"/>
          <w:color w:val="auto"/>
        </w:rPr>
        <w:t>mature in August 2022 with a $1.35 billion senior secured hedged inventory facility with an initial maturity date of August 2024. Subject to obtaining additional or increased lender commitments and other terms and conditions, the committed capacity of the facility may be increased to $1.9 billion. The amended credit agreement provides for the issuance of letters of credit of up to $400 million.</w:t>
      </w:r>
    </w:p>
    <w:p>
      <w:pPr>
        <w:ind w:right="40"/>
        <w:spacing w:after="0" w:line="257" w:lineRule="auto"/>
        <w:rPr>
          <w:sz w:val="20"/>
          <w:szCs w:val="20"/>
          <w:color w:val="auto"/>
        </w:rPr>
      </w:pPr>
      <w:r>
        <w:rPr>
          <w:rFonts w:ascii="Arial" w:cs="Arial" w:eastAsia="Arial" w:hAnsi="Arial"/>
          <w:sz w:val="14"/>
          <w:szCs w:val="14"/>
          <w:color w:val="auto"/>
        </w:rPr>
        <w:t>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Senior unsecured revolving credit facility. </w:t>
      </w:r>
      <w:r>
        <w:rPr>
          <w:rFonts w:ascii="Arial" w:cs="Arial" w:eastAsia="Arial" w:hAnsi="Arial"/>
          <w:sz w:val="13"/>
          <w:szCs w:val="13"/>
          <w:color w:val="auto"/>
        </w:rPr>
        <w:t>In August 2021, we entered into a new unsecured credit agreement that provides for a senior unsecured revolving credit facility with a committed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borrowing capacity of $1.35 billion, of which $400 million is available for the issuance of letters of credit. The new credit agreement replaced our previous credit agreement that provided for 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$1.6 billion senior unsecured revolving credit facility and was scheduled to mature in August 2024. Subject to obtaining additional or increased lender commitments and other terms and conditions,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the committed capacity may be increased to $2.1 billion. Borrowings accrue interest based, at our election, on certain floating rate indices as defined in the credit agreement, in each case plus a</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margin based on our credit rating at the applicable time. The new credit agreement has an initial maturity date of August 2026 and provides for one or more one-year extensions, subject to applicable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approval and other terms and conditions.</w:t>
      </w:r>
    </w:p>
    <w:p>
      <w:pPr>
        <w:spacing w:after="0" w:line="189" w:lineRule="exact"/>
        <w:rPr>
          <w:sz w:val="20"/>
          <w:szCs w:val="20"/>
          <w:color w:val="auto"/>
        </w:rPr>
      </w:pPr>
    </w:p>
    <w:p>
      <w:pPr>
        <w:ind w:right="60" w:firstLine="509"/>
        <w:spacing w:after="0" w:line="313" w:lineRule="auto"/>
        <w:rPr>
          <w:sz w:val="20"/>
          <w:szCs w:val="20"/>
          <w:color w:val="auto"/>
        </w:rPr>
      </w:pPr>
      <w:r>
        <w:rPr>
          <w:rFonts w:ascii="Arial" w:cs="Arial" w:eastAsia="Arial" w:hAnsi="Arial"/>
          <w:sz w:val="12"/>
          <w:szCs w:val="12"/>
          <w:i w:val="1"/>
          <w:iCs w:val="1"/>
          <w:color w:val="auto"/>
        </w:rPr>
        <w:t>GO Zone term loans</w:t>
      </w:r>
      <w:r>
        <w:rPr>
          <w:rFonts w:ascii="Arial" w:cs="Arial" w:eastAsia="Arial" w:hAnsi="Arial"/>
          <w:sz w:val="12"/>
          <w:szCs w:val="12"/>
          <w:color w:val="auto"/>
        </w:rPr>
        <w:t>. In August 2018, we entered into an agreement for two $100 million term loans (the “GO Zone term loans”) from the remarketing of our $100 million Mississippi</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Finance Corporation Gulf Opportunity Zone Industrial Development Revenue Bonds (PAA Natural Gas Storage, L.P. Project), Series 2009 and our $100 million Mississippi Business Finance Corporation Gulf Opportunity Zone Industrial Development Revenue Bonds (PAA Natural Gas Storage, L.P. Project), Series 2010 (collectively, the “GO Bonds”). The GO Zone term loans accrued interest, based on certain floating rate indices, in accordance with the interest payable on the related GO Bonds as provided in the GO Bonds Indenture pursuant to which such GO Bonds are issued and governed. The GO Zone term loans were repaid in August 2021 in connection with the sale of the Southern Pines natural gas storage facility. See Note 7 for additional information.</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149" w:name="page150"/>
    <w:bookmarkEnd w:id="1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20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Senior Notes Issuances. </w:t>
      </w:r>
      <w:r>
        <w:rPr>
          <w:rFonts w:ascii="Arial" w:cs="Arial" w:eastAsia="Arial" w:hAnsi="Arial"/>
          <w:sz w:val="14"/>
          <w:szCs w:val="14"/>
          <w:color w:val="auto"/>
        </w:rPr>
        <w:t>The table below summarizes our issuances of senior unsecured notes during the three years ended December 31, 2021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4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Description</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Maturity</w:t>
            </w:r>
          </w:p>
        </w:tc>
        <w:tc>
          <w:tcPr>
            <w:tcW w:w="20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Face Value</w:t>
            </w: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92"/>
              </w:rPr>
              <w:t>Interest Payment Dates</w:t>
            </w:r>
          </w:p>
        </w:tc>
      </w:tr>
      <w:tr>
        <w:trPr>
          <w:trHeight w:val="175"/>
        </w:trPr>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3.80% Senior Notes issued at 99.794% of face value</w:t>
            </w:r>
          </w:p>
        </w:tc>
        <w:tc>
          <w:tcPr>
            <w:tcW w:w="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September 2030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March 15 and September 15</w:t>
            </w:r>
          </w:p>
        </w:tc>
      </w:tr>
      <w:tr>
        <w:trPr>
          <w:trHeight w:val="212"/>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0"/>
        </w:trPr>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3.55% Senior Notes issued at 99.801% of face value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December 2029</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June 15 and December 15</w:t>
            </w: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Senior Notes Repayments. </w:t>
      </w:r>
      <w:r>
        <w:rPr>
          <w:rFonts w:ascii="Arial" w:cs="Arial" w:eastAsia="Arial" w:hAnsi="Arial"/>
          <w:sz w:val="14"/>
          <w:szCs w:val="14"/>
          <w:color w:val="auto"/>
        </w:rPr>
        <w:t>During the three years ended December 31, 2021, we repaid the following senior unsecured notes in full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Year</w:t>
            </w:r>
          </w:p>
        </w:tc>
        <w:tc>
          <w:tcPr>
            <w:tcW w:w="5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Description</w:t>
            </w:r>
          </w:p>
        </w:tc>
        <w:tc>
          <w:tcPr>
            <w:tcW w:w="2700" w:type="dxa"/>
            <w:vAlign w:val="bottom"/>
          </w:tcPr>
          <w:p>
            <w:pPr>
              <w:jc w:val="center"/>
              <w:spacing w:after="0"/>
              <w:rPr>
                <w:sz w:val="20"/>
                <w:szCs w:val="20"/>
                <w:color w:val="auto"/>
              </w:rPr>
            </w:pPr>
            <w:r>
              <w:rPr>
                <w:rFonts w:ascii="Arial" w:cs="Arial" w:eastAsia="Arial" w:hAnsi="Arial"/>
                <w:sz w:val="11"/>
                <w:szCs w:val="11"/>
                <w:b w:val="1"/>
                <w:bCs w:val="1"/>
                <w:color w:val="auto"/>
                <w:w w:val="92"/>
              </w:rPr>
              <w:t>Repayment Date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6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2020</w:t>
            </w:r>
          </w:p>
        </w:tc>
        <w:tc>
          <w:tcPr>
            <w:tcW w:w="100" w:type="dxa"/>
            <w:vAlign w:val="bottom"/>
            <w:tcBorders>
              <w:top w:val="single" w:sz="8" w:color="CCEEFF"/>
            </w:tcBorders>
            <w:shd w:val="clear" w:color="auto" w:fill="CCEEFF"/>
          </w:tcPr>
          <w:p>
            <w:pPr>
              <w:spacing w:after="0"/>
              <w:rPr>
                <w:sz w:val="7"/>
                <w:szCs w:val="7"/>
                <w:color w:val="auto"/>
              </w:rPr>
            </w:pPr>
          </w:p>
        </w:tc>
        <w:tc>
          <w:tcPr>
            <w:tcW w:w="546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$600 million 5.00% Senior Notes due February 2021</w:t>
            </w:r>
          </w:p>
        </w:tc>
        <w:tc>
          <w:tcPr>
            <w:tcW w:w="100" w:type="dxa"/>
            <w:vAlign w:val="bottom"/>
            <w:tcBorders>
              <w:top w:val="single" w:sz="8" w:color="CCEEFF"/>
            </w:tcBorders>
            <w:shd w:val="clear" w:color="auto" w:fill="CCEEFF"/>
          </w:tcPr>
          <w:p>
            <w:pPr>
              <w:spacing w:after="0"/>
              <w:rPr>
                <w:sz w:val="7"/>
                <w:szCs w:val="7"/>
                <w:color w:val="auto"/>
              </w:rPr>
            </w:pPr>
          </w:p>
        </w:tc>
        <w:tc>
          <w:tcPr>
            <w:tcW w:w="270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November 2020</w:t>
            </w:r>
          </w:p>
        </w:tc>
        <w:tc>
          <w:tcPr>
            <w:tcW w:w="640" w:type="dxa"/>
            <w:vAlign w:val="bottom"/>
            <w:tcBorders>
              <w:top w:val="single" w:sz="8" w:color="CCEEFF"/>
            </w:tcBorders>
            <w:vMerge w:val="restart"/>
            <w:shd w:val="clear" w:color="auto" w:fill="CCEEFF"/>
          </w:tcPr>
          <w:p>
            <w:pPr>
              <w:jc w:val="right"/>
              <w:ind w:right="374"/>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65"/>
        </w:trPr>
        <w:tc>
          <w:tcPr>
            <w:tcW w:w="22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7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60" w:type="dxa"/>
            <w:vAlign w:val="bottom"/>
            <w:shd w:val="clear" w:color="auto" w:fill="CCEEFF"/>
          </w:tcPr>
          <w:p>
            <w:pPr>
              <w:jc w:val="center"/>
              <w:spacing w:after="0" w:line="96" w:lineRule="exact"/>
              <w:rPr>
                <w:sz w:val="20"/>
                <w:szCs w:val="20"/>
                <w:color w:val="auto"/>
              </w:rPr>
            </w:pPr>
            <w:r>
              <w:rPr>
                <w:rFonts w:ascii="Arial" w:cs="Arial" w:eastAsia="Arial" w:hAnsi="Arial"/>
                <w:sz w:val="11"/>
                <w:szCs w:val="11"/>
                <w:color w:val="auto"/>
              </w:rPr>
              <w:t>2019</w:t>
            </w:r>
          </w:p>
        </w:tc>
        <w:tc>
          <w:tcPr>
            <w:tcW w:w="100" w:type="dxa"/>
            <w:vAlign w:val="bottom"/>
            <w:shd w:val="clear" w:color="auto" w:fill="CCEEFF"/>
          </w:tcPr>
          <w:p>
            <w:pPr>
              <w:spacing w:after="0"/>
              <w:rPr>
                <w:sz w:val="8"/>
                <w:szCs w:val="8"/>
                <w:color w:val="auto"/>
              </w:rPr>
            </w:pPr>
          </w:p>
        </w:tc>
        <w:tc>
          <w:tcPr>
            <w:tcW w:w="5560" w:type="dxa"/>
            <w:vAlign w:val="bottom"/>
            <w:gridSpan w:val="2"/>
            <w:shd w:val="clear" w:color="auto" w:fill="CCEEFF"/>
          </w:tcPr>
          <w:p>
            <w:pPr>
              <w:jc w:val="center"/>
              <w:ind w:right="100"/>
              <w:spacing w:after="0" w:line="96" w:lineRule="exact"/>
              <w:rPr>
                <w:sz w:val="20"/>
                <w:szCs w:val="20"/>
                <w:color w:val="auto"/>
              </w:rPr>
            </w:pPr>
            <w:r>
              <w:rPr>
                <w:rFonts w:ascii="Arial" w:cs="Arial" w:eastAsia="Arial" w:hAnsi="Arial"/>
                <w:sz w:val="11"/>
                <w:szCs w:val="11"/>
                <w:color w:val="auto"/>
              </w:rPr>
              <w:t>$500 million 2.60% Senior Notes due December 2019</w:t>
            </w:r>
          </w:p>
        </w:tc>
        <w:tc>
          <w:tcPr>
            <w:tcW w:w="2700" w:type="dxa"/>
            <w:vAlign w:val="bottom"/>
            <w:shd w:val="clear" w:color="auto" w:fill="CCEEFF"/>
          </w:tcPr>
          <w:p>
            <w:pPr>
              <w:jc w:val="center"/>
              <w:spacing w:after="0" w:line="96" w:lineRule="exact"/>
              <w:rPr>
                <w:sz w:val="20"/>
                <w:szCs w:val="20"/>
                <w:color w:val="auto"/>
              </w:rPr>
            </w:pPr>
            <w:r>
              <w:rPr>
                <w:rFonts w:ascii="Arial" w:cs="Arial" w:eastAsia="Arial" w:hAnsi="Arial"/>
                <w:sz w:val="11"/>
                <w:szCs w:val="11"/>
                <w:color w:val="auto"/>
              </w:rPr>
              <w:t>November 2019</w:t>
            </w:r>
          </w:p>
        </w:tc>
        <w:tc>
          <w:tcPr>
            <w:tcW w:w="640" w:type="dxa"/>
            <w:vAlign w:val="bottom"/>
            <w:vMerge w:val="restart"/>
            <w:shd w:val="clear" w:color="auto" w:fill="CCEEFF"/>
          </w:tcPr>
          <w:p>
            <w:pPr>
              <w:jc w:val="right"/>
              <w:ind w:right="37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65"/>
        </w:trPr>
        <w:tc>
          <w:tcPr>
            <w:tcW w:w="22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7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260" w:type="dxa"/>
            <w:vAlign w:val="bottom"/>
          </w:tcPr>
          <w:p>
            <w:pPr>
              <w:jc w:val="center"/>
              <w:spacing w:after="0" w:line="96" w:lineRule="exact"/>
              <w:rPr>
                <w:sz w:val="20"/>
                <w:szCs w:val="20"/>
                <w:color w:val="auto"/>
              </w:rPr>
            </w:pPr>
            <w:r>
              <w:rPr>
                <w:rFonts w:ascii="Arial" w:cs="Arial" w:eastAsia="Arial" w:hAnsi="Arial"/>
                <w:sz w:val="11"/>
                <w:szCs w:val="11"/>
                <w:color w:val="auto"/>
              </w:rPr>
              <w:t>2019</w:t>
            </w:r>
          </w:p>
        </w:tc>
        <w:tc>
          <w:tcPr>
            <w:tcW w:w="100" w:type="dxa"/>
            <w:vAlign w:val="bottom"/>
          </w:tcPr>
          <w:p>
            <w:pPr>
              <w:spacing w:after="0"/>
              <w:rPr>
                <w:sz w:val="8"/>
                <w:szCs w:val="8"/>
                <w:color w:val="auto"/>
              </w:rPr>
            </w:pPr>
          </w:p>
        </w:tc>
        <w:tc>
          <w:tcPr>
            <w:tcW w:w="5560" w:type="dxa"/>
            <w:vAlign w:val="bottom"/>
            <w:gridSpan w:val="2"/>
          </w:tcPr>
          <w:p>
            <w:pPr>
              <w:jc w:val="center"/>
              <w:ind w:right="100"/>
              <w:spacing w:after="0" w:line="96" w:lineRule="exact"/>
              <w:rPr>
                <w:sz w:val="20"/>
                <w:szCs w:val="20"/>
                <w:color w:val="auto"/>
              </w:rPr>
            </w:pPr>
            <w:r>
              <w:rPr>
                <w:rFonts w:ascii="Arial" w:cs="Arial" w:eastAsia="Arial" w:hAnsi="Arial"/>
                <w:sz w:val="11"/>
                <w:szCs w:val="11"/>
                <w:color w:val="auto"/>
              </w:rPr>
              <w:t>$500 million 5.75% Senior Notes due January 2020</w:t>
            </w:r>
          </w:p>
        </w:tc>
        <w:tc>
          <w:tcPr>
            <w:tcW w:w="2700" w:type="dxa"/>
            <w:vAlign w:val="bottom"/>
          </w:tcPr>
          <w:p>
            <w:pPr>
              <w:jc w:val="center"/>
              <w:spacing w:after="0" w:line="96" w:lineRule="exact"/>
              <w:rPr>
                <w:sz w:val="20"/>
                <w:szCs w:val="20"/>
                <w:color w:val="auto"/>
              </w:rPr>
            </w:pPr>
            <w:r>
              <w:rPr>
                <w:rFonts w:ascii="Arial" w:cs="Arial" w:eastAsia="Arial" w:hAnsi="Arial"/>
                <w:sz w:val="11"/>
                <w:szCs w:val="11"/>
                <w:color w:val="auto"/>
              </w:rPr>
              <w:t>December 2019</w:t>
            </w:r>
          </w:p>
        </w:tc>
        <w:tc>
          <w:tcPr>
            <w:tcW w:w="640" w:type="dxa"/>
            <w:vAlign w:val="bottom"/>
            <w:vMerge w:val="restart"/>
          </w:tcPr>
          <w:p>
            <w:pPr>
              <w:jc w:val="right"/>
              <w:ind w:right="37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246570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98" w:lineRule="exact"/>
        <w:rPr>
          <w:sz w:val="20"/>
          <w:szCs w:val="20"/>
          <w:color w:val="auto"/>
        </w:rPr>
      </w:pPr>
    </w:p>
    <w:p>
      <w:pPr>
        <w:ind w:left="500" w:hanging="495"/>
        <w:spacing w:after="0"/>
        <w:tabs>
          <w:tab w:leader="none" w:pos="50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We repaid these senior notes with proceeds from our 3.80% senior notes issued in June 2020 and cash on hand.</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We repaid these senior notes with proceeds from our 3.55% senior notes issued in September 2019 and cash on hand.</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Maturities</w:t>
      </w:r>
    </w:p>
    <w:p>
      <w:pPr>
        <w:spacing w:after="0" w:line="200"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The weighted average maturity of our senior notes outstanding at December 31, 2021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00" w:type="dxa"/>
            <w:vAlign w:val="bottom"/>
            <w:vMerge w:val="restart"/>
          </w:tcPr>
          <w:p>
            <w:pPr>
              <w:spacing w:after="0"/>
              <w:rPr>
                <w:sz w:val="20"/>
                <w:szCs w:val="20"/>
                <w:color w:val="auto"/>
              </w:rPr>
            </w:pPr>
            <w:r>
              <w:rPr>
                <w:rFonts w:ascii="Arial" w:cs="Arial" w:eastAsia="Arial" w:hAnsi="Arial"/>
                <w:sz w:val="11"/>
                <w:szCs w:val="11"/>
                <w:b w:val="1"/>
                <w:bCs w:val="1"/>
                <w:color w:val="auto"/>
              </w:rPr>
              <w:t>Calendar Year</w:t>
            </w:r>
          </w:p>
        </w:tc>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right"/>
              <w:ind w:right="453"/>
              <w:spacing w:after="0"/>
              <w:rPr>
                <w:sz w:val="20"/>
                <w:szCs w:val="20"/>
                <w:color w:val="auto"/>
              </w:rPr>
            </w:pPr>
            <w:r>
              <w:rPr>
                <w:rFonts w:ascii="Arial" w:cs="Arial" w:eastAsia="Arial" w:hAnsi="Arial"/>
                <w:sz w:val="11"/>
                <w:szCs w:val="11"/>
                <w:b w:val="1"/>
                <w:bCs w:val="1"/>
                <w:color w:val="auto"/>
              </w:rPr>
              <w:t>Payment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Borders>
              <w:bottom w:val="single" w:sz="8" w:color="auto"/>
            </w:tcBorders>
            <w:vMerge w:val="continue"/>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6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2023</w:t>
            </w:r>
          </w:p>
        </w:tc>
        <w:tc>
          <w:tcPr>
            <w:tcW w:w="698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69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2025</w:t>
            </w:r>
          </w:p>
        </w:tc>
        <w:tc>
          <w:tcPr>
            <w:tcW w:w="698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9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Thereafter</w:t>
            </w:r>
          </w:p>
        </w:tc>
        <w:tc>
          <w:tcPr>
            <w:tcW w:w="698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980" w:type="dxa"/>
            <w:vAlign w:val="bottom"/>
            <w:gridSpan w:val="3"/>
          </w:tcPr>
          <w:p>
            <w:pPr>
              <w:jc w:val="right"/>
              <w:ind w:right="4249"/>
              <w:spacing w:after="0"/>
              <w:rPr>
                <w:sz w:val="20"/>
                <w:szCs w:val="20"/>
                <w:color w:val="auto"/>
              </w:rPr>
            </w:pPr>
            <w:r>
              <w:rPr>
                <w:rFonts w:ascii="Arial" w:cs="Arial" w:eastAsia="Arial" w:hAnsi="Arial"/>
                <w:sz w:val="14"/>
                <w:szCs w:val="14"/>
                <w:color w:val="auto"/>
              </w:rPr>
              <w:t>F-38</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6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0" w:name="page151"/>
    <w:bookmarkEnd w:id="1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Covenants and Compliance</w:t>
      </w:r>
    </w:p>
    <w:p>
      <w:pPr>
        <w:spacing w:after="0" w:line="200" w:lineRule="exact"/>
        <w:rPr>
          <w:sz w:val="20"/>
          <w:szCs w:val="20"/>
          <w:color w:val="auto"/>
        </w:rPr>
      </w:pPr>
    </w:p>
    <w:p>
      <w:pPr>
        <w:ind w:right="180" w:firstLine="509"/>
        <w:spacing w:after="0" w:line="297" w:lineRule="auto"/>
        <w:rPr>
          <w:sz w:val="20"/>
          <w:szCs w:val="20"/>
          <w:color w:val="auto"/>
        </w:rPr>
      </w:pPr>
      <w:r>
        <w:rPr>
          <w:rFonts w:ascii="Arial" w:cs="Arial" w:eastAsia="Arial" w:hAnsi="Arial"/>
          <w:sz w:val="13"/>
          <w:szCs w:val="13"/>
          <w:color w:val="auto"/>
        </w:rPr>
        <w:t>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45" w:lineRule="exact"/>
        <w:rPr>
          <w:sz w:val="20"/>
          <w:szCs w:val="20"/>
          <w:color w:val="auto"/>
        </w:rPr>
      </w:pPr>
    </w:p>
    <w:p>
      <w:pPr>
        <w:ind w:left="760" w:hanging="246"/>
        <w:spacing w:after="0"/>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grant liens on certain property;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incur indebtedness, including finance leases;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sell substantially all of our assets or enter into a merger or consolidation;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engage in certain transactions with affiliates;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enter into certain burdensome agreements.</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credit agreements for our senior unsecured revolving credit facility and senior secured hedged inventory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68"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2021, we were in compliance with the covenants contained in our credit agreements and indentures.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Borrowings and Repayments</w:t>
      </w:r>
    </w:p>
    <w:p>
      <w:pPr>
        <w:spacing w:after="0" w:line="200"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Total borrowings under our credit facilities and commercial paper program for the years ended December 31, 2021, 2020 and 2019 were approximately $32.5 billion, $29.3 billion and $13.3 billion, respectively. Total repayments under our credit facilities and commercial paper program were approximately $33.2 billion, $29.0 billion and $12.9 billion for the years ended December 31, 2021,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200"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In connection with our merchant activities, we provide certain suppliers with irrevocable standby letters of credit to secure our obligation for the purchase and transportation of crude oil and NGL. These letters of credit are issued under our senior unsecured revolving credit facility and our senior secured hedged inventory facility, and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2021 and 2020, we had outstanding letters of credit of $98 million and $129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Issuance Costs</w:t>
      </w:r>
    </w:p>
    <w:p>
      <w:pPr>
        <w:spacing w:after="0" w:line="200"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51" w:name="page152"/>
    <w:bookmarkEnd w:id="1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12—Partners’ Capital and Distributions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Units Outstanding</w:t>
      </w:r>
    </w:p>
    <w:p>
      <w:pPr>
        <w:spacing w:after="0" w:line="200" w:lineRule="exact"/>
        <w:rPr>
          <w:sz w:val="20"/>
          <w:szCs w:val="20"/>
          <w:color w:val="auto"/>
        </w:rPr>
      </w:pPr>
    </w:p>
    <w:p>
      <w:pPr>
        <w:jc w:val="both"/>
        <w:ind w:right="200" w:firstLine="509"/>
        <w:spacing w:after="0" w:line="368" w:lineRule="auto"/>
        <w:rPr>
          <w:sz w:val="20"/>
          <w:szCs w:val="20"/>
          <w:color w:val="auto"/>
        </w:rPr>
      </w:pPr>
      <w:r>
        <w:rPr>
          <w:rFonts w:ascii="Arial" w:cs="Arial" w:eastAsia="Arial" w:hAnsi="Arial"/>
          <w:sz w:val="12"/>
          <w:szCs w:val="12"/>
          <w:color w:val="auto"/>
        </w:rPr>
        <w:t>At December 31, 2021, partners’ capital consisted of outstanding common units and Series A and Series B preferred units, which represent limited partner interests in us, which give the holders thereof the right to participate in distributions and to exercise the other rights or privileges as outlined in our partnership agreement. Our general partner has a non-economic interest in us.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Series A Preferred Units</w:t>
      </w:r>
    </w:p>
    <w:p>
      <w:pPr>
        <w:spacing w:after="0" w:line="204" w:lineRule="exact"/>
        <w:rPr>
          <w:sz w:val="20"/>
          <w:szCs w:val="20"/>
          <w:color w:val="auto"/>
        </w:rPr>
      </w:pPr>
    </w:p>
    <w:p>
      <w:pPr>
        <w:ind w:firstLine="509"/>
        <w:spacing w:after="0" w:line="331" w:lineRule="auto"/>
        <w:rPr>
          <w:sz w:val="20"/>
          <w:szCs w:val="20"/>
          <w:color w:val="auto"/>
        </w:rPr>
      </w:pPr>
      <w:r>
        <w:rPr>
          <w:rFonts w:ascii="Arial" w:cs="Arial" w:eastAsia="Arial" w:hAnsi="Arial"/>
          <w:sz w:val="12"/>
          <w:szCs w:val="12"/>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equal to $0.525 per unit ($2.10 per unit annualized).</w:t>
      </w:r>
    </w:p>
    <w:p>
      <w:pPr>
        <w:spacing w:after="0" w:line="129"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The holders may convert their Series A preferred units into common units, generally on a one-for-one basis and subject to customary anti-dilution adjustments, at any time, in whole or in part, subject to certain minimum conversion amounts (and not more often than once per quarter). We may convert the Series A preferred units into common units at any time (but not more often than once per quarter), in whole or in part, subject to certain minimum conversion amounts, if the closing price of our common units is greater than 150% of the Issue Price for the preceding 20 trading days. The Series A preferred units vote on an as-converted basis with our common units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156"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For a period of 30 days following (a) the fifth anniversary of the January 28, 2016 issuance date (the “Issuance Date”) of the Series A preferred units and (b) each subsequent anniversary of the Issuance Date, the holders of the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our common units for a trading day period specified in our partnership agreement) or a combination of cash and common units at a redemption price equal to 110% of the Issue Price, plus any accrued and unpaid distributions.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Series B Preferred Units</w:t>
      </w:r>
    </w:p>
    <w:p>
      <w:pPr>
        <w:spacing w:after="0" w:line="20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2" w:right="399" w:bottom="1440" w:gutter="0" w:footer="0" w:header="0"/>
        </w:sectPr>
      </w:pPr>
    </w:p>
    <w:bookmarkStart w:id="152" w:name="page153"/>
    <w:bookmarkEnd w:id="1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509"/>
        <w:spacing w:after="0" w:line="257" w:lineRule="auto"/>
        <w:rPr>
          <w:sz w:val="20"/>
          <w:szCs w:val="20"/>
          <w:color w:val="auto"/>
        </w:rPr>
      </w:pPr>
      <w:r>
        <w:rPr>
          <w:rFonts w:ascii="Arial" w:cs="Arial" w:eastAsia="Arial" w:hAnsi="Arial"/>
          <w:sz w:val="14"/>
          <w:szCs w:val="14"/>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Seventh Amended and Restated Agreement of Limited Partnership) plus a spread of 4.11%.</w:t>
      </w:r>
    </w:p>
    <w:p>
      <w:pPr>
        <w:spacing w:after="0" w:line="17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activity for our preferred and common units: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4"/>
              </w:rPr>
              <w:t>Limited Partners</w:t>
            </w: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540" w:type="dxa"/>
            <w:vAlign w:val="bottom"/>
          </w:tcPr>
          <w:p>
            <w:pPr>
              <w:spacing w:after="0"/>
              <w:rPr>
                <w:sz w:val="8"/>
                <w:szCs w:val="8"/>
                <w:color w:val="auto"/>
              </w:rPr>
            </w:pPr>
          </w:p>
        </w:tc>
        <w:tc>
          <w:tcPr>
            <w:tcW w:w="1620" w:type="dxa"/>
            <w:vAlign w:val="bottom"/>
            <w:gridSpan w:val="2"/>
          </w:tcPr>
          <w:p>
            <w:pPr>
              <w:jc w:val="center"/>
              <w:ind w:right="100"/>
              <w:spacing w:after="0" w:line="101" w:lineRule="exact"/>
              <w:rPr>
                <w:sz w:val="20"/>
                <w:szCs w:val="20"/>
                <w:color w:val="auto"/>
              </w:rPr>
            </w:pPr>
            <w:r>
              <w:rPr>
                <w:rFonts w:ascii="Arial" w:cs="Arial" w:eastAsia="Arial" w:hAnsi="Arial"/>
                <w:sz w:val="11"/>
                <w:szCs w:val="11"/>
                <w:b w:val="1"/>
                <w:bCs w:val="1"/>
                <w:color w:val="auto"/>
                <w:w w:val="90"/>
              </w:rPr>
              <w:t>Series A</w:t>
            </w:r>
          </w:p>
        </w:tc>
        <w:tc>
          <w:tcPr>
            <w:tcW w:w="1600" w:type="dxa"/>
            <w:vAlign w:val="bottom"/>
            <w:gridSpan w:val="2"/>
          </w:tcPr>
          <w:p>
            <w:pPr>
              <w:jc w:val="center"/>
              <w:ind w:right="100"/>
              <w:spacing w:after="0" w:line="101" w:lineRule="exact"/>
              <w:rPr>
                <w:sz w:val="20"/>
                <w:szCs w:val="20"/>
                <w:color w:val="auto"/>
              </w:rPr>
            </w:pPr>
            <w:r>
              <w:rPr>
                <w:rFonts w:ascii="Arial" w:cs="Arial" w:eastAsia="Arial" w:hAnsi="Arial"/>
                <w:sz w:val="11"/>
                <w:szCs w:val="11"/>
                <w:b w:val="1"/>
                <w:bCs w:val="1"/>
                <w:color w:val="auto"/>
                <w:w w:val="86"/>
              </w:rPr>
              <w:t>Series B</w:t>
            </w:r>
          </w:p>
        </w:tc>
        <w:tc>
          <w:tcPr>
            <w:tcW w:w="152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Common Units</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Preferred Units</w:t>
            </w: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Preferred Units</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40" w:type="dxa"/>
            <w:vAlign w:val="bottom"/>
            <w:tcBorders>
              <w:top w:val="single" w:sz="8" w:color="CCEEFF"/>
              <w:bottom w:val="single" w:sz="8" w:color="CCEEFF"/>
            </w:tcBorders>
            <w:shd w:val="clear" w:color="auto" w:fill="CCEEFF"/>
          </w:tcPr>
          <w:p>
            <w:pPr>
              <w:ind w:left="20"/>
              <w:spacing w:after="0" w:line="151" w:lineRule="exact"/>
              <w:rPr>
                <w:sz w:val="20"/>
                <w:szCs w:val="20"/>
                <w:color w:val="auto"/>
              </w:rPr>
            </w:pPr>
            <w:r>
              <w:rPr>
                <w:rFonts w:ascii="Arial" w:cs="Arial" w:eastAsia="Arial" w:hAnsi="Arial"/>
                <w:sz w:val="14"/>
                <w:szCs w:val="14"/>
                <w:color w:val="auto"/>
              </w:rPr>
              <w:t>Outstanding at December 31, 2018</w:t>
            </w:r>
          </w:p>
        </w:tc>
        <w:tc>
          <w:tcPr>
            <w:tcW w:w="152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71,090,468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800,000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726,361,924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Issuances of common units under equity-indexed compensation plans</w:t>
            </w:r>
          </w:p>
        </w:tc>
        <w:tc>
          <w:tcPr>
            <w:tcW w:w="162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tcBorders>
              <w:top w:val="single" w:sz="8" w:color="CCEEFF"/>
              <w:bottom w:val="single" w:sz="8" w:color="CCEEFF"/>
            </w:tcBorders>
            <w:vMerge w:val="continue"/>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1,666,652</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71,090,468</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728,028,576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Repurchase and cancellation of common units under the Common Equity Repurchase Program</w:t>
            </w:r>
          </w:p>
        </w:tc>
        <w:tc>
          <w:tcPr>
            <w:tcW w:w="162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tcBorders>
              <w:top w:val="single" w:sz="8" w:color="CCEEFF"/>
            </w:tcBorders>
            <w:vMerge w:val="continue"/>
          </w:tcPr>
          <w:p>
            <w:pPr>
              <w:spacing w:after="0"/>
              <w:rPr>
                <w:sz w:val="12"/>
                <w:szCs w:val="12"/>
                <w:color w:val="auto"/>
              </w:rPr>
            </w:pPr>
          </w:p>
        </w:tc>
        <w:tc>
          <w:tcPr>
            <w:tcW w:w="1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(6,222,748)</w:t>
            </w:r>
          </w:p>
        </w:tc>
        <w:tc>
          <w:tcPr>
            <w:tcW w:w="0" w:type="dxa"/>
            <w:vAlign w:val="bottom"/>
          </w:tcPr>
          <w:p>
            <w:pPr>
              <w:spacing w:after="0"/>
              <w:rPr>
                <w:sz w:val="1"/>
                <w:szCs w:val="1"/>
                <w:color w:val="auto"/>
              </w:rPr>
            </w:pPr>
          </w:p>
        </w:tc>
      </w:tr>
      <w:tr>
        <w:trPr>
          <w:trHeight w:val="180"/>
        </w:trPr>
        <w:tc>
          <w:tcPr>
            <w:tcW w:w="6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common units under equity-indexed compensation plans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574,588</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71,090,468</w:t>
            </w:r>
          </w:p>
        </w:tc>
        <w:tc>
          <w:tcPr>
            <w:tcW w:w="10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722,380,416</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and cancellation of common units under the Common Equity Repurchase Program</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(18,061,583)</w:t>
            </w:r>
          </w:p>
        </w:tc>
        <w:tc>
          <w:tcPr>
            <w:tcW w:w="0" w:type="dxa"/>
            <w:vAlign w:val="bottom"/>
          </w:tcPr>
          <w:p>
            <w:pPr>
              <w:spacing w:after="0"/>
              <w:rPr>
                <w:sz w:val="1"/>
                <w:szCs w:val="1"/>
                <w:color w:val="auto"/>
              </w:rPr>
            </w:pPr>
          </w:p>
        </w:tc>
      </w:tr>
      <w:tr>
        <w:trPr>
          <w:trHeight w:val="180"/>
        </w:trPr>
        <w:tc>
          <w:tcPr>
            <w:tcW w:w="6540" w:type="dxa"/>
            <w:vAlign w:val="bottom"/>
          </w:tcPr>
          <w:p>
            <w:pPr>
              <w:ind w:left="120"/>
              <w:spacing w:after="0"/>
              <w:rPr>
                <w:sz w:val="20"/>
                <w:szCs w:val="20"/>
                <w:color w:val="auto"/>
              </w:rPr>
            </w:pPr>
            <w:r>
              <w:rPr>
                <w:rFonts w:ascii="Arial" w:cs="Arial" w:eastAsia="Arial" w:hAnsi="Arial"/>
                <w:sz w:val="14"/>
                <w:szCs w:val="14"/>
                <w:color w:val="auto"/>
              </w:rPr>
              <w:t>Issuances of common units under equity-indexed compensation plans</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672,707</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71,090,468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704,991,540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i w:val="1"/>
          <w:iCs w:val="1"/>
          <w:color w:val="auto"/>
        </w:rPr>
        <w:t xml:space="preserve">Common Equity Repurchase Program. </w:t>
      </w:r>
      <w:r>
        <w:rPr>
          <w:rFonts w:ascii="Arial" w:cs="Arial" w:eastAsia="Arial" w:hAnsi="Arial"/>
          <w:sz w:val="14"/>
          <w:szCs w:val="14"/>
          <w:color w:val="auto"/>
        </w:rPr>
        <w:t>In November 2020, the board of directors of PAGP GP approved a $500 million common equity repurchase program (the “Program”) to be utilized as</w:t>
      </w:r>
      <w:r>
        <w:rPr>
          <w:rFonts w:ascii="Arial" w:cs="Arial" w:eastAsia="Arial" w:hAnsi="Arial"/>
          <w:sz w:val="14"/>
          <w:szCs w:val="14"/>
          <w:i w:val="1"/>
          <w:iCs w:val="1"/>
          <w:color w:val="auto"/>
        </w:rPr>
        <w:t xml:space="preserve"> </w:t>
      </w:r>
      <w:r>
        <w:rPr>
          <w:rFonts w:ascii="Arial" w:cs="Arial" w:eastAsia="Arial" w:hAnsi="Arial"/>
          <w:sz w:val="14"/>
          <w:szCs w:val="14"/>
          <w:color w:val="auto"/>
        </w:rPr>
        <w:t>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17 for additional information regarding our ownership of PAGP Class C shares.</w:t>
      </w:r>
    </w:p>
    <w:p>
      <w:pPr>
        <w:spacing w:after="0" w:line="171" w:lineRule="exact"/>
        <w:rPr>
          <w:sz w:val="20"/>
          <w:szCs w:val="20"/>
          <w:color w:val="auto"/>
        </w:rPr>
      </w:pPr>
    </w:p>
    <w:p>
      <w:pPr>
        <w:jc w:val="both"/>
        <w:ind w:right="100" w:firstLine="509"/>
        <w:spacing w:after="0" w:line="331" w:lineRule="auto"/>
        <w:rPr>
          <w:sz w:val="20"/>
          <w:szCs w:val="20"/>
          <w:color w:val="auto"/>
        </w:rPr>
      </w:pPr>
      <w:r>
        <w:rPr>
          <w:rFonts w:ascii="Arial" w:cs="Arial" w:eastAsia="Arial" w:hAnsi="Arial"/>
          <w:sz w:val="12"/>
          <w:szCs w:val="12"/>
          <w:color w:val="auto"/>
        </w:rPr>
        <w:t>We repurchased 18,061,583 and 6,222,748 common units under the Program through open market purchases that settled during the years ended December 31, 2021 and 2020, respectively. The total purchase price of these units was $178 million and $50 million, respectively, including commissions and fees. The repurchased common units were canceled immediately upon acquisition, as were the PAGP Class C shares held by us associated with the repurchased common units. At December 31, 2021, the remaining available capacity under the Program was $272 million.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3" w:name="page154"/>
    <w:bookmarkEnd w:id="1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Allocation</w:t>
      </w:r>
    </w:p>
    <w:p>
      <w:pPr>
        <w:spacing w:after="0" w:line="200" w:lineRule="exact"/>
        <w:rPr>
          <w:sz w:val="20"/>
          <w:szCs w:val="20"/>
          <w:color w:val="auto"/>
        </w:rPr>
      </w:pPr>
    </w:p>
    <w:p>
      <w:pPr>
        <w:ind w:right="420" w:firstLine="509"/>
        <w:spacing w:after="0" w:line="331" w:lineRule="auto"/>
        <w:rPr>
          <w:sz w:val="20"/>
          <w:szCs w:val="20"/>
          <w:color w:val="auto"/>
        </w:rPr>
      </w:pPr>
      <w:r>
        <w:rPr>
          <w:rFonts w:ascii="Arial" w:cs="Arial" w:eastAsia="Arial" w:hAnsi="Arial"/>
          <w:sz w:val="12"/>
          <w:szCs w:val="12"/>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 In accordance with our partnership agreement, our Series A preferred unitholders are not allocated income for paid-in-kind distributions for partners’ capital presentation purposes.</w:t>
      </w:r>
    </w:p>
    <w:p>
      <w:pPr>
        <w:spacing w:after="0" w:line="129"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(whether paid in cash or in-kind) on our Series A and Series B preferred units. See Note 4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 to Unitholders</w:t>
      </w:r>
    </w:p>
    <w:p>
      <w:pPr>
        <w:spacing w:after="0" w:line="200" w:lineRule="exact"/>
        <w:rPr>
          <w:sz w:val="20"/>
          <w:szCs w:val="20"/>
          <w:color w:val="auto"/>
        </w:rPr>
      </w:pPr>
    </w:p>
    <w:p>
      <w:pPr>
        <w:ind w:right="340" w:firstLine="509"/>
        <w:spacing w:after="0" w:line="331" w:lineRule="auto"/>
        <w:rPr>
          <w:sz w:val="20"/>
          <w:szCs w:val="20"/>
          <w:color w:val="auto"/>
        </w:rPr>
      </w:pPr>
      <w:r>
        <w:rPr>
          <w:rFonts w:ascii="Arial" w:cs="Arial" w:eastAsia="Arial" w:hAnsi="Arial"/>
          <w:sz w:val="12"/>
          <w:szCs w:val="12"/>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Preferred Unit Distributions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details distributions paid to our preferred unitholders during the years presented (in millions, except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Cash Distributions</w:t>
            </w:r>
          </w:p>
        </w:tc>
        <w:tc>
          <w:tcPr>
            <w:tcW w:w="2180" w:type="dxa"/>
            <w:vAlign w:val="bottom"/>
            <w:tcBorders>
              <w:bottom w:val="single" w:sz="8" w:color="auto"/>
            </w:tcBorders>
          </w:tcPr>
          <w:p>
            <w:pPr>
              <w:spacing w:after="0"/>
              <w:rPr>
                <w:sz w:val="12"/>
                <w:szCs w:val="12"/>
                <w:color w:val="auto"/>
              </w:rPr>
            </w:pPr>
          </w:p>
        </w:tc>
      </w:tr>
      <w:tr>
        <w:trPr>
          <w:trHeight w:val="147"/>
        </w:trPr>
        <w:tc>
          <w:tcPr>
            <w:tcW w:w="578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340" w:type="dxa"/>
            <w:vAlign w:val="bottom"/>
          </w:tcPr>
          <w:p>
            <w:pPr>
              <w:spacing w:after="0"/>
              <w:rPr>
                <w:sz w:val="12"/>
                <w:szCs w:val="12"/>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b w:val="1"/>
                <w:bCs w:val="1"/>
                <w:color w:val="auto"/>
              </w:rPr>
              <w:t>Series A Preferred Unitholders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80" w:type="dxa"/>
            <w:vAlign w:val="bottom"/>
          </w:tcPr>
          <w:p>
            <w:pPr>
              <w:jc w:val="right"/>
              <w:ind w:right="513"/>
              <w:spacing w:after="0"/>
              <w:rPr>
                <w:sz w:val="20"/>
                <w:szCs w:val="20"/>
                <w:color w:val="auto"/>
              </w:rPr>
            </w:pPr>
            <w:r>
              <w:rPr>
                <w:rFonts w:ascii="Arial" w:cs="Arial" w:eastAsia="Arial" w:hAnsi="Arial"/>
                <w:sz w:val="11"/>
                <w:szCs w:val="11"/>
                <w:b w:val="1"/>
                <w:bCs w:val="1"/>
                <w:color w:val="auto"/>
                <w:w w:val="98"/>
              </w:rPr>
              <w:t>Series B Preferred Unitholders</w:t>
            </w:r>
          </w:p>
        </w:tc>
      </w:tr>
      <w:tr>
        <w:trPr>
          <w:trHeight w:val="172"/>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5700" w:type="dxa"/>
            <w:vAlign w:val="bottom"/>
          </w:tcPr>
          <w:p>
            <w:pPr>
              <w:ind w:left="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23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right w:val="single" w:sz="8" w:color="auto"/>
            </w:tcBorders>
          </w:tcPr>
          <w:p>
            <w:pPr>
              <w:spacing w:after="0"/>
              <w:rPr>
                <w:sz w:val="15"/>
                <w:szCs w:val="15"/>
                <w:color w:val="auto"/>
              </w:rPr>
            </w:pPr>
          </w:p>
        </w:tc>
        <w:tc>
          <w:tcPr>
            <w:tcW w:w="54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1"/>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right w:val="single" w:sz="8" w:color="auto"/>
            </w:tcBorders>
            <w:shd w:val="clear" w:color="auto" w:fill="CCEEFF"/>
          </w:tcPr>
          <w:p>
            <w:pPr>
              <w:spacing w:after="0"/>
              <w:rPr>
                <w:sz w:val="15"/>
                <w:szCs w:val="15"/>
                <w:color w:val="auto"/>
              </w:rPr>
            </w:pPr>
          </w:p>
        </w:tc>
        <w:tc>
          <w:tcPr>
            <w:tcW w:w="54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bl>
    <w:p>
      <w:pPr>
        <w:spacing w:after="0" w:line="255"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On February 14, 2022, we paid a cash distribution of $37 million to our Series A preferred unitholders. At December 31, 2021, such amount was accrued as distributions payable in “Other current liabilities” on our Consolidated Balance Sheet. At December 31, 2021, approximately $6 million of accrued distributions payable to our Series B preferred unitholders was included in “Other current liabilities” on our Consolidated Balance Sheet.</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Common Unit Distributions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details distributions paid to common unitholders during the years presented (in millions, except per unit data):</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1"/>
                <w:szCs w:val="11"/>
                <w:b w:val="1"/>
                <w:bCs w:val="1"/>
                <w:color w:val="auto"/>
                <w:w w:val="93"/>
              </w:rPr>
              <w:t>Distributions Paid</w:t>
            </w: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615"/>
              <w:spacing w:after="0"/>
              <w:rPr>
                <w:sz w:val="20"/>
                <w:szCs w:val="20"/>
                <w:color w:val="auto"/>
              </w:rPr>
            </w:pPr>
            <w:r>
              <w:rPr>
                <w:rFonts w:ascii="Arial" w:cs="Arial" w:eastAsia="Arial" w:hAnsi="Arial"/>
                <w:sz w:val="11"/>
                <w:szCs w:val="11"/>
                <w:b w:val="1"/>
                <w:bCs w:val="1"/>
                <w:color w:val="auto"/>
              </w:rPr>
              <w:t>Distributions per</w:t>
            </w:r>
          </w:p>
        </w:tc>
      </w:tr>
      <w:tr>
        <w:trPr>
          <w:trHeight w:val="153"/>
        </w:trPr>
        <w:tc>
          <w:tcPr>
            <w:tcW w:w="224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500" w:type="dxa"/>
            <w:vAlign w:val="bottom"/>
          </w:tcPr>
          <w:p>
            <w:pPr>
              <w:spacing w:after="0"/>
              <w:rPr>
                <w:sz w:val="13"/>
                <w:szCs w:val="13"/>
                <w:color w:val="auto"/>
              </w:rPr>
            </w:pPr>
          </w:p>
        </w:tc>
        <w:tc>
          <w:tcPr>
            <w:tcW w:w="1740" w:type="dxa"/>
            <w:vAlign w:val="bottom"/>
            <w:gridSpan w:val="2"/>
          </w:tcPr>
          <w:p>
            <w:pPr>
              <w:ind w:left="400"/>
              <w:spacing w:after="0"/>
              <w:rPr>
                <w:sz w:val="20"/>
                <w:szCs w:val="20"/>
                <w:color w:val="auto"/>
              </w:rPr>
            </w:pPr>
            <w:r>
              <w:rPr>
                <w:rFonts w:ascii="Arial" w:cs="Arial" w:eastAsia="Arial" w:hAnsi="Arial"/>
                <w:sz w:val="11"/>
                <w:szCs w:val="11"/>
                <w:b w:val="1"/>
                <w:bCs w:val="1"/>
                <w:color w:val="auto"/>
              </w:rPr>
              <w:t>Public</w:t>
            </w:r>
          </w:p>
        </w:tc>
        <w:tc>
          <w:tcPr>
            <w:tcW w:w="340" w:type="dxa"/>
            <w:vAlign w:val="bottom"/>
          </w:tcPr>
          <w:p>
            <w:pPr>
              <w:spacing w:after="0"/>
              <w:rPr>
                <w:sz w:val="13"/>
                <w:szCs w:val="13"/>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AAP</w:t>
            </w:r>
          </w:p>
        </w:tc>
        <w:tc>
          <w:tcPr>
            <w:tcW w:w="500" w:type="dxa"/>
            <w:vAlign w:val="bottom"/>
          </w:tcPr>
          <w:p>
            <w:pPr>
              <w:spacing w:after="0"/>
              <w:rPr>
                <w:sz w:val="13"/>
                <w:szCs w:val="13"/>
                <w:color w:val="auto"/>
              </w:rPr>
            </w:pPr>
          </w:p>
        </w:tc>
        <w:tc>
          <w:tcPr>
            <w:tcW w:w="1760" w:type="dxa"/>
            <w:vAlign w:val="bottom"/>
            <w:gridSpan w:val="2"/>
          </w:tcPr>
          <w:p>
            <w:pPr>
              <w:ind w:left="44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715"/>
              <w:spacing w:after="0"/>
              <w:rPr>
                <w:sz w:val="20"/>
                <w:szCs w:val="20"/>
                <w:color w:val="auto"/>
              </w:rPr>
            </w:pPr>
            <w:r>
              <w:rPr>
                <w:rFonts w:ascii="Arial" w:cs="Arial" w:eastAsia="Arial" w:hAnsi="Arial"/>
                <w:sz w:val="11"/>
                <w:szCs w:val="11"/>
                <w:b w:val="1"/>
                <w:bCs w:val="1"/>
                <w:color w:val="auto"/>
              </w:rPr>
              <w:t>common unit</w:t>
            </w:r>
          </w:p>
        </w:tc>
      </w:tr>
      <w:tr>
        <w:trPr>
          <w:trHeight w:val="172"/>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0.72</w:t>
            </w: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Borders>
              <w:right w:val="single" w:sz="8" w:color="auto"/>
            </w:tcBorders>
          </w:tcPr>
          <w:p>
            <w:pPr>
              <w:spacing w:after="0"/>
              <w:rPr>
                <w:sz w:val="15"/>
                <w:szCs w:val="15"/>
                <w:color w:val="auto"/>
              </w:rPr>
            </w:pP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5"/>
              <w:spacing w:after="0"/>
              <w:rPr>
                <w:sz w:val="20"/>
                <w:szCs w:val="20"/>
                <w:color w:val="auto"/>
              </w:rPr>
            </w:pPr>
            <w:r>
              <w:rPr>
                <w:rFonts w:ascii="Arial" w:cs="Arial" w:eastAsia="Arial" w:hAnsi="Arial"/>
                <w:sz w:val="14"/>
                <w:szCs w:val="14"/>
                <w:color w:val="auto"/>
              </w:rPr>
              <w:t>0.90</w:t>
            </w:r>
          </w:p>
        </w:tc>
      </w:tr>
      <w:tr>
        <w:trPr>
          <w:trHeight w:val="181"/>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20" w:type="dxa"/>
            <w:vAlign w:val="bottom"/>
            <w:tcBorders>
              <w:right w:val="single" w:sz="8" w:color="auto"/>
            </w:tcBorders>
            <w:shd w:val="clear" w:color="auto" w:fill="CCEEFF"/>
          </w:tcPr>
          <w:p>
            <w:pPr>
              <w:spacing w:after="0"/>
              <w:rPr>
                <w:sz w:val="15"/>
                <w:szCs w:val="15"/>
                <w:color w:val="auto"/>
              </w:rPr>
            </w:pPr>
          </w:p>
        </w:tc>
        <w:tc>
          <w:tcPr>
            <w:tcW w:w="4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1.38</w:t>
            </w:r>
          </w:p>
        </w:tc>
      </w:tr>
    </w:tbl>
    <w:p>
      <w:pPr>
        <w:spacing w:after="0" w:line="244" w:lineRule="exact"/>
        <w:rPr>
          <w:sz w:val="20"/>
          <w:szCs w:val="20"/>
          <w:color w:val="auto"/>
        </w:rPr>
      </w:pPr>
    </w:p>
    <w:p>
      <w:pPr>
        <w:ind w:right="60" w:firstLine="509"/>
        <w:spacing w:after="0" w:line="321" w:lineRule="auto"/>
        <w:rPr>
          <w:sz w:val="20"/>
          <w:szCs w:val="20"/>
          <w:color w:val="auto"/>
        </w:rPr>
      </w:pPr>
      <w:r>
        <w:rPr>
          <w:rFonts w:ascii="Arial" w:cs="Arial" w:eastAsia="Arial" w:hAnsi="Arial"/>
          <w:sz w:val="13"/>
          <w:szCs w:val="13"/>
          <w:color w:val="auto"/>
        </w:rPr>
        <w:t>On January 10, 2022, we declared a cash distribution of $0.18 per unit on our outstanding common units. The total distribution of $127 million was paid on February 14, 2022 to unitholders of record at the close of business on January 31, 2022, for the period from October 1, 2021 through December 31, 2021. Of this amount, approximately $43 million was paid to AAP.</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4" w:name="page155"/>
    <w:bookmarkEnd w:id="1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Subsidiaries</w:t>
      </w:r>
    </w:p>
    <w:p>
      <w:pPr>
        <w:spacing w:after="0" w:line="200"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As of December 31, 2021, noncontrolling interests in our subsidiaries consisted of (i) a 35% interest in the Permian JV and (ii) a 33% interest in Red River Pipeline Company LLC (“Red River LLC”). The transactions resulting in the recognition of such noncontrolling interests are described below.</w:t>
      </w:r>
    </w:p>
    <w:p>
      <w:pPr>
        <w:spacing w:after="0" w:line="153" w:lineRule="exact"/>
        <w:rPr>
          <w:sz w:val="20"/>
          <w:szCs w:val="20"/>
          <w:color w:val="auto"/>
        </w:rPr>
      </w:pPr>
    </w:p>
    <w:p>
      <w:pPr>
        <w:jc w:val="both"/>
        <w:ind w:right="120" w:firstLine="509"/>
        <w:spacing w:after="0" w:line="297" w:lineRule="auto"/>
        <w:rPr>
          <w:sz w:val="20"/>
          <w:szCs w:val="20"/>
          <w:color w:val="auto"/>
        </w:rPr>
      </w:pPr>
      <w:r>
        <w:rPr>
          <w:rFonts w:ascii="Arial" w:cs="Arial" w:eastAsia="Arial" w:hAnsi="Arial"/>
          <w:sz w:val="13"/>
          <w:szCs w:val="13"/>
          <w:color w:val="auto"/>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$2.7 billion and an increase to our partners’ capital excluding noncontrolling interests of approximately $605 million. See Note 7 for more details regarding this transaction.</w:t>
      </w:r>
    </w:p>
    <w:p>
      <w:pPr>
        <w:spacing w:after="0" w:line="145" w:lineRule="exact"/>
        <w:rPr>
          <w:sz w:val="20"/>
          <w:szCs w:val="20"/>
          <w:color w:val="auto"/>
        </w:rPr>
      </w:pPr>
    </w:p>
    <w:p>
      <w:pPr>
        <w:ind w:right="420" w:firstLine="509"/>
        <w:spacing w:after="0" w:line="281" w:lineRule="auto"/>
        <w:rPr>
          <w:sz w:val="20"/>
          <w:szCs w:val="20"/>
          <w:color w:val="auto"/>
        </w:rPr>
      </w:pPr>
      <w:r>
        <w:rPr>
          <w:rFonts w:ascii="Arial" w:cs="Arial" w:eastAsia="Arial" w:hAnsi="Arial"/>
          <w:sz w:val="14"/>
          <w:szCs w:val="14"/>
          <w:color w:val="auto"/>
        </w:rPr>
        <w:t>In May 2019, we formed a joint venture, Red River LLC, with Delek Logistics Partners, LP (“Delek”) on our Red River pipeline system. We received approximately $128 million for Delek’s 33% interest in Red River LLC. We consolidate Red River LLC based on control, with Delek’s 33% interest accounted for as a noncontrolling interest.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Noncontrolling Interest Contributions and Distributions</w:t>
      </w:r>
    </w:p>
    <w:p>
      <w:pPr>
        <w:spacing w:after="0" w:line="204"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During the years ended December 31, 2021 and 2020, we received contributions from noncontrolling interests in Red River LLC of $1 million and $12 million, respectively, related to the Red River pipeline capacity expansion.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the years ended December 31, 2021, 2020 and 2019, we paid distributions of $14 million, $10 million and $6 million, respectively, to noncontrolling interests in Red River LLC.</w:t>
      </w:r>
    </w:p>
    <w:p>
      <w:pPr>
        <w:spacing w:after="0" w:line="211" w:lineRule="exact"/>
        <w:rPr>
          <w:sz w:val="20"/>
          <w:szCs w:val="20"/>
          <w:color w:val="auto"/>
        </w:rPr>
      </w:pPr>
    </w:p>
    <w:p>
      <w:pPr>
        <w:ind w:right="360" w:firstLine="509"/>
        <w:spacing w:after="0" w:line="281" w:lineRule="auto"/>
        <w:rPr>
          <w:sz w:val="20"/>
          <w:szCs w:val="20"/>
          <w:color w:val="auto"/>
        </w:rPr>
      </w:pPr>
      <w:r>
        <w:rPr>
          <w:rFonts w:ascii="Arial" w:cs="Arial" w:eastAsia="Arial" w:hAnsi="Arial"/>
          <w:sz w:val="14"/>
          <w:szCs w:val="14"/>
          <w:color w:val="auto"/>
        </w:rPr>
        <w:t>The initial distribution from the Permian JV was paid during the first quarter of 2022, with approximately $54 million paid to noncontrolling interests. Subsequent distributions will be allocated based on the MSA. See Note 7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13—Derivatives and Risk Management Activities</w:t>
      </w:r>
    </w:p>
    <w:p>
      <w:pPr>
        <w:spacing w:after="0" w:line="204" w:lineRule="exact"/>
        <w:rPr>
          <w:sz w:val="20"/>
          <w:szCs w:val="20"/>
          <w:color w:val="auto"/>
        </w:rPr>
      </w:pPr>
    </w:p>
    <w:p>
      <w:pPr>
        <w:ind w:firstLine="509"/>
        <w:spacing w:after="0" w:line="304" w:lineRule="auto"/>
        <w:rPr>
          <w:sz w:val="20"/>
          <w:szCs w:val="20"/>
          <w:color w:val="auto"/>
        </w:rPr>
      </w:pPr>
      <w:r>
        <w:rPr>
          <w:rFonts w:ascii="Arial" w:cs="Arial" w:eastAsia="Arial" w:hAnsi="Arial"/>
          <w:sz w:val="12"/>
          <w:szCs w:val="12"/>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46" w:lineRule="exact"/>
        <w:rPr>
          <w:sz w:val="20"/>
          <w:szCs w:val="20"/>
          <w:color w:val="auto"/>
        </w:rPr>
      </w:pPr>
    </w:p>
    <w:p>
      <w:pPr>
        <w:ind w:right="200" w:firstLine="509"/>
        <w:spacing w:after="0" w:line="288" w:lineRule="auto"/>
        <w:rPr>
          <w:sz w:val="20"/>
          <w:szCs w:val="20"/>
          <w:color w:val="auto"/>
        </w:rPr>
      </w:pPr>
      <w:r>
        <w:rPr>
          <w:rFonts w:ascii="Arial" w:cs="Arial" w:eastAsia="Arial" w:hAnsi="Arial"/>
          <w:sz w:val="13"/>
          <w:szCs w:val="13"/>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55" w:name="page156"/>
    <w:bookmarkEnd w:id="1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3" w:lineRule="exact"/>
        <w:rPr>
          <w:sz w:val="20"/>
          <w:szCs w:val="20"/>
          <w:color w:val="auto"/>
        </w:rPr>
      </w:pPr>
    </w:p>
    <w:p>
      <w:pPr>
        <w:ind w:right="80" w:firstLine="478"/>
        <w:spacing w:after="0" w:line="267" w:lineRule="auto"/>
        <w:rPr>
          <w:sz w:val="20"/>
          <w:szCs w:val="20"/>
          <w:color w:val="auto"/>
        </w:rPr>
      </w:pPr>
      <w:r>
        <w:rPr>
          <w:rFonts w:ascii="Arial" w:cs="Arial" w:eastAsia="Arial" w:hAnsi="Arial"/>
          <w:sz w:val="14"/>
          <w:szCs w:val="14"/>
          <w:color w:val="auto"/>
        </w:rPr>
        <w:t>At December 31, 2021 and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Commodity Price Risk Hedging</w:t>
      </w:r>
    </w:p>
    <w:p>
      <w:pPr>
        <w:spacing w:after="0" w:line="200" w:lineRule="exact"/>
        <w:rPr>
          <w:sz w:val="20"/>
          <w:szCs w:val="20"/>
          <w:color w:val="auto"/>
        </w:rPr>
      </w:pPr>
    </w:p>
    <w:p>
      <w:pPr>
        <w:ind w:right="220" w:firstLine="509"/>
        <w:spacing w:after="0" w:line="262" w:lineRule="auto"/>
        <w:rPr>
          <w:sz w:val="20"/>
          <w:szCs w:val="20"/>
          <w:color w:val="auto"/>
        </w:rPr>
      </w:pPr>
      <w:r>
        <w:rPr>
          <w:rFonts w:ascii="Arial" w:cs="Arial" w:eastAsia="Arial" w:hAnsi="Arial"/>
          <w:sz w:val="14"/>
          <w:szCs w:val="14"/>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67"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i w:val="1"/>
          <w:iCs w:val="1"/>
          <w:color w:val="auto"/>
        </w:rPr>
        <w:t xml:space="preserve">Commodity Purchases and Sales </w:t>
      </w:r>
      <w:r>
        <w:rPr>
          <w:rFonts w:ascii="Arial" w:cs="Arial" w:eastAsia="Arial" w:hAnsi="Arial"/>
          <w:sz w:val="14"/>
          <w:szCs w:val="14"/>
          <w:color w:val="auto"/>
        </w:rPr>
        <w:t>— In the normal course of our operations, we purchase and sell commodities. We use derivatives to manage the associated risks and to optimize profits. As</w:t>
      </w:r>
      <w:r>
        <w:rPr>
          <w:rFonts w:ascii="Arial" w:cs="Arial" w:eastAsia="Arial" w:hAnsi="Arial"/>
          <w:sz w:val="14"/>
          <w:szCs w:val="14"/>
          <w:i w:val="1"/>
          <w:iCs w:val="1"/>
          <w:color w:val="auto"/>
        </w:rPr>
        <w:t xml:space="preserve"> </w:t>
      </w:r>
      <w:r>
        <w:rPr>
          <w:rFonts w:ascii="Arial" w:cs="Arial" w:eastAsia="Arial" w:hAnsi="Arial"/>
          <w:sz w:val="14"/>
          <w:szCs w:val="14"/>
          <w:color w:val="auto"/>
        </w:rPr>
        <w:t>of December 31, 2021, net derivative positions related to these activities included:</w:t>
      </w:r>
    </w:p>
    <w:p>
      <w:pPr>
        <w:spacing w:after="0" w:line="47" w:lineRule="exact"/>
        <w:rPr>
          <w:sz w:val="20"/>
          <w:szCs w:val="20"/>
          <w:color w:val="auto"/>
        </w:rPr>
      </w:pPr>
    </w:p>
    <w:p>
      <w:pPr>
        <w:ind w:left="760" w:hanging="246"/>
        <w:spacing w:after="0"/>
        <w:tabs>
          <w:tab w:leader="none" w:pos="7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 net long position of 8.4 million barrels associated with our crude oil purchases, which was unwound ratably during January 2022 to match monthly average pricing.</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 net short time spread position of 5.7 million barrels, which hedges a portion of our anticipated crude oil lease gathering purchases through December 2022.</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 net crude oil basis spread position of 7.3 million barrels at multiple locations through December 2022. These derivatives allow us to lock in grade and location basis differentials.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 net short position of 19.2 million barrels through December 2023 related to anticipated net sales of crude oil and NGL inventory.</w:t>
      </w:r>
    </w:p>
    <w:p>
      <w:pPr>
        <w:spacing w:after="0" w:line="20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i w:val="1"/>
          <w:iCs w:val="1"/>
          <w:color w:val="auto"/>
        </w:rPr>
        <w:t xml:space="preserve">Natural Gas Processing/NGL Fractionation </w:t>
      </w:r>
      <w:r>
        <w:rPr>
          <w:rFonts w:ascii="Arial" w:cs="Arial" w:eastAsia="Arial" w:hAnsi="Arial"/>
          <w:sz w:val="14"/>
          <w:szCs w:val="14"/>
          <w:color w:val="auto"/>
        </w:rPr>
        <w:t>— We purchase natural gas for processing and operational needs. Additionally, we purchase NGL mix for fractionation and sell the resulting</w:t>
      </w:r>
      <w:r>
        <w:rPr>
          <w:rFonts w:ascii="Arial" w:cs="Arial" w:eastAsia="Arial" w:hAnsi="Arial"/>
          <w:sz w:val="14"/>
          <w:szCs w:val="14"/>
          <w:i w:val="1"/>
          <w:iCs w:val="1"/>
          <w:color w:val="auto"/>
        </w:rPr>
        <w:t xml:space="preserve"> </w:t>
      </w:r>
      <w:r>
        <w:rPr>
          <w:rFonts w:ascii="Arial" w:cs="Arial" w:eastAsia="Arial" w:hAnsi="Arial"/>
          <w:sz w:val="14"/>
          <w:szCs w:val="14"/>
          <w:color w:val="auto"/>
        </w:rPr>
        <w:t>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20" w:type="dxa"/>
            <w:vAlign w:val="bottom"/>
          </w:tcPr>
          <w:p>
            <w:pPr>
              <w:spacing w:after="0"/>
              <w:rPr>
                <w:sz w:val="10"/>
                <w:szCs w:val="1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Notional Volume</w:t>
            </w: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Remaining Tenor</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(Short)/Long</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purchases</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73.4 Bcf</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Arial" w:cs="Arial" w:eastAsia="Arial" w:hAnsi="Arial"/>
                <w:sz w:val="14"/>
                <w:szCs w:val="14"/>
                <w:color w:val="auto"/>
              </w:rPr>
              <w:t>Propane sales</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(13.7) MMbls</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Butane sales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(3.3) MMbls</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Arial" w:cs="Arial" w:eastAsia="Arial" w:hAnsi="Arial"/>
                <w:sz w:val="14"/>
                <w:szCs w:val="14"/>
                <w:color w:val="auto"/>
              </w:rPr>
              <w:t>Condensate sales</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(1.5) MMbls</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1"/>
        </w:trPr>
        <w:tc>
          <w:tcPr>
            <w:tcW w:w="77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Fuel gas requirements </w:t>
            </w:r>
            <w:r>
              <w:rPr>
                <w:rFonts w:ascii="Arial" w:cs="Arial" w:eastAsia="Arial" w:hAnsi="Arial"/>
                <w:sz w:val="18"/>
                <w:szCs w:val="18"/>
                <w:color w:val="auto"/>
                <w:vertAlign w:val="superscript"/>
              </w:rPr>
              <w:t>(1)</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7.5 Bcf</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December 2022</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4"/>
                <w:szCs w:val="14"/>
                <w:color w:val="auto"/>
              </w:rPr>
              <w:t xml:space="preserve">Power supply requirements </w:t>
            </w:r>
            <w:r>
              <w:rPr>
                <w:rFonts w:ascii="Arial" w:cs="Arial" w:eastAsia="Arial" w:hAnsi="Arial"/>
                <w:sz w:val="18"/>
                <w:szCs w:val="18"/>
                <w:color w:val="auto"/>
                <w:vertAlign w:val="superscript"/>
              </w:rPr>
              <w:t>(1)</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0.6 TWh</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246570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0">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96" w:lineRule="exact"/>
        <w:rPr>
          <w:sz w:val="20"/>
          <w:szCs w:val="20"/>
          <w:color w:val="auto"/>
        </w:rPr>
      </w:pPr>
    </w:p>
    <w:p>
      <w:pPr>
        <w:ind w:left="500" w:hanging="495"/>
        <w:spacing w:after="0"/>
        <w:tabs>
          <w:tab w:leader="none" w:pos="50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Positions to hedge a portion of our power supply and fuel gas requirements at our Canadian natural gas processing and fractionation plants.</w:t>
      </w:r>
    </w:p>
    <w:p>
      <w:pPr>
        <w:spacing w:after="0" w:line="181" w:lineRule="exact"/>
        <w:rPr>
          <w:sz w:val="20"/>
          <w:szCs w:val="20"/>
          <w:color w:val="auto"/>
        </w:rPr>
      </w:pPr>
    </w:p>
    <w:p>
      <w:pPr>
        <w:jc w:val="both"/>
        <w:ind w:right="300" w:firstLine="509"/>
        <w:spacing w:after="0" w:line="267" w:lineRule="auto"/>
        <w:rPr>
          <w:sz w:val="20"/>
          <w:szCs w:val="20"/>
          <w:color w:val="auto"/>
        </w:rPr>
      </w:pPr>
      <w:r>
        <w:rPr>
          <w:rFonts w:ascii="Arial" w:cs="Arial" w:eastAsia="Arial" w:hAnsi="Arial"/>
          <w:sz w:val="14"/>
          <w:szCs w:val="14"/>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6" w:name="page157"/>
    <w:bookmarkEnd w:id="1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sales revenues</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Field operating costs</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6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gain/(loss) from commodity derivative activity</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margin</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Variation margin posted/(returned)</w:t>
            </w:r>
          </w:p>
        </w:tc>
        <w:tc>
          <w:tcPr>
            <w:tcW w:w="100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Letters of credit</w:t>
            </w: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6"/>
              </w:rPr>
              <w:t>(47)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1"/>
        </w:trPr>
        <w:tc>
          <w:tcPr>
            <w:tcW w:w="8320" w:type="dxa"/>
            <w:vAlign w:val="bottom"/>
          </w:tcPr>
          <w:p>
            <w:pPr>
              <w:ind w:left="100"/>
              <w:spacing w:after="0"/>
              <w:rPr>
                <w:sz w:val="20"/>
                <w:szCs w:val="20"/>
                <w:color w:val="auto"/>
              </w:rPr>
            </w:pPr>
            <w:r>
              <w:rPr>
                <w:rFonts w:ascii="Arial" w:cs="Arial" w:eastAsia="Arial" w:hAnsi="Arial"/>
                <w:sz w:val="14"/>
                <w:szCs w:val="14"/>
                <w:color w:val="auto"/>
              </w:rPr>
              <w:t>Net broker receivable/(payable)</w:t>
            </w:r>
          </w:p>
        </w:tc>
        <w:tc>
          <w:tcPr>
            <w:tcW w:w="10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1"/>
                <w:szCs w:val="11"/>
                <w:b w:val="1"/>
                <w:bCs w:val="1"/>
                <w:color w:val="auto"/>
              </w:rPr>
              <w:t>December 31, 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1"/>
                <w:szCs w:val="11"/>
                <w:b w:val="1"/>
                <w:bCs w:val="1"/>
                <w:color w:val="auto"/>
              </w:rPr>
              <w:t>December 31, 2020</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68"/>
        </w:trPr>
        <w:tc>
          <w:tcPr>
            <w:tcW w:w="2640" w:type="dxa"/>
            <w:vAlign w:val="bottom"/>
          </w:tcPr>
          <w:p>
            <w:pPr>
              <w:spacing w:after="0"/>
              <w:rPr>
                <w:sz w:val="24"/>
                <w:szCs w:val="24"/>
                <w:color w:val="auto"/>
              </w:rPr>
            </w:pPr>
          </w:p>
        </w:tc>
        <w:tc>
          <w:tcPr>
            <w:tcW w:w="2060" w:type="dxa"/>
            <w:vAlign w:val="bottom"/>
            <w:gridSpan w:val="5"/>
            <w:vMerge w:val="restart"/>
          </w:tcPr>
          <w:p>
            <w:pPr>
              <w:jc w:val="right"/>
              <w:ind w:right="393"/>
              <w:spacing w:after="0"/>
              <w:rPr>
                <w:sz w:val="20"/>
                <w:szCs w:val="20"/>
                <w:color w:val="auto"/>
              </w:rPr>
            </w:pPr>
            <w:r>
              <w:rPr>
                <w:rFonts w:ascii="Arial" w:cs="Arial" w:eastAsia="Arial" w:hAnsi="Arial"/>
                <w:sz w:val="11"/>
                <w:szCs w:val="11"/>
                <w:b w:val="1"/>
                <w:bCs w:val="1"/>
                <w:color w:val="auto"/>
              </w:rPr>
              <w:t>Commodity Derivatives</w:t>
            </w:r>
          </w:p>
        </w:tc>
        <w:tc>
          <w:tcPr>
            <w:tcW w:w="8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1"/>
                <w:szCs w:val="11"/>
                <w:b w:val="1"/>
                <w:bCs w:val="1"/>
                <w:color w:val="auto"/>
              </w:rPr>
              <w:t>Net Carrying Value</w:t>
            </w:r>
          </w:p>
        </w:tc>
        <w:tc>
          <w:tcPr>
            <w:tcW w:w="220" w:type="dxa"/>
            <w:vAlign w:val="bottom"/>
          </w:tcPr>
          <w:p>
            <w:pPr>
              <w:spacing w:after="0"/>
              <w:rPr>
                <w:sz w:val="24"/>
                <w:szCs w:val="24"/>
                <w:color w:val="auto"/>
              </w:rPr>
            </w:pPr>
          </w:p>
        </w:tc>
        <w:tc>
          <w:tcPr>
            <w:tcW w:w="1860" w:type="dxa"/>
            <w:vAlign w:val="bottom"/>
            <w:gridSpan w:val="4"/>
            <w:vMerge w:val="restart"/>
          </w:tcPr>
          <w:p>
            <w:pPr>
              <w:jc w:val="right"/>
              <w:ind w:right="393"/>
              <w:spacing w:after="0"/>
              <w:rPr>
                <w:sz w:val="20"/>
                <w:szCs w:val="20"/>
                <w:color w:val="auto"/>
              </w:rPr>
            </w:pPr>
            <w:r>
              <w:rPr>
                <w:rFonts w:ascii="Arial" w:cs="Arial" w:eastAsia="Arial" w:hAnsi="Arial"/>
                <w:sz w:val="11"/>
                <w:szCs w:val="11"/>
                <w:b w:val="1"/>
                <w:bCs w:val="1"/>
                <w:color w:val="auto"/>
              </w:rPr>
              <w:t>Commodity Derivatives</w:t>
            </w:r>
          </w:p>
        </w:tc>
        <w:tc>
          <w:tcPr>
            <w:tcW w:w="8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Net Carrying Value</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060" w:type="dxa"/>
            <w:vAlign w:val="bottom"/>
            <w:tcBorders>
              <w:bottom w:val="single" w:sz="8" w:color="auto"/>
            </w:tcBorders>
            <w:gridSpan w:val="5"/>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00" w:type="dxa"/>
            <w:vAlign w:val="bottom"/>
            <w:gridSpan w:val="3"/>
          </w:tcPr>
          <w:p>
            <w:pPr>
              <w:ind w:left="40"/>
              <w:spacing w:after="0" w:line="81" w:lineRule="exact"/>
              <w:rPr>
                <w:sz w:val="20"/>
                <w:szCs w:val="20"/>
                <w:color w:val="auto"/>
              </w:rPr>
            </w:pPr>
            <w:r>
              <w:rPr>
                <w:rFonts w:ascii="Arial" w:cs="Arial" w:eastAsia="Arial" w:hAnsi="Arial"/>
                <w:sz w:val="9"/>
                <w:szCs w:val="9"/>
                <w:b w:val="1"/>
                <w:bCs w:val="1"/>
                <w:color w:val="auto"/>
              </w:rPr>
              <w:t>Effect of Collateral</w:t>
            </w:r>
          </w:p>
        </w:tc>
        <w:tc>
          <w:tcPr>
            <w:tcW w:w="80" w:type="dxa"/>
            <w:vAlign w:val="bottom"/>
          </w:tcPr>
          <w:p>
            <w:pPr>
              <w:spacing w:after="0"/>
              <w:rPr>
                <w:sz w:val="7"/>
                <w:szCs w:val="7"/>
                <w:color w:val="auto"/>
              </w:rPr>
            </w:pPr>
          </w:p>
        </w:tc>
        <w:tc>
          <w:tcPr>
            <w:tcW w:w="1080" w:type="dxa"/>
            <w:vAlign w:val="bottom"/>
            <w:gridSpan w:val="3"/>
          </w:tcPr>
          <w:p>
            <w:pPr>
              <w:jc w:val="center"/>
              <w:ind w:right="240"/>
              <w:spacing w:after="0" w:line="81" w:lineRule="exact"/>
              <w:rPr>
                <w:sz w:val="20"/>
                <w:szCs w:val="20"/>
                <w:color w:val="auto"/>
              </w:rPr>
            </w:pPr>
            <w:r>
              <w:rPr>
                <w:rFonts w:ascii="Arial" w:cs="Arial" w:eastAsia="Arial" w:hAnsi="Arial"/>
                <w:sz w:val="9"/>
                <w:szCs w:val="9"/>
                <w:b w:val="1"/>
                <w:bCs w:val="1"/>
                <w:color w:val="auto"/>
              </w:rPr>
              <w:t>Presented on the</w:t>
            </w:r>
          </w:p>
        </w:tc>
        <w:tc>
          <w:tcPr>
            <w:tcW w:w="2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gridSpan w:val="3"/>
          </w:tcPr>
          <w:p>
            <w:pPr>
              <w:ind w:left="40"/>
              <w:spacing w:after="0" w:line="81" w:lineRule="exact"/>
              <w:rPr>
                <w:sz w:val="20"/>
                <w:szCs w:val="20"/>
                <w:color w:val="auto"/>
              </w:rPr>
            </w:pPr>
            <w:r>
              <w:rPr>
                <w:rFonts w:ascii="Arial" w:cs="Arial" w:eastAsia="Arial" w:hAnsi="Arial"/>
                <w:sz w:val="9"/>
                <w:szCs w:val="9"/>
                <w:b w:val="1"/>
                <w:bCs w:val="1"/>
                <w:color w:val="auto"/>
              </w:rPr>
              <w:t>Effect of Collateral</w:t>
            </w:r>
          </w:p>
        </w:tc>
        <w:tc>
          <w:tcPr>
            <w:tcW w:w="100" w:type="dxa"/>
            <w:vAlign w:val="bottom"/>
          </w:tcPr>
          <w:p>
            <w:pPr>
              <w:spacing w:after="0"/>
              <w:rPr>
                <w:sz w:val="7"/>
                <w:szCs w:val="7"/>
                <w:color w:val="auto"/>
              </w:rPr>
            </w:pPr>
          </w:p>
        </w:tc>
        <w:tc>
          <w:tcPr>
            <w:tcW w:w="900" w:type="dxa"/>
            <w:vAlign w:val="bottom"/>
          </w:tcPr>
          <w:p>
            <w:pPr>
              <w:jc w:val="right"/>
              <w:ind w:right="35"/>
              <w:spacing w:after="0" w:line="81" w:lineRule="exact"/>
              <w:rPr>
                <w:sz w:val="20"/>
                <w:szCs w:val="20"/>
                <w:color w:val="auto"/>
              </w:rPr>
            </w:pPr>
            <w:r>
              <w:rPr>
                <w:rFonts w:ascii="Arial" w:cs="Arial" w:eastAsia="Arial" w:hAnsi="Arial"/>
                <w:sz w:val="9"/>
                <w:szCs w:val="9"/>
                <w:b w:val="1"/>
                <w:bCs w:val="1"/>
                <w:color w:val="auto"/>
              </w:rPr>
              <w:t>Presented on the</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Assets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Liabilities</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Netting</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87"/>
              </w:rPr>
              <w:t>Balance Sheet</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Assets</w:t>
            </w:r>
          </w:p>
        </w:tc>
        <w:tc>
          <w:tcPr>
            <w:tcW w:w="18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Liabilities</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Netting</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95"/>
              <w:spacing w:after="0"/>
              <w:rPr>
                <w:sz w:val="20"/>
                <w:szCs w:val="20"/>
                <w:color w:val="auto"/>
              </w:rPr>
            </w:pPr>
            <w:r>
              <w:rPr>
                <w:rFonts w:ascii="Arial" w:cs="Arial" w:eastAsia="Arial" w:hAnsi="Arial"/>
                <w:sz w:val="11"/>
                <w:szCs w:val="11"/>
                <w:b w:val="1"/>
                <w:bCs w:val="1"/>
                <w:color w:val="auto"/>
                <w:w w:val="95"/>
              </w:rPr>
              <w:t>Balance Sheet</w:t>
            </w:r>
          </w:p>
        </w:tc>
        <w:tc>
          <w:tcPr>
            <w:tcW w:w="0" w:type="dxa"/>
            <w:vAlign w:val="bottom"/>
          </w:tcPr>
          <w:p>
            <w:pPr>
              <w:spacing w:after="0"/>
              <w:rPr>
                <w:sz w:val="1"/>
                <w:szCs w:val="1"/>
                <w:color w:val="auto"/>
              </w:rPr>
            </w:pPr>
          </w:p>
        </w:tc>
      </w:tr>
      <w:tr>
        <w:trPr>
          <w:trHeight w:val="16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Assets</w:t>
            </w:r>
          </w:p>
        </w:tc>
        <w:tc>
          <w:tcPr>
            <w:tcW w:w="6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680" w:type="dxa"/>
            <w:vAlign w:val="bottom"/>
          </w:tcPr>
          <w:p>
            <w:pPr>
              <w:jc w:val="right"/>
              <w:ind w:right="536"/>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5"/>
                <w:szCs w:val="15"/>
                <w:color w:val="auto"/>
              </w:rPr>
            </w:pPr>
          </w:p>
        </w:tc>
        <w:tc>
          <w:tcPr>
            <w:tcW w:w="700" w:type="dxa"/>
            <w:vAlign w:val="bottom"/>
          </w:tcPr>
          <w:p>
            <w:pPr>
              <w:jc w:val="right"/>
              <w:ind w:right="539"/>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5"/>
                <w:szCs w:val="15"/>
                <w:color w:val="auto"/>
              </w:rPr>
            </w:pPr>
          </w:p>
        </w:tc>
        <w:tc>
          <w:tcPr>
            <w:tcW w:w="700" w:type="dxa"/>
            <w:vAlign w:val="bottom"/>
          </w:tcPr>
          <w:p>
            <w:pPr>
              <w:jc w:val="right"/>
              <w:ind w:right="559"/>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94"/>
              </w:rPr>
              <w:t>318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 net</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Derivative Liabilities</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8"/>
        </w:trPr>
        <w:tc>
          <w:tcPr>
            <w:tcW w:w="2640" w:type="dxa"/>
            <w:vAlign w:val="bottom"/>
          </w:tcPr>
          <w:p>
            <w:pPr>
              <w:ind w:left="20"/>
              <w:spacing w:after="0" w:line="138" w:lineRule="exact"/>
              <w:rPr>
                <w:sz w:val="20"/>
                <w:szCs w:val="20"/>
                <w:color w:val="auto"/>
              </w:rPr>
            </w:pPr>
            <w:r>
              <w:rPr>
                <w:rFonts w:ascii="Arial" w:cs="Arial" w:eastAsia="Arial" w:hAnsi="Arial"/>
                <w:sz w:val="14"/>
                <w:szCs w:val="14"/>
                <w:color w:val="auto"/>
              </w:rPr>
              <w:t>Other long-term liabilities and deferred</w:t>
            </w:r>
          </w:p>
        </w:tc>
        <w:tc>
          <w:tcPr>
            <w:tcW w:w="6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credits</w:t>
            </w:r>
          </w:p>
        </w:tc>
        <w:tc>
          <w:tcPr>
            <w:tcW w:w="6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F-45</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57" w:name="page158"/>
    <w:bookmarkEnd w:id="1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 Hedging</w:t>
      </w:r>
    </w:p>
    <w:p>
      <w:pPr>
        <w:spacing w:after="0" w:line="200"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terms of our outstanding interest rate derivatives as of December 31, 2021 (notional amounts in millions):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1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Hedged Transaction</w:t>
            </w:r>
          </w:p>
        </w:tc>
        <w:tc>
          <w:tcPr>
            <w:tcW w:w="2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Number and Types of</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Notional</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Expected</w:t>
            </w:r>
          </w:p>
        </w:tc>
        <w:tc>
          <w:tcPr>
            <w:tcW w:w="13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Average Rate Locked</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89"/>
              </w:rPr>
              <w:t>Accounting</w:t>
            </w: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Derivatives Employed</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Termination Date</w:t>
            </w:r>
          </w:p>
        </w:tc>
        <w:tc>
          <w:tcPr>
            <w:tcW w:w="1300" w:type="dxa"/>
            <w:vAlign w:val="bottom"/>
            <w:gridSpan w:val="2"/>
            <w:vMerge w:val="continue"/>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3"/>
              </w:rPr>
              <w:t>Treatment</w:t>
            </w:r>
          </w:p>
        </w:tc>
        <w:tc>
          <w:tcPr>
            <w:tcW w:w="0" w:type="dxa"/>
            <w:vAlign w:val="bottom"/>
          </w:tcPr>
          <w:p>
            <w:pPr>
              <w:spacing w:after="0"/>
              <w:rPr>
                <w:sz w:val="1"/>
                <w:szCs w:val="1"/>
                <w:color w:val="auto"/>
              </w:rPr>
            </w:pPr>
          </w:p>
        </w:tc>
      </w:tr>
      <w:tr>
        <w:trPr>
          <w:trHeight w:val="129"/>
        </w:trPr>
        <w:tc>
          <w:tcPr>
            <w:tcW w:w="30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Anticipated interest payments</w:t>
            </w:r>
          </w:p>
        </w:tc>
        <w:tc>
          <w:tcPr>
            <w:tcW w:w="10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8 forward starting swaps</w:t>
            </w: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56"/>
              <w:spacing w:after="0" w:line="129"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200</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6/15/2023</w:t>
            </w: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1.38 %</w:t>
            </w:r>
          </w:p>
        </w:tc>
        <w:tc>
          <w:tcPr>
            <w:tcW w:w="8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0"/>
              </w:rPr>
              <w:t>Cash flow hedge</w:t>
            </w: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(30-year)</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20" w:type="dxa"/>
            <w:vAlign w:val="bottom"/>
            <w:gridSpan w:val="2"/>
          </w:tcPr>
          <w:p>
            <w:pPr>
              <w:spacing w:after="0" w:line="138" w:lineRule="exact"/>
              <w:rPr>
                <w:sz w:val="20"/>
                <w:szCs w:val="20"/>
                <w:color w:val="auto"/>
              </w:rPr>
            </w:pPr>
            <w:r>
              <w:rPr>
                <w:rFonts w:ascii="Arial" w:cs="Arial" w:eastAsia="Arial" w:hAnsi="Arial"/>
                <w:sz w:val="14"/>
                <w:szCs w:val="14"/>
                <w:color w:val="auto"/>
              </w:rPr>
              <w:t>Anticipated interest payments</w:t>
            </w:r>
          </w:p>
        </w:tc>
        <w:tc>
          <w:tcPr>
            <w:tcW w:w="24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2"/>
              </w:rPr>
              <w:t>8 forward starting swaps</w:t>
            </w:r>
          </w:p>
        </w:tc>
        <w:tc>
          <w:tcPr>
            <w:tcW w:w="800" w:type="dxa"/>
            <w:vAlign w:val="bottom"/>
          </w:tcPr>
          <w:p>
            <w:pPr>
              <w:jc w:val="right"/>
              <w:ind w:right="656"/>
              <w:spacing w:after="0" w:line="138"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3"/>
              </w:rPr>
              <w:t>6/14/2024</w:t>
            </w:r>
          </w:p>
        </w:tc>
        <w:tc>
          <w:tcPr>
            <w:tcW w:w="100" w:type="dxa"/>
            <w:vAlign w:val="bottom"/>
          </w:tcPr>
          <w:p>
            <w:pPr>
              <w:spacing w:after="0"/>
              <w:rPr>
                <w:sz w:val="11"/>
                <w:szCs w:val="11"/>
                <w:color w:val="auto"/>
              </w:rPr>
            </w:pPr>
          </w:p>
        </w:tc>
        <w:tc>
          <w:tcPr>
            <w:tcW w:w="1220" w:type="dxa"/>
            <w:vAlign w:val="bottom"/>
          </w:tcPr>
          <w:p>
            <w:pPr>
              <w:jc w:val="right"/>
              <w:spacing w:after="0" w:line="138" w:lineRule="exact"/>
              <w:rPr>
                <w:sz w:val="20"/>
                <w:szCs w:val="20"/>
                <w:color w:val="auto"/>
              </w:rPr>
            </w:pPr>
            <w:r>
              <w:rPr>
                <w:rFonts w:ascii="Arial" w:cs="Arial" w:eastAsia="Arial" w:hAnsi="Arial"/>
                <w:sz w:val="14"/>
                <w:szCs w:val="14"/>
                <w:color w:val="auto"/>
              </w:rPr>
              <w:t>0.73 %</w:t>
            </w:r>
          </w:p>
        </w:tc>
        <w:tc>
          <w:tcPr>
            <w:tcW w:w="80" w:type="dxa"/>
            <w:vAlign w:val="bottom"/>
          </w:tcPr>
          <w:p>
            <w:pPr>
              <w:spacing w:after="0"/>
              <w:rPr>
                <w:sz w:val="11"/>
                <w:szCs w:val="11"/>
                <w:color w:val="auto"/>
              </w:rPr>
            </w:pPr>
          </w:p>
        </w:tc>
        <w:tc>
          <w:tcPr>
            <w:tcW w:w="1620" w:type="dxa"/>
            <w:vAlign w:val="bottom"/>
          </w:tcPr>
          <w:p>
            <w:pPr>
              <w:jc w:val="center"/>
              <w:spacing w:after="0" w:line="138" w:lineRule="exact"/>
              <w:rPr>
                <w:sz w:val="20"/>
                <w:szCs w:val="20"/>
                <w:color w:val="auto"/>
              </w:rPr>
            </w:pPr>
            <w:r>
              <w:rPr>
                <w:rFonts w:ascii="Arial" w:cs="Arial" w:eastAsia="Arial" w:hAnsi="Arial"/>
                <w:sz w:val="14"/>
                <w:szCs w:val="14"/>
                <w:color w:val="auto"/>
                <w:w w:val="90"/>
              </w:rPr>
              <w:t>Cash flow hedge</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(30-year)</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As of December 31, 2021, there was a net loss of $208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December 31, 2021; thus, actual amounts to be reclassified will differ and could vary materially as a result of changes in market conditions.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net unrealized gain/(loss) recognized in AOCI for derivatives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2019</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 net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bl>
    <w:p>
      <w:pPr>
        <w:spacing w:after="0" w:line="244" w:lineRule="exact"/>
        <w:rPr>
          <w:sz w:val="20"/>
          <w:szCs w:val="20"/>
          <w:color w:val="auto"/>
        </w:rPr>
      </w:pPr>
    </w:p>
    <w:p>
      <w:pPr>
        <w:ind w:right="480" w:firstLine="509"/>
        <w:spacing w:after="0" w:line="281" w:lineRule="auto"/>
        <w:rPr>
          <w:sz w:val="20"/>
          <w:szCs w:val="20"/>
          <w:color w:val="auto"/>
        </w:rPr>
      </w:pPr>
      <w:r>
        <w:rPr>
          <w:rFonts w:ascii="Arial" w:cs="Arial" w:eastAsia="Arial" w:hAnsi="Arial"/>
          <w:sz w:val="14"/>
          <w:szCs w:val="14"/>
          <w:color w:val="auto"/>
        </w:rPr>
        <w:t>At December 31, 2021, the net fair value of our interest rate hedges, which were included in “Other long-term assets, net” on our Consolidated Balance Sheet, totaled $65 million. At December 31, 2020, the net fair value of these hedges totaled $46 million and was included in “Other long-term assets, net.”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Preferred Distribution Rate Reset Option</w:t>
      </w:r>
    </w:p>
    <w:p>
      <w:pPr>
        <w:spacing w:after="0" w:line="179"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Sheets. This embedded derivative is not designated in a hedging relationship for accounting purposes and corresponding changes in fair value are recognized in “Other income/(expense), net” in our Consolidated Statement of Operations. For the years ended December 31, 2021, 2020 and 2019 we recognized net gains of $14 million, $20 million and $2 million, respectively. The fair value of the Preferred Distribution Rate Reset Option, which was included in “Other long-term liabilities and deferred credits” on our Consolidated Balance Sheets, totaled less than $1 million and $14 million at December 31, 2021 and 2020, respectively. See Note 12 for additional information regarding our Series A preferred units and the Preferred Distribution Rate Reset Option.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8" w:name="page159"/>
    <w:bookmarkEnd w:id="1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Recurring Fair Value Measurements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Derivative Financial Assets and Liabilities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by level within the fair value hierarchy our financial assets and liabilities that were accounted for at fair value on a recurring basis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7"/>
              </w:rPr>
              <w:t>Fair Value as of December 31, 2021</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7"/>
              </w:rPr>
              <w:t>Fair Value as of December 31, 2020</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48"/>
        </w:trPr>
        <w:tc>
          <w:tcPr>
            <w:tcW w:w="4080" w:type="dxa"/>
            <w:vAlign w:val="bottom"/>
            <w:gridSpan w:val="3"/>
          </w:tcPr>
          <w:p>
            <w:pPr>
              <w:ind w:left="20"/>
              <w:spacing w:after="0" w:line="148" w:lineRule="exact"/>
              <w:rPr>
                <w:sz w:val="20"/>
                <w:szCs w:val="20"/>
                <w:color w:val="auto"/>
              </w:rPr>
            </w:pPr>
            <w:r>
              <w:rPr>
                <w:rFonts w:ascii="Arial" w:cs="Arial" w:eastAsia="Arial" w:hAnsi="Arial"/>
                <w:sz w:val="11"/>
                <w:szCs w:val="11"/>
                <w:b w:val="1"/>
                <w:bCs w:val="1"/>
                <w:color w:val="auto"/>
              </w:rPr>
              <w:t xml:space="preserve">Recurring Fair Value Measures </w:t>
            </w:r>
            <w:r>
              <w:rPr>
                <w:rFonts w:ascii="Arial" w:cs="Arial" w:eastAsia="Arial" w:hAnsi="Arial"/>
                <w:sz w:val="14"/>
                <w:szCs w:val="14"/>
                <w:b w:val="1"/>
                <w:bCs w:val="1"/>
                <w:color w:val="auto"/>
                <w:vertAlign w:val="superscript"/>
              </w:rPr>
              <w:t>(1)</w:t>
            </w:r>
          </w:p>
        </w:tc>
        <w:tc>
          <w:tcPr>
            <w:tcW w:w="16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1</w:t>
            </w:r>
          </w:p>
        </w:tc>
        <w:tc>
          <w:tcPr>
            <w:tcW w:w="16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Level 2</w:t>
            </w:r>
          </w:p>
        </w:tc>
        <w:tc>
          <w:tcPr>
            <w:tcW w:w="1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3</w:t>
            </w:r>
          </w:p>
        </w:tc>
        <w:tc>
          <w:tcPr>
            <w:tcW w:w="180" w:type="dxa"/>
            <w:vAlign w:val="bottom"/>
          </w:tcPr>
          <w:p>
            <w:pPr>
              <w:spacing w:after="0"/>
              <w:rPr>
                <w:sz w:val="12"/>
                <w:szCs w:val="12"/>
                <w:color w:val="auto"/>
              </w:rPr>
            </w:pPr>
          </w:p>
        </w:tc>
        <w:tc>
          <w:tcPr>
            <w:tcW w:w="620" w:type="dxa"/>
            <w:vAlign w:val="bottom"/>
          </w:tcPr>
          <w:p>
            <w:pPr>
              <w:jc w:val="right"/>
              <w:ind w:right="212"/>
              <w:spacing w:after="0"/>
              <w:rPr>
                <w:sz w:val="20"/>
                <w:szCs w:val="20"/>
                <w:color w:val="auto"/>
              </w:rPr>
            </w:pPr>
            <w:r>
              <w:rPr>
                <w:rFonts w:ascii="Arial" w:cs="Arial" w:eastAsia="Arial" w:hAnsi="Arial"/>
                <w:sz w:val="11"/>
                <w:szCs w:val="11"/>
                <w:b w:val="1"/>
                <w:bCs w:val="1"/>
                <w:color w:val="auto"/>
              </w:rPr>
              <w:t>Total</w:t>
            </w:r>
          </w:p>
        </w:tc>
        <w:tc>
          <w:tcPr>
            <w:tcW w:w="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1</w:t>
            </w:r>
          </w:p>
        </w:tc>
        <w:tc>
          <w:tcPr>
            <w:tcW w:w="16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Level 2</w:t>
            </w:r>
          </w:p>
        </w:tc>
        <w:tc>
          <w:tcPr>
            <w:tcW w:w="16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Level 3</w:t>
            </w:r>
          </w:p>
        </w:tc>
        <w:tc>
          <w:tcPr>
            <w:tcW w:w="180" w:type="dxa"/>
            <w:vAlign w:val="bottom"/>
          </w:tcPr>
          <w:p>
            <w:pPr>
              <w:spacing w:after="0"/>
              <w:rPr>
                <w:sz w:val="12"/>
                <w:szCs w:val="12"/>
                <w:color w:val="auto"/>
              </w:rPr>
            </w:pPr>
          </w:p>
        </w:tc>
        <w:tc>
          <w:tcPr>
            <w:tcW w:w="620" w:type="dxa"/>
            <w:vAlign w:val="bottom"/>
          </w:tcPr>
          <w:p>
            <w:pPr>
              <w:jc w:val="right"/>
              <w:ind w:right="212"/>
              <w:spacing w:after="0"/>
              <w:rPr>
                <w:sz w:val="20"/>
                <w:szCs w:val="20"/>
                <w:color w:val="auto"/>
              </w:rPr>
            </w:pPr>
            <w:r>
              <w:rPr>
                <w:rFonts w:ascii="Arial" w:cs="Arial" w:eastAsia="Arial" w:hAnsi="Arial"/>
                <w:sz w:val="11"/>
                <w:szCs w:val="11"/>
                <w:b w:val="1"/>
                <w:bCs w:val="1"/>
                <w:color w:val="auto"/>
              </w:rPr>
              <w:t>Total</w:t>
            </w:r>
          </w:p>
        </w:tc>
      </w:tr>
      <w:tr>
        <w:trPr>
          <w:trHeight w:val="171"/>
        </w:trPr>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Commodity derivatives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center"/>
              <w:ind w:left="292"/>
              <w:spacing w:after="0"/>
              <w:rPr>
                <w:sz w:val="20"/>
                <w:szCs w:val="20"/>
                <w:color w:val="auto"/>
              </w:rPr>
            </w:pPr>
            <w:r>
              <w:rPr>
                <w:rFonts w:ascii="Arial" w:cs="Arial" w:eastAsia="Arial" w:hAnsi="Arial"/>
                <w:sz w:val="14"/>
                <w:szCs w:val="14"/>
                <w:color w:val="auto"/>
                <w:w w:val="96"/>
              </w:rPr>
              <w:t>(17)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w w:val="93"/>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center"/>
              <w:ind w:left="292"/>
              <w:spacing w:after="0"/>
              <w:rPr>
                <w:sz w:val="20"/>
                <w:szCs w:val="20"/>
                <w:color w:val="auto"/>
              </w:rPr>
            </w:pPr>
            <w:r>
              <w:rPr>
                <w:rFonts w:ascii="Arial" w:cs="Arial" w:eastAsia="Arial" w:hAnsi="Arial"/>
                <w:sz w:val="14"/>
                <w:szCs w:val="14"/>
                <w:color w:val="auto"/>
                <w:w w:val="96"/>
              </w:rPr>
              <w:t>(15)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0"/>
        </w:trPr>
        <w:tc>
          <w:tcPr>
            <w:tcW w:w="4080" w:type="dxa"/>
            <w:vAlign w:val="bottom"/>
            <w:gridSpan w:val="3"/>
          </w:tcPr>
          <w:p>
            <w:pPr>
              <w:ind w:left="20"/>
              <w:spacing w:after="0"/>
              <w:rPr>
                <w:sz w:val="20"/>
                <w:szCs w:val="20"/>
                <w:color w:val="auto"/>
              </w:rPr>
            </w:pPr>
            <w:r>
              <w:rPr>
                <w:rFonts w:ascii="Arial" w:cs="Arial" w:eastAsia="Arial" w:hAnsi="Arial"/>
                <w:sz w:val="14"/>
                <w:szCs w:val="14"/>
                <w:color w:val="auto"/>
              </w:rPr>
              <w:t>Interest rate derivatives</w:t>
            </w:r>
          </w:p>
        </w:tc>
        <w:tc>
          <w:tcPr>
            <w:tcW w:w="160" w:type="dxa"/>
            <w:vAlign w:val="bottom"/>
          </w:tcPr>
          <w:p>
            <w:pPr>
              <w:spacing w:after="0"/>
              <w:rPr>
                <w:sz w:val="15"/>
                <w:szCs w:val="15"/>
                <w:color w:val="auto"/>
              </w:rPr>
            </w:pPr>
          </w:p>
        </w:tc>
        <w:tc>
          <w:tcPr>
            <w:tcW w:w="740" w:type="dxa"/>
            <w:vAlign w:val="bottom"/>
            <w:gridSpan w:val="2"/>
          </w:tcPr>
          <w:p>
            <w:pPr>
              <w:jc w:val="center"/>
              <w:ind w:left="212"/>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left="212"/>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1"/>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Preferred Distribution Rate Reset Option and Other</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left="212"/>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292"/>
              <w:spacing w:after="0"/>
              <w:rPr>
                <w:sz w:val="20"/>
                <w:szCs w:val="20"/>
                <w:color w:val="auto"/>
              </w:rPr>
            </w:pPr>
            <w:r>
              <w:rPr>
                <w:rFonts w:ascii="Arial" w:cs="Arial" w:eastAsia="Arial" w:hAnsi="Arial"/>
                <w:sz w:val="14"/>
                <w:szCs w:val="14"/>
                <w:color w:val="auto"/>
                <w:w w:val="96"/>
              </w:rPr>
              <w:t>(14)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11"/>
        </w:trPr>
        <w:tc>
          <w:tcPr>
            <w:tcW w:w="4080" w:type="dxa"/>
            <w:vAlign w:val="bottom"/>
            <w:gridSpan w:val="3"/>
          </w:tcPr>
          <w:p>
            <w:pPr>
              <w:ind w:left="120"/>
              <w:spacing w:after="0"/>
              <w:rPr>
                <w:sz w:val="20"/>
                <w:szCs w:val="20"/>
                <w:color w:val="auto"/>
              </w:rPr>
            </w:pPr>
            <w:r>
              <w:rPr>
                <w:rFonts w:ascii="Arial" w:cs="Arial" w:eastAsia="Arial" w:hAnsi="Arial"/>
                <w:sz w:val="14"/>
                <w:szCs w:val="14"/>
                <w:color w:val="auto"/>
              </w:rPr>
              <w:t>Total net derivative asset/(liability)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center"/>
              <w:ind w:left="292"/>
              <w:spacing w:after="0"/>
              <w:rPr>
                <w:sz w:val="20"/>
                <w:szCs w:val="20"/>
                <w:color w:val="auto"/>
              </w:rPr>
            </w:pPr>
            <w:r>
              <w:rPr>
                <w:rFonts w:ascii="Arial" w:cs="Arial" w:eastAsia="Arial" w:hAnsi="Arial"/>
                <w:sz w:val="14"/>
                <w:szCs w:val="14"/>
                <w:color w:val="auto"/>
                <w:w w:val="96"/>
              </w:rPr>
              <w:t>(17)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w w:val="93"/>
              </w:rPr>
              <w:t>(2)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center"/>
              <w:ind w:left="292"/>
              <w:spacing w:after="0"/>
              <w:rPr>
                <w:sz w:val="20"/>
                <w:szCs w:val="20"/>
                <w:color w:val="auto"/>
              </w:rPr>
            </w:pPr>
            <w:r>
              <w:rPr>
                <w:rFonts w:ascii="Arial" w:cs="Arial" w:eastAsia="Arial" w:hAnsi="Arial"/>
                <w:sz w:val="14"/>
                <w:szCs w:val="14"/>
                <w:color w:val="auto"/>
                <w:w w:val="96"/>
              </w:rPr>
              <w:t>(29)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120"/>
        </w:trPr>
        <w:tc>
          <w:tcPr>
            <w:tcW w:w="3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bl>
    <w:p>
      <w:pPr>
        <w:spacing w:after="0" w:line="111" w:lineRule="exact"/>
        <w:rPr>
          <w:sz w:val="20"/>
          <w:szCs w:val="20"/>
          <w:color w:val="auto"/>
        </w:rPr>
      </w:pPr>
    </w:p>
    <w:p>
      <w:pPr>
        <w:ind w:left="500" w:hanging="495"/>
        <w:spacing w:after="0"/>
        <w:tabs>
          <w:tab w:leader="none" w:pos="50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Derivative assets and liabilities are presented above on a net basis but do not include related cash margin deposits.</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Level 1</w:t>
      </w:r>
    </w:p>
    <w:p>
      <w:pPr>
        <w:spacing w:after="0" w:line="199" w:lineRule="exact"/>
        <w:rPr>
          <w:rFonts w:ascii="Arial" w:cs="Arial" w:eastAsia="Arial" w:hAnsi="Arial"/>
          <w:sz w:val="18"/>
          <w:szCs w:val="18"/>
          <w:color w:val="auto"/>
          <w:vertAlign w:val="superscript"/>
        </w:rPr>
      </w:pPr>
    </w:p>
    <w:p>
      <w:pPr>
        <w:ind w:left="520" w:right="100"/>
        <w:spacing w:after="0" w:line="281" w:lineRule="auto"/>
        <w:rPr>
          <w:rFonts w:ascii="Arial" w:cs="Arial" w:eastAsia="Arial" w:hAnsi="Arial"/>
          <w:sz w:val="18"/>
          <w:szCs w:val="18"/>
          <w:color w:val="auto"/>
          <w:vertAlign w:val="superscript"/>
        </w:rPr>
      </w:pPr>
      <w:r>
        <w:rPr>
          <w:rFonts w:ascii="Arial" w:cs="Arial" w:eastAsia="Arial" w:hAnsi="Arial"/>
          <w:sz w:val="14"/>
          <w:szCs w:val="14"/>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53"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Level 2</w:t>
      </w:r>
    </w:p>
    <w:p>
      <w:pPr>
        <w:spacing w:after="0" w:line="199" w:lineRule="exact"/>
        <w:rPr>
          <w:rFonts w:ascii="Arial" w:cs="Arial" w:eastAsia="Arial" w:hAnsi="Arial"/>
          <w:sz w:val="18"/>
          <w:szCs w:val="18"/>
          <w:color w:val="auto"/>
          <w:vertAlign w:val="superscript"/>
        </w:rPr>
      </w:pPr>
    </w:p>
    <w:p>
      <w:pPr>
        <w:ind w:left="520" w:right="280"/>
        <w:spacing w:after="0" w:line="267" w:lineRule="auto"/>
        <w:rPr>
          <w:rFonts w:ascii="Arial" w:cs="Arial" w:eastAsia="Arial" w:hAnsi="Arial"/>
          <w:sz w:val="18"/>
          <w:szCs w:val="18"/>
          <w:color w:val="auto"/>
          <w:vertAlign w:val="superscript"/>
        </w:rPr>
      </w:pPr>
      <w:r>
        <w:rPr>
          <w:rFonts w:ascii="Arial" w:cs="Arial" w:eastAsia="Arial" w:hAnsi="Arial"/>
          <w:sz w:val="14"/>
          <w:szCs w:val="14"/>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62"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Level 3</w:t>
      </w:r>
    </w:p>
    <w:p>
      <w:pPr>
        <w:spacing w:after="0" w:line="199" w:lineRule="exact"/>
        <w:rPr>
          <w:rFonts w:ascii="Arial" w:cs="Arial" w:eastAsia="Arial" w:hAnsi="Arial"/>
          <w:sz w:val="18"/>
          <w:szCs w:val="18"/>
          <w:color w:val="auto"/>
          <w:vertAlign w:val="superscript"/>
        </w:rPr>
      </w:pPr>
    </w:p>
    <w:p>
      <w:pPr>
        <w:ind w:left="520" w:right="400"/>
        <w:spacing w:after="0" w:line="281" w:lineRule="auto"/>
        <w:rPr>
          <w:rFonts w:ascii="Arial" w:cs="Arial" w:eastAsia="Arial" w:hAnsi="Arial"/>
          <w:sz w:val="18"/>
          <w:szCs w:val="18"/>
          <w:color w:val="auto"/>
          <w:vertAlign w:val="superscript"/>
        </w:rPr>
      </w:pPr>
      <w:r>
        <w:rPr>
          <w:rFonts w:ascii="Arial" w:cs="Arial" w:eastAsia="Arial" w:hAnsi="Arial"/>
          <w:sz w:val="14"/>
          <w:szCs w:val="14"/>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53" w:lineRule="exact"/>
        <w:rPr>
          <w:rFonts w:ascii="Arial" w:cs="Arial" w:eastAsia="Arial" w:hAnsi="Arial"/>
          <w:sz w:val="18"/>
          <w:szCs w:val="18"/>
          <w:color w:val="auto"/>
          <w:vertAlign w:val="superscript"/>
        </w:rPr>
      </w:pPr>
    </w:p>
    <w:p>
      <w:pPr>
        <w:ind w:left="520" w:right="280"/>
        <w:spacing w:after="0" w:line="262" w:lineRule="auto"/>
        <w:rPr>
          <w:rFonts w:ascii="Arial" w:cs="Arial" w:eastAsia="Arial" w:hAnsi="Arial"/>
          <w:sz w:val="18"/>
          <w:szCs w:val="18"/>
          <w:color w:val="auto"/>
          <w:vertAlign w:val="superscript"/>
        </w:rPr>
      </w:pPr>
      <w:r>
        <w:rPr>
          <w:rFonts w:ascii="Arial" w:cs="Arial" w:eastAsia="Arial" w:hAnsi="Arial"/>
          <w:sz w:val="14"/>
          <w:szCs w:val="14"/>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Product sales revenues.</w:t>
      </w:r>
    </w:p>
    <w:p>
      <w:pPr>
        <w:spacing w:after="0" w:line="167" w:lineRule="exact"/>
        <w:rPr>
          <w:rFonts w:ascii="Arial" w:cs="Arial" w:eastAsia="Arial" w:hAnsi="Arial"/>
          <w:sz w:val="18"/>
          <w:szCs w:val="18"/>
          <w:color w:val="auto"/>
          <w:vertAlign w:val="superscript"/>
        </w:rPr>
      </w:pPr>
    </w:p>
    <w:p>
      <w:pPr>
        <w:jc w:val="both"/>
        <w:ind w:left="520" w:right="140"/>
        <w:spacing w:after="0" w:line="297" w:lineRule="auto"/>
        <w:rPr>
          <w:rFonts w:ascii="Arial" w:cs="Arial" w:eastAsia="Arial" w:hAnsi="Arial"/>
          <w:sz w:val="18"/>
          <w:szCs w:val="18"/>
          <w:color w:val="auto"/>
          <w:vertAlign w:val="superscript"/>
        </w:rPr>
      </w:pPr>
      <w:r>
        <w:rPr>
          <w:rFonts w:ascii="Arial" w:cs="Arial" w:eastAsia="Arial" w:hAnsi="Arial"/>
          <w:sz w:val="13"/>
          <w:szCs w:val="13"/>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9" w:name="page160"/>
    <w:bookmarkEnd w:id="1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Rollforward of Level 3 Net Asset/(Liability)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a reconciliation of changes in fair value of the beginning and ending balances for our derivatives classified as Level 3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40" w:type="dxa"/>
            <w:vAlign w:val="bottom"/>
            <w:tcBorders>
              <w:bottom w:val="single" w:sz="8" w:color="auto"/>
            </w:tcBorders>
          </w:tcPr>
          <w:p>
            <w:pPr>
              <w:spacing w:after="0"/>
              <w:rPr>
                <w:sz w:val="13"/>
                <w:szCs w:val="13"/>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81"/>
              </w:rPr>
              <w:t>2020</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center"/>
              <w:ind w:left="492"/>
              <w:spacing w:after="0"/>
              <w:rPr>
                <w:sz w:val="20"/>
                <w:szCs w:val="20"/>
                <w:color w:val="auto"/>
              </w:rPr>
            </w:pPr>
            <w:r>
              <w:rPr>
                <w:rFonts w:ascii="Arial" w:cs="Arial" w:eastAsia="Arial" w:hAnsi="Arial"/>
                <w:sz w:val="14"/>
                <w:szCs w:val="14"/>
                <w:color w:val="auto"/>
                <w:w w:val="96"/>
              </w:rPr>
              <w:t>(51)</w:t>
            </w: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Net gains/(losses) for the period included in earnings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center"/>
              <w:ind w:left="512"/>
              <w:spacing w:after="0"/>
              <w:rPr>
                <w:sz w:val="20"/>
                <w:szCs w:val="20"/>
                <w:color w:val="auto"/>
              </w:rPr>
            </w:pPr>
            <w:r>
              <w:rPr>
                <w:rFonts w:ascii="Arial" w:cs="Arial" w:eastAsia="Arial" w:hAnsi="Arial"/>
                <w:sz w:val="14"/>
                <w:szCs w:val="14"/>
                <w:color w:val="auto"/>
                <w:w w:val="89"/>
              </w:rPr>
              <w:t>12</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Settlements</w:t>
            </w: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4"/>
                <w:szCs w:val="14"/>
                <w:color w:val="auto"/>
                <w:w w:val="89"/>
              </w:rPr>
              <w:t>10</w:t>
            </w:r>
          </w:p>
        </w:tc>
      </w:tr>
      <w:tr>
        <w:trPr>
          <w:trHeight w:val="171"/>
        </w:trPr>
        <w:tc>
          <w:tcPr>
            <w:tcW w:w="8300" w:type="dxa"/>
            <w:vAlign w:val="bottom"/>
          </w:tcPr>
          <w:p>
            <w:pPr>
              <w:spacing w:after="0"/>
              <w:rPr>
                <w:sz w:val="20"/>
                <w:szCs w:val="20"/>
                <w:color w:val="auto"/>
              </w:rPr>
            </w:pPr>
            <w:r>
              <w:rPr>
                <w:rFonts w:ascii="Arial" w:cs="Arial" w:eastAsia="Arial" w:hAnsi="Arial"/>
                <w:sz w:val="14"/>
                <w:szCs w:val="14"/>
                <w:color w:val="auto"/>
              </w:rPr>
              <w:t>Ending Balance</w:t>
            </w:r>
          </w:p>
        </w:tc>
        <w:tc>
          <w:tcPr>
            <w:tcW w:w="8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color w:val="auto"/>
                <w:w w:val="96"/>
              </w:rPr>
              <w:t>(29)</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8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Change in unrealized gains/(losses) included in earnings relating to Level 3 derivatives still held at the end of the period</w:t>
            </w:r>
          </w:p>
        </w:tc>
        <w:tc>
          <w:tcPr>
            <w:tcW w:w="840" w:type="dxa"/>
            <w:vAlign w:val="bottom"/>
          </w:tcPr>
          <w:p>
            <w:pPr>
              <w:jc w:val="right"/>
              <w:ind w:right="69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center"/>
              <w:ind w:left="512"/>
              <w:spacing w:after="0"/>
              <w:rPr>
                <w:sz w:val="20"/>
                <w:szCs w:val="20"/>
                <w:color w:val="auto"/>
              </w:rPr>
            </w:pPr>
            <w:r>
              <w:rPr>
                <w:rFonts w:ascii="Arial" w:cs="Arial" w:eastAsia="Arial" w:hAnsi="Arial"/>
                <w:sz w:val="14"/>
                <w:szCs w:val="14"/>
                <w:color w:val="auto"/>
                <w:w w:val="89"/>
              </w:rPr>
              <w:t>12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14—Leases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Lessee</w:t>
      </w:r>
    </w:p>
    <w:p>
      <w:pPr>
        <w:spacing w:after="0" w:line="10" w:lineRule="exact"/>
        <w:rPr>
          <w:sz w:val="20"/>
          <w:szCs w:val="20"/>
          <w:color w:val="auto"/>
        </w:rPr>
      </w:pPr>
    </w:p>
    <w:p>
      <w:pPr>
        <w:ind w:right="40" w:firstLine="509"/>
        <w:spacing w:after="0" w:line="242" w:lineRule="auto"/>
        <w:rPr>
          <w:sz w:val="20"/>
          <w:szCs w:val="20"/>
          <w:color w:val="auto"/>
        </w:rPr>
      </w:pPr>
      <w:r>
        <w:rPr>
          <w:rFonts w:ascii="Arial" w:cs="Arial" w:eastAsia="Arial" w:hAnsi="Arial"/>
          <w:sz w:val="13"/>
          <w:szCs w:val="13"/>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59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170" w:lineRule="exact"/>
        <w:rPr>
          <w:sz w:val="20"/>
          <w:szCs w:val="20"/>
          <w:color w:val="auto"/>
        </w:rPr>
      </w:pPr>
    </w:p>
    <w:p>
      <w:pPr>
        <w:ind w:right="260" w:firstLine="509"/>
        <w:spacing w:after="0" w:line="267" w:lineRule="auto"/>
        <w:rPr>
          <w:sz w:val="20"/>
          <w:szCs w:val="20"/>
          <w:color w:val="auto"/>
        </w:rPr>
      </w:pPr>
      <w:r>
        <w:rPr>
          <w:rFonts w:ascii="Arial" w:cs="Arial" w:eastAsia="Arial" w:hAnsi="Arial"/>
          <w:sz w:val="14"/>
          <w:szCs w:val="14"/>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63"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0" w:name="page161"/>
    <w:bookmarkEnd w:id="1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components of lease cost, including both amounts recognized in income and amounts capitalized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47"/>
        </w:trPr>
        <w:tc>
          <w:tcPr>
            <w:tcW w:w="6820" w:type="dxa"/>
            <w:vAlign w:val="bottom"/>
            <w:gridSpan w:val="3"/>
          </w:tcPr>
          <w:p>
            <w:pPr>
              <w:ind w:left="20"/>
              <w:spacing w:after="0"/>
              <w:rPr>
                <w:sz w:val="20"/>
                <w:szCs w:val="20"/>
                <w:color w:val="auto"/>
              </w:rPr>
            </w:pPr>
            <w:r>
              <w:rPr>
                <w:rFonts w:ascii="Arial" w:cs="Arial" w:eastAsia="Arial" w:hAnsi="Arial"/>
                <w:sz w:val="11"/>
                <w:szCs w:val="11"/>
                <w:b w:val="1"/>
                <w:bCs w:val="1"/>
                <w:color w:val="auto"/>
              </w:rPr>
              <w:t>Lease Cost</w:t>
            </w:r>
          </w:p>
        </w:tc>
        <w:tc>
          <w:tcPr>
            <w:tcW w:w="340" w:type="dxa"/>
            <w:vAlign w:val="bottom"/>
          </w:tcPr>
          <w:p>
            <w:pPr>
              <w:spacing w:after="0"/>
              <w:rPr>
                <w:sz w:val="12"/>
                <w:szCs w:val="12"/>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72"/>
        </w:trPr>
        <w:tc>
          <w:tcPr>
            <w:tcW w:w="6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80"/>
        </w:trPr>
        <w:tc>
          <w:tcPr>
            <w:tcW w:w="6820" w:type="dxa"/>
            <w:vAlign w:val="bottom"/>
            <w:gridSpan w:val="3"/>
          </w:tcPr>
          <w:p>
            <w:pPr>
              <w:ind w:left="20"/>
              <w:spacing w:after="0"/>
              <w:rPr>
                <w:sz w:val="20"/>
                <w:szCs w:val="20"/>
                <w:color w:val="auto"/>
              </w:rPr>
            </w:pPr>
            <w:r>
              <w:rPr>
                <w:rFonts w:ascii="Arial" w:cs="Arial" w:eastAsia="Arial" w:hAnsi="Arial"/>
                <w:sz w:val="14"/>
                <w:szCs w:val="14"/>
                <w:color w:val="auto"/>
              </w:rPr>
              <w:t>Short-term lease cost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1"/>
        </w:trPr>
        <w:tc>
          <w:tcPr>
            <w:tcW w:w="6820" w:type="dxa"/>
            <w:vAlign w:val="bottom"/>
            <w:gridSpan w:val="3"/>
            <w:shd w:val="clear" w:color="auto" w:fill="CCEEFF"/>
          </w:tcPr>
          <w:p>
            <w:pPr>
              <w:ind w:left="20"/>
              <w:spacing w:after="0" w:line="181" w:lineRule="exact"/>
              <w:rPr>
                <w:sz w:val="20"/>
                <w:szCs w:val="20"/>
                <w:color w:val="auto"/>
              </w:rPr>
            </w:pPr>
            <w:r>
              <w:rPr>
                <w:rFonts w:ascii="Arial" w:cs="Arial" w:eastAsia="Arial" w:hAnsi="Arial"/>
                <w:sz w:val="20"/>
                <w:szCs w:val="20"/>
                <w:color w:val="auto"/>
                <w:vertAlign w:val="subscript"/>
              </w:rPr>
              <w:t>Other</w:t>
            </w:r>
            <w:r>
              <w:rPr>
                <w:rFonts w:ascii="Arial" w:cs="Arial" w:eastAsia="Arial" w:hAnsi="Arial"/>
                <w:sz w:val="8"/>
                <w:szCs w:val="8"/>
                <w:color w:val="auto"/>
              </w:rPr>
              <w:t xml:space="preserve"> (1) (2)</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820" w:type="dxa"/>
            <w:vAlign w:val="bottom"/>
            <w:gridSpan w:val="3"/>
          </w:tcPr>
          <w:p>
            <w:pPr>
              <w:ind w:left="100"/>
              <w:spacing w:after="0"/>
              <w:rPr>
                <w:sz w:val="20"/>
                <w:szCs w:val="20"/>
                <w:color w:val="auto"/>
              </w:rPr>
            </w:pPr>
            <w:r>
              <w:rPr>
                <w:rFonts w:ascii="Arial" w:cs="Arial" w:eastAsia="Arial" w:hAnsi="Arial"/>
                <w:sz w:val="14"/>
                <w:szCs w:val="14"/>
                <w:color w:val="auto"/>
              </w:rPr>
              <w:t>Total lease cost</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11" w:lineRule="exact"/>
        <w:rPr>
          <w:sz w:val="20"/>
          <w:szCs w:val="20"/>
          <w:color w:val="auto"/>
        </w:rPr>
      </w:pPr>
    </w:p>
    <w:p>
      <w:pPr>
        <w:ind w:left="500" w:hanging="495"/>
        <w:spacing w:after="0"/>
        <w:tabs>
          <w:tab w:leader="none" w:pos="500"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Includes finance lease costs, variable lease costs and sublease income.</w:t>
      </w:r>
    </w:p>
    <w:p>
      <w:pPr>
        <w:spacing w:after="0" w:line="74" w:lineRule="exact"/>
        <w:rPr>
          <w:rFonts w:ascii="Arial" w:cs="Arial" w:eastAsia="Arial" w:hAnsi="Arial"/>
          <w:sz w:val="18"/>
          <w:szCs w:val="18"/>
          <w:color w:val="auto"/>
          <w:vertAlign w:val="superscript"/>
        </w:rPr>
      </w:pPr>
    </w:p>
    <w:p>
      <w:pPr>
        <w:ind w:left="520" w:hanging="515"/>
        <w:spacing w:after="0" w:line="228" w:lineRule="auto"/>
        <w:tabs>
          <w:tab w:leader="none" w:pos="510"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Includes approximately $8 million and $6 million for the years ended December 31, 2021 and 2020, respectively, associated with leased storage tanks owned by an equity method investee, in which we own a 50% interest.</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The following table presents information related to cash flows arising from lease transactions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820" w:type="dxa"/>
            <w:vAlign w:val="bottom"/>
          </w:tcPr>
          <w:p>
            <w:pPr>
              <w:ind w:left="100"/>
              <w:spacing w:after="0"/>
              <w:rPr>
                <w:sz w:val="20"/>
                <w:szCs w:val="20"/>
                <w:color w:val="auto"/>
              </w:rPr>
            </w:pPr>
            <w:r>
              <w:rPr>
                <w:rFonts w:ascii="Arial" w:cs="Arial" w:eastAsia="Arial" w:hAnsi="Arial"/>
                <w:sz w:val="14"/>
                <w:szCs w:val="14"/>
                <w:color w:val="auto"/>
              </w:rPr>
              <w:t>Operating cash flows for operating leases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1"/>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cash flows for finance leases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6820" w:type="dxa"/>
            <w:vAlign w:val="bottom"/>
          </w:tcPr>
          <w:p>
            <w:pPr>
              <w:ind w:left="100"/>
              <w:spacing w:after="0"/>
              <w:rPr>
                <w:sz w:val="20"/>
                <w:szCs w:val="20"/>
                <w:color w:val="auto"/>
              </w:rPr>
            </w:pPr>
            <w:r>
              <w:rPr>
                <w:rFonts w:ascii="Arial" w:cs="Arial" w:eastAsia="Arial" w:hAnsi="Arial"/>
                <w:sz w:val="14"/>
                <w:szCs w:val="14"/>
                <w:color w:val="auto"/>
              </w:rPr>
              <w:t>Financing cash flows for finance leases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2"/>
        </w:trPr>
        <w:tc>
          <w:tcPr>
            <w:tcW w:w="6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auto"/>
              </w:rPr>
              <w:t>Non-cash change in lease liabilities arising from obtaining new right-of-use assets or modifications: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44"/>
        </w:trPr>
        <w:tc>
          <w:tcPr>
            <w:tcW w:w="6820" w:type="dxa"/>
            <w:vAlign w:val="bottom"/>
          </w:tcPr>
          <w:p>
            <w:pPr>
              <w:ind w:left="100"/>
              <w:spacing w:after="0"/>
              <w:rPr>
                <w:sz w:val="20"/>
                <w:szCs w:val="20"/>
                <w:color w:val="auto"/>
              </w:rPr>
            </w:pPr>
            <w:r>
              <w:rPr>
                <w:rFonts w:ascii="Arial" w:cs="Arial" w:eastAsia="Arial" w:hAnsi="Arial"/>
                <w:sz w:val="14"/>
                <w:szCs w:val="14"/>
                <w:color w:val="auto"/>
              </w:rPr>
              <w:t xml:space="preserve">Finance leases </w:t>
            </w:r>
            <w:r>
              <w:rPr>
                <w:rFonts w:ascii="Arial" w:cs="Arial" w:eastAsia="Arial" w:hAnsi="Arial"/>
                <w:sz w:val="18"/>
                <w:szCs w:val="18"/>
                <w:color w:val="auto"/>
                <w:vertAlign w:val="superscript"/>
              </w:rPr>
              <w:t>(1)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46570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7">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13" w:lineRule="exact"/>
        <w:rPr>
          <w:sz w:val="20"/>
          <w:szCs w:val="20"/>
          <w:color w:val="auto"/>
        </w:rPr>
      </w:pPr>
    </w:p>
    <w:p>
      <w:pPr>
        <w:ind w:left="520" w:right="140" w:hanging="515"/>
        <w:spacing w:after="0" w:line="228" w:lineRule="auto"/>
        <w:tabs>
          <w:tab w:leader="none" w:pos="510" w:val="left"/>
        </w:tabs>
        <w:numPr>
          <w:ilvl w:val="0"/>
          <w:numId w:val="100"/>
        </w:numPr>
        <w:rPr>
          <w:rFonts w:ascii="Arial" w:cs="Arial" w:eastAsia="Arial" w:hAnsi="Arial"/>
          <w:sz w:val="18"/>
          <w:szCs w:val="18"/>
          <w:color w:val="auto"/>
          <w:vertAlign w:val="superscript"/>
        </w:rPr>
      </w:pPr>
      <w:r>
        <w:rPr>
          <w:rFonts w:ascii="Arial" w:cs="Arial" w:eastAsia="Arial" w:hAnsi="Arial"/>
          <w:sz w:val="14"/>
          <w:szCs w:val="14"/>
          <w:color w:val="auto"/>
        </w:rPr>
        <w:t>Includes $25 million and $12 million for the years ended December 31, 2020 and 2019, respectively, associated with leased storage tanks owned by an equity method investee, in which we own a 50% interest.</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Information related to the weighted-average remaining lease term and discount rate is presented in the table below:</w:t>
      </w:r>
    </w:p>
    <w:p>
      <w:pPr>
        <w:spacing w:after="0" w:line="225" w:lineRule="exact"/>
        <w:rPr>
          <w:sz w:val="20"/>
          <w:szCs w:val="20"/>
          <w:color w:val="auto"/>
        </w:rPr>
      </w:pPr>
    </w:p>
    <w:p>
      <w:pPr>
        <w:ind w:left="93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2020</w:t>
            </w:r>
          </w:p>
        </w:tc>
      </w:tr>
      <w:tr>
        <w:trPr>
          <w:trHeight w:val="16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80"/>
        </w:trPr>
        <w:tc>
          <w:tcPr>
            <w:tcW w:w="9140" w:type="dxa"/>
            <w:vAlign w:val="bottom"/>
            <w:gridSpan w:val="2"/>
          </w:tcPr>
          <w:p>
            <w:pPr>
              <w:ind w:left="100"/>
              <w:spacing w:after="0"/>
              <w:rPr>
                <w:sz w:val="20"/>
                <w:szCs w:val="20"/>
                <w:color w:val="auto"/>
              </w:rPr>
            </w:pPr>
            <w:r>
              <w:rPr>
                <w:rFonts w:ascii="Arial" w:cs="Arial" w:eastAsia="Arial" w:hAnsi="Arial"/>
                <w:sz w:val="14"/>
                <w:szCs w:val="14"/>
                <w:color w:val="auto"/>
              </w:rPr>
              <w:t>Operating leases</w:t>
            </w: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1"/>
        </w:trPr>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2"/>
        </w:trPr>
        <w:tc>
          <w:tcPr>
            <w:tcW w:w="8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Weighted-average discount rate:</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9140" w:type="dxa"/>
            <w:vAlign w:val="bottom"/>
            <w:gridSpan w:val="2"/>
          </w:tcPr>
          <w:p>
            <w:pPr>
              <w:ind w:left="100"/>
              <w:spacing w:after="0"/>
              <w:rPr>
                <w:sz w:val="20"/>
                <w:szCs w:val="20"/>
                <w:color w:val="auto"/>
              </w:rPr>
            </w:pPr>
            <w:r>
              <w:rPr>
                <w:rFonts w:ascii="Arial" w:cs="Arial" w:eastAsia="Arial" w:hAnsi="Arial"/>
                <w:sz w:val="14"/>
                <w:szCs w:val="14"/>
                <w:color w:val="auto"/>
              </w:rPr>
              <w:t>Operating leases</w:t>
            </w:r>
          </w:p>
        </w:tc>
        <w:tc>
          <w:tcPr>
            <w:tcW w:w="540" w:type="dxa"/>
            <w:vAlign w:val="bottom"/>
          </w:tcPr>
          <w:p>
            <w:pPr>
              <w:jc w:val="right"/>
              <w:spacing w:after="0"/>
              <w:rPr>
                <w:sz w:val="20"/>
                <w:szCs w:val="20"/>
                <w:color w:val="auto"/>
              </w:rPr>
            </w:pPr>
            <w:r>
              <w:rPr>
                <w:rFonts w:ascii="Arial" w:cs="Arial" w:eastAsia="Arial" w:hAnsi="Arial"/>
                <w:sz w:val="14"/>
                <w:szCs w:val="14"/>
                <w:color w:val="auto"/>
              </w:rPr>
              <w:t>4.2 %</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4.5 %</w:t>
            </w:r>
          </w:p>
        </w:tc>
      </w:tr>
      <w:tr>
        <w:trPr>
          <w:trHeight w:val="181"/>
        </w:trPr>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r>
      <w:tr>
        <w:trPr>
          <w:trHeight w:val="859"/>
        </w:trPr>
        <w:tc>
          <w:tcPr>
            <w:tcW w:w="9140" w:type="dxa"/>
            <w:vAlign w:val="bottom"/>
            <w:gridSpan w:val="2"/>
          </w:tcPr>
          <w:p>
            <w:pPr>
              <w:ind w:left="5520"/>
              <w:spacing w:after="0"/>
              <w:rPr>
                <w:sz w:val="20"/>
                <w:szCs w:val="20"/>
                <w:color w:val="auto"/>
              </w:rPr>
            </w:pPr>
            <w:r>
              <w:rPr>
                <w:rFonts w:ascii="Arial" w:cs="Arial" w:eastAsia="Arial" w:hAnsi="Arial"/>
                <w:sz w:val="14"/>
                <w:szCs w:val="14"/>
                <w:color w:val="auto"/>
              </w:rPr>
              <w:t>F-49</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7"/>
        </w:trPr>
        <w:tc>
          <w:tcPr>
            <w:tcW w:w="8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1" w:name="page162"/>
    <w:bookmarkEnd w:id="1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amount and location of our operating and finance lease right-of-use assets and liabilities on our Consolidated Balance Sheets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2"/>
                <w:szCs w:val="12"/>
                <w:color w:val="auto"/>
              </w:rPr>
            </w:pPr>
          </w:p>
        </w:tc>
      </w:tr>
      <w:tr>
        <w:trPr>
          <w:trHeight w:val="138"/>
        </w:trPr>
        <w:tc>
          <w:tcPr>
            <w:tcW w:w="3680" w:type="dxa"/>
            <w:vAlign w:val="bottom"/>
            <w:gridSpan w:val="2"/>
          </w:tcPr>
          <w:p>
            <w:pPr>
              <w:ind w:left="20"/>
              <w:spacing w:after="0"/>
              <w:rPr>
                <w:sz w:val="20"/>
                <w:szCs w:val="20"/>
                <w:color w:val="auto"/>
              </w:rPr>
            </w:pPr>
            <w:r>
              <w:rPr>
                <w:rFonts w:ascii="Arial" w:cs="Arial" w:eastAsia="Arial" w:hAnsi="Arial"/>
                <w:sz w:val="11"/>
                <w:szCs w:val="11"/>
                <w:b w:val="1"/>
                <w:bCs w:val="1"/>
                <w:color w:val="auto"/>
              </w:rPr>
              <w:t>Leases</w:t>
            </w:r>
          </w:p>
        </w:tc>
        <w:tc>
          <w:tcPr>
            <w:tcW w:w="200" w:type="dxa"/>
            <w:vAlign w:val="bottom"/>
          </w:tcPr>
          <w:p>
            <w:pPr>
              <w:spacing w:after="0"/>
              <w:rPr>
                <w:sz w:val="12"/>
                <w:szCs w:val="12"/>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Balance Sheet Location</w:t>
            </w:r>
          </w:p>
        </w:tc>
        <w:tc>
          <w:tcPr>
            <w:tcW w:w="340" w:type="dxa"/>
            <w:vAlign w:val="bottom"/>
          </w:tcPr>
          <w:p>
            <w:pPr>
              <w:spacing w:after="0"/>
              <w:rPr>
                <w:sz w:val="12"/>
                <w:szCs w:val="12"/>
                <w:color w:val="auto"/>
              </w:rPr>
            </w:pPr>
          </w:p>
        </w:tc>
        <w:tc>
          <w:tcPr>
            <w:tcW w:w="1080" w:type="dxa"/>
            <w:vAlign w:val="bottom"/>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530"/>
              <w:spacing w:after="0"/>
              <w:rPr>
                <w:sz w:val="20"/>
                <w:szCs w:val="20"/>
                <w:color w:val="auto"/>
              </w:rPr>
            </w:pPr>
            <w:r>
              <w:rPr>
                <w:rFonts w:ascii="Arial" w:cs="Arial" w:eastAsia="Arial" w:hAnsi="Arial"/>
                <w:sz w:val="11"/>
                <w:szCs w:val="11"/>
                <w:b w:val="1"/>
                <w:bCs w:val="1"/>
                <w:color w:val="auto"/>
              </w:rPr>
              <w:t>2020</w:t>
            </w:r>
          </w:p>
        </w:tc>
      </w:tr>
      <w:tr>
        <w:trPr>
          <w:trHeight w:val="180"/>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0"/>
        </w:trPr>
        <w:tc>
          <w:tcPr>
            <w:tcW w:w="3680" w:type="dxa"/>
            <w:vAlign w:val="bottom"/>
            <w:gridSpan w:val="2"/>
          </w:tcPr>
          <w:p>
            <w:pPr>
              <w:ind w:left="10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Pr>
          <w:p>
            <w:pPr>
              <w:spacing w:after="0"/>
              <w:rPr>
                <w:sz w:val="15"/>
                <w:szCs w:val="15"/>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Long-term operating lease right-of-use assets, net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0"/>
        </w:trPr>
        <w:tc>
          <w:tcPr>
            <w:tcW w:w="368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Finance lease right-of-use assets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Property and equipment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180"/>
        </w:trPr>
        <w:tc>
          <w:tcPr>
            <w:tcW w:w="3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1"/>
              </w:rPr>
              <w:t>Accumulated depreciation</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1"/>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Property and equipment, net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171"/>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lease right-of-use assets</w:t>
            </w: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3"/>
        </w:trPr>
        <w:tc>
          <w:tcPr>
            <w:tcW w:w="3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680" w:type="dxa"/>
            <w:vAlign w:val="bottom"/>
            <w:gridSpan w:val="2"/>
          </w:tcPr>
          <w:p>
            <w:pPr>
              <w:ind w:left="18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5"/>
                <w:szCs w:val="15"/>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Other current liabilities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1"/>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Noncurrent</w:t>
            </w:r>
          </w:p>
        </w:tc>
        <w:tc>
          <w:tcPr>
            <w:tcW w:w="20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2"/>
              </w:rPr>
              <w:t>Long-term operating lease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71"/>
        </w:trPr>
        <w:tc>
          <w:tcPr>
            <w:tcW w:w="3680" w:type="dxa"/>
            <w:vAlign w:val="bottom"/>
            <w:gridSpan w:val="2"/>
          </w:tcPr>
          <w:p>
            <w:pPr>
              <w:ind w:left="10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0"/>
        </w:trPr>
        <w:tc>
          <w:tcPr>
            <w:tcW w:w="368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Finance lease liabilities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w:t>
            </w:r>
          </w:p>
        </w:tc>
        <w:tc>
          <w:tcPr>
            <w:tcW w:w="20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0"/>
              </w:rPr>
              <w:t>Short-term debt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3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Noncurrent</w:t>
            </w:r>
          </w:p>
        </w:tc>
        <w:tc>
          <w:tcPr>
            <w:tcW w:w="20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4"/>
                <w:szCs w:val="14"/>
                <w:color w:val="auto"/>
                <w:w w:val="92"/>
              </w:rPr>
              <w:t>Other long-term debt,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171"/>
        </w:trPr>
        <w:tc>
          <w:tcPr>
            <w:tcW w:w="3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finance lease liabilities</w:t>
            </w:r>
          </w:p>
        </w:tc>
        <w:tc>
          <w:tcPr>
            <w:tcW w:w="2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12"/>
        </w:trPr>
        <w:tc>
          <w:tcPr>
            <w:tcW w:w="3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138" w:lineRule="exact"/>
        <w:rPr>
          <w:sz w:val="20"/>
          <w:szCs w:val="20"/>
          <w:color w:val="auto"/>
        </w:rPr>
      </w:pPr>
    </w:p>
    <w:p>
      <w:pPr>
        <w:ind w:left="520" w:right="40" w:hanging="515"/>
        <w:spacing w:after="0" w:line="228" w:lineRule="auto"/>
        <w:tabs>
          <w:tab w:leader="none" w:pos="510" w:val="left"/>
        </w:tabs>
        <w:numPr>
          <w:ilvl w:val="0"/>
          <w:numId w:val="101"/>
        </w:numPr>
        <w:rPr>
          <w:rFonts w:ascii="Arial" w:cs="Arial" w:eastAsia="Arial" w:hAnsi="Arial"/>
          <w:sz w:val="18"/>
          <w:szCs w:val="18"/>
          <w:b w:val="1"/>
          <w:bCs w:val="1"/>
          <w:color w:val="auto"/>
          <w:vertAlign w:val="superscript"/>
        </w:rPr>
      </w:pPr>
      <w:r>
        <w:rPr>
          <w:rFonts w:ascii="Arial" w:cs="Arial" w:eastAsia="Arial" w:hAnsi="Arial"/>
          <w:sz w:val="14"/>
          <w:szCs w:val="14"/>
          <w:color w:val="auto"/>
        </w:rPr>
        <w:t>Includes right-of-use assets of $33 million and $35 million and lease liabilities of $35 million and $36 million as of December 31, 2021 and 2020, respectively, associated with leased storage tanks owned by an equity method investee, in which we own a 50% interest.</w:t>
      </w:r>
    </w:p>
    <w:p>
      <w:pPr>
        <w:spacing w:after="0" w:line="266"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The following table presents the maturity of undiscounted cash flows for future minimum lease payments under noncancelable leases as of December 31, 2021 reconciled to our lease liabilities on our Consolidated Balance Sheet (amounts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Borders>
              <w:bottom w:val="single" w:sz="8" w:color="CCEEFF"/>
            </w:tcBorders>
          </w:tcPr>
          <w:p>
            <w:pPr>
              <w:spacing w:after="0"/>
              <w:rPr>
                <w:sz w:val="13"/>
                <w:szCs w:val="13"/>
                <w:color w:val="auto"/>
              </w:rPr>
            </w:pPr>
          </w:p>
        </w:tc>
        <w:tc>
          <w:tcPr>
            <w:tcW w:w="44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 xml:space="preserve">Finance </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60" w:type="dxa"/>
            <w:vAlign w:val="bottom"/>
            <w:shd w:val="clear" w:color="auto" w:fill="CCEEFF"/>
          </w:tcPr>
          <w:p>
            <w:pPr>
              <w:spacing w:after="0" w:line="164" w:lineRule="exact"/>
              <w:rPr>
                <w:sz w:val="20"/>
                <w:szCs w:val="20"/>
                <w:color w:val="auto"/>
              </w:rPr>
            </w:pPr>
            <w:r>
              <w:rPr>
                <w:rFonts w:ascii="Arial" w:cs="Arial" w:eastAsia="Arial" w:hAnsi="Arial"/>
                <w:sz w:val="14"/>
                <w:szCs w:val="14"/>
                <w:color w:val="auto"/>
              </w:rPr>
              <w:t xml:space="preserve">Future minimum lease payments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4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2022</w:t>
            </w:r>
          </w:p>
        </w:tc>
        <w:tc>
          <w:tcPr>
            <w:tcW w:w="5460" w:type="dxa"/>
            <w:vAlign w:val="bottom"/>
            <w:gridSpan w:val="2"/>
          </w:tcPr>
          <w:p>
            <w:pPr>
              <w:jc w:val="right"/>
              <w:ind w:right="876"/>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2023</w:t>
            </w:r>
          </w:p>
        </w:tc>
        <w:tc>
          <w:tcPr>
            <w:tcW w:w="4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2024</w:t>
            </w:r>
          </w:p>
        </w:tc>
        <w:tc>
          <w:tcPr>
            <w:tcW w:w="4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2025</w:t>
            </w:r>
          </w:p>
        </w:tc>
        <w:tc>
          <w:tcPr>
            <w:tcW w:w="4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2026</w:t>
            </w:r>
          </w:p>
        </w:tc>
        <w:tc>
          <w:tcPr>
            <w:tcW w:w="4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Thereafter</w:t>
            </w:r>
          </w:p>
        </w:tc>
        <w:tc>
          <w:tcPr>
            <w:tcW w:w="44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ind w:left="180"/>
              <w:spacing w:after="0"/>
              <w:rPr>
                <w:sz w:val="20"/>
                <w:szCs w:val="20"/>
                <w:color w:val="auto"/>
              </w:rPr>
            </w:pPr>
            <w:r>
              <w:rPr>
                <w:rFonts w:ascii="Arial" w:cs="Arial" w:eastAsia="Arial" w:hAnsi="Arial"/>
                <w:sz w:val="14"/>
                <w:szCs w:val="14"/>
                <w:color w:val="auto"/>
              </w:rPr>
              <w:t>Total</w:t>
            </w:r>
          </w:p>
        </w:tc>
        <w:tc>
          <w:tcPr>
            <w:tcW w:w="4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Less: Present value discount</w:t>
            </w:r>
          </w:p>
        </w:tc>
        <w:tc>
          <w:tcPr>
            <w:tcW w:w="44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Lease liabilities</w:t>
            </w:r>
          </w:p>
        </w:tc>
        <w:tc>
          <w:tcPr>
            <w:tcW w:w="4440" w:type="dxa"/>
            <w:vAlign w:val="bottom"/>
          </w:tcPr>
          <w:p>
            <w:pPr>
              <w:spacing w:after="0"/>
              <w:rPr>
                <w:sz w:val="14"/>
                <w:szCs w:val="14"/>
                <w:color w:val="auto"/>
              </w:rPr>
            </w:pP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5460" w:type="dxa"/>
            <w:vAlign w:val="bottom"/>
            <w:gridSpan w:val="2"/>
            <w:vMerge w:val="restart"/>
          </w:tcPr>
          <w:p>
            <w:pPr>
              <w:jc w:val="right"/>
              <w:ind w:right="3496"/>
              <w:spacing w:after="0"/>
              <w:rPr>
                <w:sz w:val="20"/>
                <w:szCs w:val="20"/>
                <w:color w:val="auto"/>
              </w:rPr>
            </w:pPr>
            <w:r>
              <w:rPr>
                <w:rFonts w:ascii="Arial" w:cs="Arial" w:eastAsia="Arial" w:hAnsi="Arial"/>
                <w:sz w:val="14"/>
                <w:szCs w:val="14"/>
                <w:color w:val="auto"/>
              </w:rPr>
              <w:t>F-50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62" w:name="page163"/>
    <w:bookmarkEnd w:id="1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0" w:hanging="495"/>
        <w:spacing w:after="0"/>
        <w:tabs>
          <w:tab w:leader="none" w:pos="50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Excludes future minimum payments for short-term and other immaterial leases not included on our Consolidated Balance Sheet.</w:t>
      </w:r>
    </w:p>
    <w:p>
      <w:pPr>
        <w:spacing w:after="0" w:line="74" w:lineRule="exact"/>
        <w:rPr>
          <w:rFonts w:ascii="Arial" w:cs="Arial" w:eastAsia="Arial" w:hAnsi="Arial"/>
          <w:sz w:val="18"/>
          <w:szCs w:val="18"/>
          <w:color w:val="auto"/>
          <w:vertAlign w:val="superscript"/>
        </w:rPr>
      </w:pPr>
    </w:p>
    <w:p>
      <w:pPr>
        <w:ind w:left="520" w:right="180" w:hanging="515"/>
        <w:spacing w:after="0" w:line="228" w:lineRule="auto"/>
        <w:tabs>
          <w:tab w:leader="none" w:pos="51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Includes payments of approximately $6 million for each of the years ending 2022 through 2026 and approximately $58 million thereafter associated with leased storage tanks owned by an equity method investee, in which we own a 50% interest.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Lessor</w:t>
      </w:r>
    </w:p>
    <w:p>
      <w:pPr>
        <w:spacing w:after="0" w:line="200"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45" w:lineRule="exact"/>
        <w:rPr>
          <w:sz w:val="20"/>
          <w:szCs w:val="20"/>
          <w:color w:val="auto"/>
        </w:rPr>
      </w:pPr>
    </w:p>
    <w:p>
      <w:pPr>
        <w:ind w:right="320" w:firstLine="509"/>
        <w:spacing w:after="0" w:line="262" w:lineRule="auto"/>
        <w:rPr>
          <w:sz w:val="20"/>
          <w:szCs w:val="20"/>
          <w:color w:val="auto"/>
        </w:rPr>
      </w:pPr>
      <w:r>
        <w:rPr>
          <w:rFonts w:ascii="Arial" w:cs="Arial" w:eastAsia="Arial" w:hAnsi="Arial"/>
          <w:sz w:val="14"/>
          <w:szCs w:val="14"/>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our lease revenue for the periods indicated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1"/>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r>
      <w:tr>
        <w:trPr>
          <w:trHeight w:val="172"/>
        </w:trPr>
        <w:tc>
          <w:tcPr>
            <w:tcW w:w="6840" w:type="dxa"/>
            <w:vAlign w:val="bottom"/>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Operating lease revenue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46570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55" w:lineRule="exact"/>
        <w:rPr>
          <w:sz w:val="20"/>
          <w:szCs w:val="20"/>
          <w:color w:val="auto"/>
        </w:rPr>
      </w:pPr>
    </w:p>
    <w:p>
      <w:pPr>
        <w:ind w:left="500" w:hanging="495"/>
        <w:spacing w:after="0"/>
        <w:tabs>
          <w:tab w:leader="none" w:pos="50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These amounts are included in “Services revenues” on our Consolidated Statements of Operations.</w:t>
      </w:r>
    </w:p>
    <w:p>
      <w:pPr>
        <w:spacing w:after="0" w:line="181" w:lineRule="exact"/>
        <w:rPr>
          <w:sz w:val="20"/>
          <w:szCs w:val="20"/>
          <w:color w:val="auto"/>
        </w:rPr>
      </w:pPr>
    </w:p>
    <w:p>
      <w:pPr>
        <w:jc w:val="both"/>
        <w:ind w:right="260" w:firstLine="509"/>
        <w:spacing w:after="0" w:line="267" w:lineRule="auto"/>
        <w:rPr>
          <w:sz w:val="20"/>
          <w:szCs w:val="20"/>
          <w:color w:val="auto"/>
        </w:rPr>
      </w:pPr>
      <w:r>
        <w:rPr>
          <w:rFonts w:ascii="Arial" w:cs="Arial" w:eastAsia="Arial" w:hAnsi="Arial"/>
          <w:sz w:val="14"/>
          <w:szCs w:val="14"/>
          <w:color w:val="auto"/>
        </w:rPr>
        <w:t>The table below presents the maturity of lease payments for operating lease agreements in effect as of December 31, 2021. This presentation includes minimum fixed lease payments and does not include an estimate of variable lease consideration. These agreements have remaining lease terms ranging from one year to 20 years. The following table presents the undiscounted cash flows expected to be received related to these agreements (in millions):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8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Thereafter</w:t>
            </w:r>
          </w:p>
        </w:tc>
      </w:tr>
      <w:tr>
        <w:trPr>
          <w:trHeight w:val="175"/>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minimum lease revenue</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197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15—Income Taxes</w:t>
      </w:r>
    </w:p>
    <w:p>
      <w:pPr>
        <w:spacing w:after="0" w:line="20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6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2021 and 2020, we had not recognized any material amounts in connection with uncertainty in income taxes.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3" w:name="page164"/>
    <w:bookmarkEnd w:id="1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Federal and State Taxes</w:t>
      </w:r>
    </w:p>
    <w:p>
      <w:pPr>
        <w:spacing w:after="0" w:line="200"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As an MLP, we are not subject to U.S. federal income taxes; rather the tax effect of our operations is passed through to our unitholders. Although we are subject to state income taxes in some states, the impact to the years ended December 31, 2021, 2020, and 2019 was immaterial.</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Federal and Provincial Taxes</w:t>
      </w:r>
    </w:p>
    <w:p>
      <w:pPr>
        <w:spacing w:after="0" w:line="200" w:lineRule="exact"/>
        <w:rPr>
          <w:sz w:val="20"/>
          <w:szCs w:val="20"/>
          <w:color w:val="auto"/>
        </w:rPr>
      </w:pPr>
    </w:p>
    <w:p>
      <w:pPr>
        <w:ind w:right="240" w:firstLine="509"/>
        <w:spacing w:after="0" w:line="267" w:lineRule="auto"/>
        <w:rPr>
          <w:sz w:val="20"/>
          <w:szCs w:val="20"/>
          <w:color w:val="auto"/>
        </w:rPr>
      </w:pPr>
      <w:r>
        <w:rPr>
          <w:rFonts w:ascii="Arial" w:cs="Arial" w:eastAsia="Arial" w:hAnsi="Arial"/>
          <w:sz w:val="14"/>
          <w:szCs w:val="14"/>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Components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Components of income tax expense are as follows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r>
      <w:tr>
        <w:trPr>
          <w:trHeight w:val="161"/>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Current income tax expense:</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State income tax</w:t>
            </w:r>
          </w:p>
        </w:tc>
        <w:tc>
          <w:tcPr>
            <w:tcW w:w="1040" w:type="dxa"/>
            <w:vAlign w:val="bottom"/>
          </w:tcPr>
          <w:p>
            <w:pPr>
              <w:jc w:val="right"/>
              <w:ind w:right="892"/>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center"/>
              <w:ind w:left="913"/>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Canadian federal and provincial income tax</w:t>
            </w: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center"/>
              <w:ind w:left="1013"/>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71"/>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current income tax expense</w:t>
            </w:r>
          </w:p>
        </w:tc>
        <w:tc>
          <w:tcPr>
            <w:tcW w:w="104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center"/>
              <w:ind w:left="1013"/>
              <w:spacing w:after="0"/>
              <w:rPr>
                <w:sz w:val="20"/>
                <w:szCs w:val="20"/>
                <w:color w:val="auto"/>
              </w:rPr>
            </w:pPr>
            <w:r>
              <w:rPr>
                <w:rFonts w:ascii="Arial" w:cs="Arial" w:eastAsia="Arial" w:hAnsi="Arial"/>
                <w:sz w:val="14"/>
                <w:szCs w:val="14"/>
                <w:color w:val="auto"/>
                <w:w w:val="89"/>
              </w:rPr>
              <w:t>51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82"/>
        </w:trPr>
        <w:tc>
          <w:tcPr>
            <w:tcW w:w="6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Deferred income tax expense/(benefit):</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Canadian federal and provincial income tax</w:t>
            </w:r>
          </w:p>
        </w:tc>
        <w:tc>
          <w:tcPr>
            <w:tcW w:w="104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center"/>
              <w:ind w:left="993"/>
              <w:spacing w:after="0"/>
              <w:rPr>
                <w:sz w:val="20"/>
                <w:szCs w:val="20"/>
                <w:color w:val="auto"/>
              </w:rPr>
            </w:pPr>
            <w:r>
              <w:rPr>
                <w:rFonts w:ascii="Arial" w:cs="Arial" w:eastAsia="Arial" w:hAnsi="Arial"/>
                <w:sz w:val="14"/>
                <w:szCs w:val="14"/>
                <w:color w:val="auto"/>
                <w:w w:val="96"/>
              </w:rPr>
              <w:t>(70)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71"/>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deferred income tax expense/(benefit)</w:t>
            </w:r>
          </w:p>
        </w:tc>
        <w:tc>
          <w:tcPr>
            <w:tcW w:w="104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center"/>
              <w:ind w:left="993"/>
              <w:spacing w:after="0"/>
              <w:rPr>
                <w:sz w:val="20"/>
                <w:szCs w:val="20"/>
                <w:color w:val="auto"/>
              </w:rPr>
            </w:pPr>
            <w:r>
              <w:rPr>
                <w:rFonts w:ascii="Arial" w:cs="Arial" w:eastAsia="Arial" w:hAnsi="Arial"/>
                <w:sz w:val="14"/>
                <w:szCs w:val="14"/>
                <w:color w:val="auto"/>
                <w:w w:val="96"/>
              </w:rPr>
              <w:t>(70)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income tax expense/(benefit)</w:t>
            </w:r>
          </w:p>
        </w:tc>
        <w:tc>
          <w:tcPr>
            <w:tcW w:w="104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center"/>
              <w:ind w:left="993"/>
              <w:spacing w:after="0"/>
              <w:rPr>
                <w:sz w:val="20"/>
                <w:szCs w:val="20"/>
                <w:color w:val="auto"/>
              </w:rPr>
            </w:pPr>
            <w:r>
              <w:rPr>
                <w:rFonts w:ascii="Arial" w:cs="Arial" w:eastAsia="Arial" w:hAnsi="Arial"/>
                <w:sz w:val="14"/>
                <w:szCs w:val="14"/>
                <w:color w:val="auto"/>
                <w:w w:val="96"/>
              </w:rPr>
              <w:t>(19)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difference between income tax expense based on the statutory federal income tax rate and our effective income tax expense is summarized as follows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Income/(loss) before tax</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2,246</w:t>
            </w:r>
          </w:p>
        </w:tc>
      </w:tr>
      <w:tr>
        <w:trPr>
          <w:trHeight w:val="180"/>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Partnership (earnings)/loss not subject to current Canadian tax</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(1,769)</w:t>
            </w:r>
          </w:p>
        </w:tc>
      </w:tr>
      <w:tr>
        <w:trPr>
          <w:trHeight w:val="171"/>
        </w:trPr>
        <w:tc>
          <w:tcPr>
            <w:tcW w:w="67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477</w:t>
            </w:r>
          </w:p>
        </w:tc>
      </w:tr>
      <w:tr>
        <w:trPr>
          <w:trHeight w:val="180"/>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Canadian federal and provincial corporate tax rate</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26%</w:t>
            </w:r>
          </w:p>
        </w:tc>
      </w:tr>
      <w:tr>
        <w:trPr>
          <w:trHeight w:val="171"/>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expense/(benefit) at statutory rate</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124</w:t>
            </w:r>
          </w:p>
        </w:tc>
      </w:tr>
      <w:tr>
        <w:trPr>
          <w:trHeight w:val="202"/>
        </w:trPr>
        <w:tc>
          <w:tcPr>
            <w:tcW w:w="6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0"/>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Canadian permanent differences and rate changes</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(61)</w:t>
            </w: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State income tax</w:t>
            </w:r>
          </w:p>
        </w:tc>
        <w:tc>
          <w:tcPr>
            <w:tcW w:w="94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3</w:t>
            </w:r>
          </w:p>
        </w:tc>
      </w:tr>
      <w:tr>
        <w:trPr>
          <w:trHeight w:val="196"/>
        </w:trPr>
        <w:tc>
          <w:tcPr>
            <w:tcW w:w="67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income tax expense/(benefit)</w:t>
            </w:r>
          </w:p>
        </w:tc>
        <w:tc>
          <w:tcPr>
            <w:tcW w:w="94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right="20" w:firstLine="509"/>
        <w:spacing w:after="0" w:line="322" w:lineRule="auto"/>
        <w:rPr>
          <w:sz w:val="20"/>
          <w:szCs w:val="20"/>
          <w:color w:val="auto"/>
        </w:rPr>
      </w:pPr>
      <w:r>
        <w:rPr>
          <w:rFonts w:ascii="Arial" w:cs="Arial" w:eastAsia="Arial" w:hAnsi="Arial"/>
          <w:sz w:val="12"/>
          <w:szCs w:val="12"/>
          <w:color w:val="auto"/>
        </w:rPr>
        <w:t>The Canadian permanent differences and rate changes for the year ended December 31, 2020 primarily related to an impairment of goodwill that was recognized during the year. A portion of the goodwill that was impaired had no basis for Canadian income tax purposes and thus was not a deductible expense in determining taxable income, resulting in a permanent difference for Canadian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tax purposes. See Note 8 for additional information regarding this impairment.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4" w:name="page165"/>
    <w:bookmarkEnd w:id="1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60" w:firstLine="509"/>
        <w:spacing w:after="0" w:line="331" w:lineRule="auto"/>
        <w:rPr>
          <w:sz w:val="20"/>
          <w:szCs w:val="20"/>
          <w:color w:val="auto"/>
        </w:rPr>
      </w:pPr>
      <w:r>
        <w:rPr>
          <w:rFonts w:ascii="Arial" w:cs="Arial" w:eastAsia="Arial" w:hAnsi="Arial"/>
          <w:sz w:val="12"/>
          <w:szCs w:val="12"/>
          <w:color w:val="auto"/>
        </w:rPr>
        <w:t>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 In the fourth quarter of 2020, the Alberta government changed the timing of the rate reduction to decrease the corporate income tax rate to 8% starting July 1, 2020.</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Deferred tax assets and liabilities are aggregated by the applicable tax paying entity and jurisdiction and result from the following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3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6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Derivative instruments</w:t>
            </w: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 liabilities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Net operating losses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1"/>
        </w:trPr>
        <w:tc>
          <w:tcPr>
            <w:tcW w:w="8300" w:type="dxa"/>
            <w:vAlign w:val="bottom"/>
          </w:tcPr>
          <w:p>
            <w:pPr>
              <w:spacing w:after="0"/>
              <w:rPr>
                <w:sz w:val="20"/>
                <w:szCs w:val="20"/>
                <w:color w:val="auto"/>
              </w:rPr>
            </w:pPr>
            <w:r>
              <w:rPr>
                <w:rFonts w:ascii="Arial" w:cs="Arial" w:eastAsia="Arial" w:hAnsi="Arial"/>
                <w:sz w:val="14"/>
                <w:szCs w:val="14"/>
                <w:color w:val="auto"/>
              </w:rPr>
              <w:t>Total deferred tax assets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2"/>
        </w:trPr>
        <w:tc>
          <w:tcPr>
            <w:tcW w:w="8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and equipment in excess of tax values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Lease assets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8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deferred tax liabilities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deferred tax liabilities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0"/>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Balance sheet classification of deferred tax assets/(liabilities):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Other long-term assets, net</w:t>
            </w: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long-term liabilities and deferred credits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71"/>
        </w:trPr>
        <w:tc>
          <w:tcPr>
            <w:tcW w:w="8300" w:type="dxa"/>
            <w:vAlign w:val="bottom"/>
          </w:tcPr>
          <w:p>
            <w:pPr>
              <w:spacing w:after="0"/>
              <w:rPr>
                <w:sz w:val="14"/>
                <w:szCs w:val="14"/>
                <w:color w:val="auto"/>
              </w:rPr>
            </w:pPr>
          </w:p>
        </w:tc>
        <w:tc>
          <w:tcPr>
            <w:tcW w:w="9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we had foreign net operating loss carryforwards of $9 million, which will expire beginning in 2034.</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Generally, tax returns for our Canadian entities are open to audit from 2017 through 2021. Our U.S. and state tax years are generally open to examination from 2018 to 2021.</w:t>
      </w:r>
    </w:p>
    <w:p>
      <w:pPr>
        <w:spacing w:after="0" w:line="200" w:lineRule="exact"/>
        <w:rPr>
          <w:sz w:val="20"/>
          <w:szCs w:val="20"/>
          <w:color w:val="auto"/>
        </w:rPr>
      </w:pPr>
    </w:p>
    <w:p>
      <w:pPr>
        <w:ind w:right="20" w:firstLine="509"/>
        <w:spacing w:after="0" w:line="279" w:lineRule="auto"/>
        <w:rPr>
          <w:sz w:val="20"/>
          <w:szCs w:val="20"/>
          <w:color w:val="auto"/>
        </w:rPr>
      </w:pPr>
      <w:r>
        <w:rPr>
          <w:rFonts w:ascii="Arial" w:cs="Arial" w:eastAsia="Arial" w:hAnsi="Arial"/>
          <w:sz w:val="13"/>
          <w:szCs w:val="13"/>
          <w:color w:val="auto"/>
        </w:rPr>
        <w:t>As of December 31, 2021, in reference to tax years 2008 to 2016,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$120 million (based on the exchange rate as of December 31, 2021). Payment of a portion of the assessment is required in order to file a notice of objection to dispute the reassessment. Accordingly, we have remitted approximately $101 million (based on the exchange rate as of December 31, 2021)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2021, we believe that our tax position associated with these matters is “more likely than not” to be sustained and have not recognized any amounts for uncertainty in income taxes related to these notices.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5" w:name="page166"/>
    <w:bookmarkEnd w:id="1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16—Major Customers and Concentration of Credit Risk</w:t>
      </w:r>
    </w:p>
    <w:p>
      <w:pPr>
        <w:spacing w:after="0" w:line="204"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ExxonMobil Corporation and its subsidiaries accounted for 15%, 12% and 12% of our revenues for the years ended December 31, 2021, 2020 and 2019, respectively. Marathon Petroleum Corporation and its subsidiaries accounted for 12%, 13% and 12% of our revenues for the years ended December 31, 2021, 2020 and 2019, respectively. BP p.l.c. and its subsidiaries accounted for 10% of our revenues for the year ended December 31, 2021. Phillips 66 Company and its subsidiaries accounted for 11% of our revenues for the year ended December 31, 2019. No other customers accounted for 10% or more of our revenues during any of the three years ended December 31, 2021.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171"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17—Related Party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Ownership of PAGP Class C Shares</w:t>
      </w:r>
    </w:p>
    <w:p>
      <w:pPr>
        <w:spacing w:after="0" w:line="200" w:lineRule="exact"/>
        <w:rPr>
          <w:sz w:val="20"/>
          <w:szCs w:val="20"/>
          <w:color w:val="auto"/>
        </w:rPr>
      </w:pPr>
    </w:p>
    <w:p>
      <w:pPr>
        <w:ind w:right="20" w:firstLine="509"/>
        <w:spacing w:after="0" w:line="319" w:lineRule="auto"/>
        <w:rPr>
          <w:sz w:val="20"/>
          <w:szCs w:val="20"/>
          <w:color w:val="auto"/>
        </w:rPr>
      </w:pPr>
      <w:r>
        <w:rPr>
          <w:rFonts w:ascii="Arial" w:cs="Arial" w:eastAsia="Arial" w:hAnsi="Arial"/>
          <w:sz w:val="12"/>
          <w:szCs w:val="12"/>
          <w:color w:val="auto"/>
        </w:rPr>
        <w:t>As of December 31, 2021 and 2020, we owned 534,596,831 and 547,717,762, respectively, Class C shares of PAGP. Each Class C share represents a non-economic limited partner interest in PAGP. The number of Class C shares that we own is equal to the number of outstanding common units and Series A preferred units that are entitled to vote, pro rata with the holders of PAGP Class A and Class B shares, for the election of eligible PAGP GP directors.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Reimbursement of Our General Partner and its Affiliates</w:t>
      </w:r>
    </w:p>
    <w:p>
      <w:pPr>
        <w:spacing w:after="0" w:line="200"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2021, 2020 and 2019 were $467 million, $553 million and $580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Omnibus Agreement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Plains Entities entered into an Omnibus Agreement on November 15, 2016, which provides for the following:</w:t>
      </w:r>
    </w:p>
    <w:p>
      <w:pPr>
        <w:spacing w:after="0" w:line="200" w:lineRule="exact"/>
        <w:rPr>
          <w:sz w:val="20"/>
          <w:szCs w:val="20"/>
          <w:color w:val="auto"/>
        </w:rPr>
      </w:pPr>
    </w:p>
    <w:p>
      <w:pPr>
        <w:ind w:left="520" w:right="40" w:hanging="260"/>
        <w:spacing w:after="0" w:line="267" w:lineRule="auto"/>
        <w:tabs>
          <w:tab w:leader="none" w:pos="51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We paid $5 million, $5 million and $4 million during the years ended December 31, 2021, 2020 and 2019, respectively;</w:t>
      </w:r>
    </w:p>
    <w:p>
      <w:pPr>
        <w:spacing w:after="0" w:line="162"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66" w:name="page167"/>
    <w:bookmarkEnd w:id="1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right="220" w:hanging="260"/>
        <w:spacing w:after="0" w:line="281" w:lineRule="auto"/>
        <w:tabs>
          <w:tab w:leader="none" w:pos="51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ability of PAGP to lend proceeds of any future indebtedness incurred by it to AAP, and AAP’s corresponding ability to lend such proceeds to us, in each case on substantially the same terms as incurred by PAGP.</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Other Related Parties</w:t>
      </w:r>
    </w:p>
    <w:p>
      <w:pPr>
        <w:spacing w:after="0" w:line="200"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other related parties include (i) principal owners and their affiliated entities and (ii) entities in which we hold investments and account for under the equity method of accounting (see Note 9 for information regarding such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2021, no entities met the criteria to be recognized as a principal owner.</w:t>
      </w:r>
    </w:p>
    <w:p>
      <w:pPr>
        <w:spacing w:after="0" w:line="15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Through various transactions by an affiliate of The Energy &amp; Minerals Group (“EMG”) in May 2019, EMG’s limited partner interest in AAP was significantly reduced, which caused EMG to lose its right to designate a representative on the board of directors of PAGP GP. Additionally, as a result of various transactions by Occidental Petroleum Corporation or its subsidiaries (“Oxy”) in September 2019, Oxy no longer holds a limited partner interest in AAP and lost its right to designate a representative on the board of directors of PAGP GP. Following these transactions, we no longer recognize EMG or Oxy as a principal owner.</w:t>
      </w:r>
    </w:p>
    <w:p>
      <w:pPr>
        <w:spacing w:after="0" w:line="167" w:lineRule="exact"/>
        <w:rPr>
          <w:sz w:val="20"/>
          <w:szCs w:val="20"/>
          <w:color w:val="auto"/>
        </w:rPr>
      </w:pPr>
    </w:p>
    <w:p>
      <w:pPr>
        <w:ind w:right="40" w:firstLine="509"/>
        <w:spacing w:after="0" w:line="319" w:lineRule="auto"/>
        <w:rPr>
          <w:sz w:val="20"/>
          <w:szCs w:val="20"/>
          <w:color w:val="auto"/>
        </w:rPr>
      </w:pPr>
      <w:r>
        <w:rPr>
          <w:rFonts w:ascii="Arial" w:cs="Arial" w:eastAsia="Arial" w:hAnsi="Arial"/>
          <w:sz w:val="12"/>
          <w:szCs w:val="12"/>
          <w:color w:val="auto"/>
        </w:rPr>
        <w:t>In August 2021, the board of directors of PAGP GP approved and adopted an amendment to PAGP GP’s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PAGP GP board without being subject to public election. The Amendment also eliminated all previously negotiated rights, including Kayne Anderson’s right, to appoint a PAGP GP board observer under certain circumstances. As a result of these changes, we no longer recognize Kayne Anderson and its affiliates as related parties.</w:t>
      </w:r>
    </w:p>
    <w:p>
      <w:pPr>
        <w:spacing w:after="0" w:line="136"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During the three years ended December 31,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impact to our Consolidated Statements of Operations from these transactions is included below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r>
      <w:tr>
        <w:trPr>
          <w:trHeight w:val="172"/>
        </w:trPr>
        <w:tc>
          <w:tcPr>
            <w:tcW w:w="20" w:type="dxa"/>
            <w:vAlign w:val="bottom"/>
          </w:tcPr>
          <w:p>
            <w:pPr>
              <w:spacing w:after="0"/>
              <w:rPr>
                <w:sz w:val="14"/>
                <w:szCs w:val="14"/>
                <w:color w:val="auto"/>
              </w:rPr>
            </w:pPr>
          </w:p>
        </w:tc>
        <w:tc>
          <w:tcPr>
            <w:tcW w:w="6760" w:type="dxa"/>
            <w:vAlign w:val="bottom"/>
            <w:gridSpan w:val="2"/>
            <w:shd w:val="clear" w:color="auto" w:fill="CCEEFF"/>
          </w:tcPr>
          <w:p>
            <w:pPr>
              <w:spacing w:after="0" w:line="172" w:lineRule="exact"/>
              <w:rPr>
                <w:sz w:val="20"/>
                <w:szCs w:val="20"/>
                <w:color w:val="auto"/>
              </w:rPr>
            </w:pPr>
            <w:r>
              <w:rPr>
                <w:rFonts w:ascii="Arial" w:cs="Arial" w:eastAsia="Arial" w:hAnsi="Arial"/>
                <w:sz w:val="14"/>
                <w:szCs w:val="14"/>
                <w:color w:val="auto"/>
              </w:rPr>
              <w:t xml:space="preserve">Revenues from related parties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Purchases and related costs from related parties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r>
      <w:tr>
        <w:trPr>
          <w:trHeight w:val="138"/>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38" w:lineRule="exact"/>
        <w:rPr>
          <w:sz w:val="20"/>
          <w:szCs w:val="20"/>
          <w:color w:val="auto"/>
        </w:rPr>
      </w:pPr>
    </w:p>
    <w:p>
      <w:pPr>
        <w:ind w:left="520" w:right="440" w:hanging="515"/>
        <w:spacing w:after="0" w:line="228" w:lineRule="auto"/>
        <w:tabs>
          <w:tab w:leader="none" w:pos="51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Our receivable and payable amounts with these related parties as reflected on our Consolidated Balance Sheets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8300" w:type="dxa"/>
            <w:vAlign w:val="bottom"/>
            <w:gridSpan w:val="2"/>
            <w:shd w:val="clear" w:color="auto" w:fill="CCEEFF"/>
          </w:tcPr>
          <w:p>
            <w:pPr>
              <w:spacing w:after="0" w:line="172" w:lineRule="exact"/>
              <w:rPr>
                <w:sz w:val="20"/>
                <w:szCs w:val="20"/>
                <w:color w:val="auto"/>
              </w:rPr>
            </w:pPr>
            <w:r>
              <w:rPr>
                <w:rFonts w:ascii="Arial" w:cs="Arial" w:eastAsia="Arial" w:hAnsi="Arial"/>
                <w:sz w:val="14"/>
                <w:szCs w:val="14"/>
                <w:color w:val="auto"/>
              </w:rPr>
              <w:t xml:space="preserve">Trade accounts receivable and other receivables, net from related parties </w:t>
            </w:r>
            <w:r>
              <w:rPr>
                <w:rFonts w:ascii="Arial" w:cs="Arial" w:eastAsia="Arial" w:hAnsi="Arial"/>
                <w:sz w:val="18"/>
                <w:szCs w:val="18"/>
                <w:color w:val="auto"/>
                <w:vertAlign w:val="superscript"/>
              </w:rPr>
              <w:t>(1)</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2"/>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Trade accounts payable to related parties </w:t>
            </w:r>
            <w:r>
              <w:rPr>
                <w:rFonts w:ascii="Arial" w:cs="Arial" w:eastAsia="Arial" w:hAnsi="Arial"/>
                <w:sz w:val="18"/>
                <w:szCs w:val="18"/>
                <w:color w:val="auto"/>
                <w:vertAlign w:val="superscript"/>
              </w:rPr>
              <w:t>(1) (2)</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38"/>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148" w:lineRule="exact"/>
        <w:rPr>
          <w:sz w:val="20"/>
          <w:szCs w:val="20"/>
          <w:color w:val="auto"/>
        </w:rPr>
      </w:pPr>
    </w:p>
    <w:p>
      <w:pPr>
        <w:ind w:left="520" w:right="420" w:hanging="515"/>
        <w:spacing w:after="0" w:line="228" w:lineRule="auto"/>
        <w:tabs>
          <w:tab w:leader="none" w:pos="51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67" w:name="page168"/>
    <w:bookmarkEnd w:id="1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right="20" w:hanging="515"/>
        <w:spacing w:after="0" w:line="228" w:lineRule="auto"/>
        <w:tabs>
          <w:tab w:leader="none" w:pos="510" w:val="left"/>
        </w:tabs>
        <w:numPr>
          <w:ilvl w:val="0"/>
          <w:numId w:val="108"/>
        </w:numPr>
        <w:rPr>
          <w:rFonts w:ascii="Arial" w:cs="Arial" w:eastAsia="Arial" w:hAnsi="Arial"/>
          <w:sz w:val="18"/>
          <w:szCs w:val="18"/>
          <w:color w:val="auto"/>
          <w:vertAlign w:val="superscript"/>
        </w:rPr>
      </w:pPr>
      <w:r>
        <w:rPr>
          <w:rFonts w:ascii="Arial" w:cs="Arial" w:eastAsia="Arial" w:hAnsi="Arial"/>
          <w:sz w:val="14"/>
          <w:szCs w:val="14"/>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18—Equity-Indexed Compensation Plans</w:t>
      </w:r>
    </w:p>
    <w:p>
      <w:pPr>
        <w:spacing w:after="0" w:line="204"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52"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i w:val="1"/>
          <w:iCs w:val="1"/>
          <w:color w:val="auto"/>
        </w:rPr>
        <w:t xml:space="preserve">Plains All American 2021 Long-Term Incentive Plan. </w:t>
      </w:r>
      <w:r>
        <w:rPr>
          <w:rFonts w:ascii="Arial" w:cs="Arial" w:eastAsia="Arial" w:hAnsi="Arial"/>
          <w:sz w:val="13"/>
          <w:szCs w:val="13"/>
          <w:color w:val="auto"/>
        </w:rPr>
        <w:t>In May 2021, PAA unitholders approved the Plains All American 2021 Long-Term Incentive Plan, which amends, restates, and renames</w:t>
      </w:r>
      <w:r>
        <w:rPr>
          <w:rFonts w:ascii="Arial" w:cs="Arial" w:eastAsia="Arial" w:hAnsi="Arial"/>
          <w:sz w:val="13"/>
          <w:szCs w:val="13"/>
          <w:i w:val="1"/>
          <w:iCs w:val="1"/>
          <w:color w:val="auto"/>
        </w:rPr>
        <w:t xml:space="preserve"> </w:t>
      </w:r>
      <w:r>
        <w:rPr>
          <w:rFonts w:ascii="Arial" w:cs="Arial" w:eastAsia="Arial" w:hAnsi="Arial"/>
          <w:sz w:val="13"/>
          <w:szCs w:val="13"/>
          <w:color w:val="auto"/>
        </w:rPr>
        <w:t>the Plains All American 2013 Long-Term Incentive Plan and authorizes an incremental 20 million PAA common units deliverable upon vesting of awards granted under the plan.</w:t>
      </w:r>
    </w:p>
    <w:p>
      <w:pPr>
        <w:spacing w:after="0" w:line="131"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152"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the awards authorized under our LTIPs as of December 31, 2021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LTIP</w:t>
            </w:r>
          </w:p>
        </w:tc>
        <w:tc>
          <w:tcPr>
            <w:tcW w:w="2180" w:type="dxa"/>
            <w:vAlign w:val="bottom"/>
          </w:tcPr>
          <w:p>
            <w:pPr>
              <w:jc w:val="right"/>
              <w:ind w:right="914"/>
              <w:spacing w:after="0"/>
              <w:rPr>
                <w:sz w:val="20"/>
                <w:szCs w:val="20"/>
                <w:color w:val="auto"/>
              </w:rPr>
            </w:pPr>
            <w:r>
              <w:rPr>
                <w:rFonts w:ascii="Arial" w:cs="Arial" w:eastAsia="Arial" w:hAnsi="Arial"/>
                <w:sz w:val="11"/>
                <w:szCs w:val="11"/>
                <w:b w:val="1"/>
                <w:bCs w:val="1"/>
                <w:color w:val="auto"/>
              </w:rPr>
              <w:t>LTIP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60" w:type="dxa"/>
            <w:vAlign w:val="bottom"/>
            <w:gridSpan w:val="3"/>
            <w:vMerge w:val="continue"/>
          </w:tcPr>
          <w:p>
            <w:pPr>
              <w:spacing w:after="0"/>
              <w:rPr>
                <w:sz w:val="12"/>
                <w:szCs w:val="12"/>
                <w:color w:val="auto"/>
              </w:rPr>
            </w:pPr>
          </w:p>
        </w:tc>
        <w:tc>
          <w:tcPr>
            <w:tcW w:w="2180" w:type="dxa"/>
            <w:vAlign w:val="bottom"/>
          </w:tcPr>
          <w:p>
            <w:pPr>
              <w:jc w:val="right"/>
              <w:ind w:right="554"/>
              <w:spacing w:after="0"/>
              <w:rPr>
                <w:sz w:val="20"/>
                <w:szCs w:val="20"/>
                <w:color w:val="auto"/>
              </w:rPr>
            </w:pPr>
            <w:r>
              <w:rPr>
                <w:rFonts w:ascii="Arial" w:cs="Arial" w:eastAsia="Arial" w:hAnsi="Arial"/>
                <w:sz w:val="11"/>
                <w:szCs w:val="11"/>
                <w:b w:val="1"/>
                <w:bCs w:val="1"/>
                <w:color w:val="auto"/>
              </w:rPr>
              <w:t>Awards Authorized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Plains All American 2021 Long-Term Incentive Plan</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60" w:type="dxa"/>
            <w:vAlign w:val="bottom"/>
            <w:gridSpan w:val="3"/>
          </w:tcPr>
          <w:p>
            <w:pPr>
              <w:ind w:left="20"/>
              <w:spacing w:after="0"/>
              <w:rPr>
                <w:sz w:val="20"/>
                <w:szCs w:val="20"/>
                <w:color w:val="auto"/>
              </w:rPr>
            </w:pPr>
            <w:r>
              <w:rPr>
                <w:rFonts w:ascii="Arial" w:cs="Arial" w:eastAsia="Arial" w:hAnsi="Arial"/>
                <w:sz w:val="14"/>
                <w:szCs w:val="14"/>
                <w:color w:val="auto"/>
              </w:rPr>
              <w:t>Plains All American PNG Successor Long-Term Incentive Plan</w:t>
            </w:r>
          </w:p>
        </w:tc>
        <w:tc>
          <w:tcPr>
            <w:tcW w:w="21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Plains All American GP LLC 2006 Long-Term Incentive Tracking Unit Plan</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gridSpan w:val="3"/>
          </w:tcPr>
          <w:p>
            <w:pPr>
              <w:ind w:left="120"/>
              <w:spacing w:after="0" w:line="171"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vertAlign w:val="superscript"/>
              </w:rPr>
              <w:t>(1)</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Of the 43.5 million total awards authorized, 22.7 million awards are currently available. The remaining balance has already vested or is currently outstanding.</w:t>
      </w:r>
    </w:p>
    <w:p>
      <w:pPr>
        <w:spacing w:after="0" w:line="170" w:lineRule="exact"/>
        <w:rPr>
          <w:sz w:val="20"/>
          <w:szCs w:val="20"/>
          <w:color w:val="auto"/>
        </w:rPr>
      </w:pPr>
    </w:p>
    <w:p>
      <w:pPr>
        <w:jc w:val="both"/>
        <w:ind w:right="220" w:firstLine="509"/>
        <w:spacing w:after="0" w:line="237" w:lineRule="auto"/>
        <w:rPr>
          <w:sz w:val="20"/>
          <w:szCs w:val="20"/>
          <w:color w:val="auto"/>
        </w:rPr>
      </w:pPr>
      <w:r>
        <w:rPr>
          <w:rFonts w:ascii="Arial" w:cs="Arial" w:eastAsia="Arial" w:hAnsi="Arial"/>
          <w:sz w:val="14"/>
          <w:szCs w:val="14"/>
          <w:color w:val="auto"/>
        </w:rPr>
        <w:t>As of December 31, 2021, 10.7 million LTIP awards were outstanding. Of the awards outstanding, 7.6 million include associated DERs. At December 31, 2021, certain of the outstanding LTIP awards were considered probable of vesting and such awards are expected to vest at various dates between January 2022 and August 2026. As of December 31, 2021, the outstanding awards that are considered probable of vesting have a remaining unrecognized fair value of approximately $44 million.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8" w:name="page169"/>
    <w:bookmarkEnd w:id="16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200"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2021 are summarized below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7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7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Thereafter</w:t>
            </w:r>
          </w:p>
        </w:tc>
        <w:tc>
          <w:tcPr>
            <w:tcW w:w="200" w:type="dxa"/>
            <w:vAlign w:val="bottom"/>
          </w:tcPr>
          <w:p>
            <w:pPr>
              <w:spacing w:after="0"/>
              <w:rPr>
                <w:sz w:val="13"/>
                <w:szCs w:val="13"/>
                <w:color w:val="auto"/>
              </w:rPr>
            </w:pPr>
          </w:p>
        </w:tc>
        <w:tc>
          <w:tcPr>
            <w:tcW w:w="700" w:type="dxa"/>
            <w:vAlign w:val="bottom"/>
          </w:tcPr>
          <w:p>
            <w:pPr>
              <w:jc w:val="right"/>
              <w:ind w:right="273"/>
              <w:spacing w:after="0"/>
              <w:rPr>
                <w:sz w:val="20"/>
                <w:szCs w:val="20"/>
                <w:color w:val="auto"/>
              </w:rPr>
            </w:pPr>
            <w:r>
              <w:rPr>
                <w:rFonts w:ascii="Arial" w:cs="Arial" w:eastAsia="Arial" w:hAnsi="Arial"/>
                <w:sz w:val="11"/>
                <w:szCs w:val="11"/>
                <w:b w:val="1"/>
                <w:bCs w:val="1"/>
                <w:color w:val="auto"/>
              </w:rPr>
              <w:t>Total</w:t>
            </w:r>
          </w:p>
        </w:tc>
      </w:tr>
      <w:tr>
        <w:trPr>
          <w:trHeight w:val="175"/>
        </w:trPr>
        <w:tc>
          <w:tcPr>
            <w:tcW w:w="20" w:type="dxa"/>
            <w:vAlign w:val="bottom"/>
          </w:tcPr>
          <w:p>
            <w:pPr>
              <w:spacing w:after="0"/>
              <w:rPr>
                <w:sz w:val="15"/>
                <w:szCs w:val="15"/>
                <w:color w:val="auto"/>
              </w:rPr>
            </w:pPr>
          </w:p>
        </w:tc>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 xml:space="preserve">Leases </w:t>
            </w:r>
            <w:r>
              <w:rPr>
                <w:rFonts w:ascii="Arial" w:cs="Arial" w:eastAsia="Arial" w:hAnsi="Arial"/>
                <w:sz w:val="18"/>
                <w:szCs w:val="18"/>
                <w:color w:val="auto"/>
                <w:vertAlign w:val="superscript"/>
              </w:rPr>
              <w:t>(1)</w:t>
            </w:r>
          </w:p>
        </w:tc>
        <w:tc>
          <w:tcPr>
            <w:tcW w:w="60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r>
      <w:tr>
        <w:trPr>
          <w:trHeight w:val="180"/>
        </w:trPr>
        <w:tc>
          <w:tcPr>
            <w:tcW w:w="20" w:type="dxa"/>
            <w:vAlign w:val="bottom"/>
          </w:tcPr>
          <w:p>
            <w:pPr>
              <w:spacing w:after="0"/>
              <w:rPr>
                <w:sz w:val="15"/>
                <w:szCs w:val="15"/>
                <w:color w:val="auto"/>
              </w:rPr>
            </w:pPr>
          </w:p>
        </w:tc>
        <w:tc>
          <w:tcPr>
            <w:tcW w:w="416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4"/>
                <w:szCs w:val="14"/>
                <w:color w:val="auto"/>
              </w:rPr>
              <w:t xml:space="preserve">Other commitments </w:t>
            </w:r>
            <w:r>
              <w:rPr>
                <w:rFonts w:ascii="Arial" w:cs="Arial" w:eastAsia="Arial" w:hAnsi="Arial"/>
                <w:sz w:val="18"/>
                <w:szCs w:val="18"/>
                <w:color w:val="auto"/>
                <w:vertAlign w:val="superscript"/>
              </w:rPr>
              <w:t>(2)</w:t>
            </w: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307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r>
      <w:tr>
        <w:trPr>
          <w:trHeight w:val="196"/>
        </w:trPr>
        <w:tc>
          <w:tcPr>
            <w:tcW w:w="20" w:type="dxa"/>
            <w:vAlign w:val="bottom"/>
          </w:tcPr>
          <w:p>
            <w:pPr>
              <w:spacing w:after="0"/>
              <w:rPr>
                <w:sz w:val="16"/>
                <w:szCs w:val="16"/>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397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375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138" w:lineRule="exact"/>
        <w:rPr>
          <w:sz w:val="20"/>
          <w:szCs w:val="20"/>
          <w:color w:val="auto"/>
        </w:rPr>
      </w:pPr>
    </w:p>
    <w:p>
      <w:pPr>
        <w:ind w:left="520" w:right="440" w:hanging="515"/>
        <w:spacing w:after="0" w:line="228" w:lineRule="auto"/>
        <w:tabs>
          <w:tab w:leader="none" w:pos="51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74" w:lineRule="exact"/>
        <w:rPr>
          <w:rFonts w:ascii="Arial" w:cs="Arial" w:eastAsia="Arial" w:hAnsi="Arial"/>
          <w:sz w:val="18"/>
          <w:szCs w:val="18"/>
          <w:color w:val="auto"/>
          <w:vertAlign w:val="superscript"/>
        </w:rPr>
      </w:pPr>
    </w:p>
    <w:p>
      <w:pPr>
        <w:ind w:left="520" w:right="60" w:hanging="515"/>
        <w:spacing w:after="0" w:line="242" w:lineRule="auto"/>
        <w:tabs>
          <w:tab w:leader="none" w:pos="51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Primarily includes storage, transportation and pipeline throughput agreements, as well as certain rights-of-way easements. Expense associated with our storage, transportation and pipeline throughput agreements was approximately $270 million, $265 million and $236 million for 2021, 2020 and 2019, respectively. A majority of the storage, transportation and pipeline throughput commitments are associated with agreements to store crude oil at facilities and transport crude oil on pipelines owned by equity method investees, in which we own a 50% interest, at posted tariff rates or prices that we believe approximate market. A portion of our commitment to transport is supported by crude oil buy/sell or other agreements with third parties with commensurate quantities.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 — General</w:t>
      </w:r>
    </w:p>
    <w:p>
      <w:pPr>
        <w:spacing w:after="0" w:line="200"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52"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 — General</w:t>
      </w:r>
    </w:p>
    <w:p>
      <w:pPr>
        <w:spacing w:after="0" w:line="20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8" w:lineRule="exact"/>
        <w:rPr>
          <w:sz w:val="20"/>
          <w:szCs w:val="20"/>
          <w:color w:val="auto"/>
        </w:rPr>
      </w:pPr>
    </w:p>
    <w:p>
      <w:pPr>
        <w:ind w:right="680" w:firstLine="509"/>
        <w:spacing w:after="0" w:line="281" w:lineRule="auto"/>
        <w:rPr>
          <w:sz w:val="20"/>
          <w:szCs w:val="20"/>
          <w:color w:val="auto"/>
        </w:rPr>
      </w:pPr>
      <w:r>
        <w:rPr>
          <w:rFonts w:ascii="Arial" w:cs="Arial" w:eastAsia="Arial" w:hAnsi="Arial"/>
          <w:sz w:val="14"/>
          <w:szCs w:val="14"/>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9" w:name="page170"/>
    <w:bookmarkEnd w:id="16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 General</w:t>
      </w:r>
    </w:p>
    <w:p>
      <w:pPr>
        <w:spacing w:after="0" w:line="200"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w:t>
      </w:r>
    </w:p>
    <w:p>
      <w:pPr>
        <w:spacing w:after="0" w:line="155"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36" w:lineRule="exact"/>
        <w:rPr>
          <w:sz w:val="20"/>
          <w:szCs w:val="20"/>
          <w:color w:val="auto"/>
        </w:rPr>
      </w:pPr>
    </w:p>
    <w:p>
      <w:pPr>
        <w:ind w:right="180" w:firstLine="509"/>
        <w:spacing w:after="0" w:line="319" w:lineRule="auto"/>
        <w:rPr>
          <w:sz w:val="20"/>
          <w:szCs w:val="20"/>
          <w:color w:val="auto"/>
        </w:rPr>
      </w:pPr>
      <w:r>
        <w:rPr>
          <w:rFonts w:ascii="Arial" w:cs="Arial" w:eastAsia="Arial" w:hAnsi="Arial"/>
          <w:sz w:val="12"/>
          <w:szCs w:val="12"/>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Environmental expenditures that pertain to current operations or to future revenues are expensed or capitalized consistent with our capitalization policy for property and equipment.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Expenditures that result from the remediation of an existing condition caused by past operations and that do not contribute to current or future profitability are expensed.</w:t>
      </w:r>
    </w:p>
    <w:p>
      <w:pPr>
        <w:spacing w:after="0" w:line="179" w:lineRule="exact"/>
        <w:rPr>
          <w:sz w:val="20"/>
          <w:szCs w:val="20"/>
          <w:color w:val="auto"/>
        </w:rPr>
      </w:pPr>
    </w:p>
    <w:p>
      <w:pPr>
        <w:ind w:right="20" w:firstLine="509"/>
        <w:spacing w:after="0" w:line="228" w:lineRule="auto"/>
        <w:rPr>
          <w:sz w:val="20"/>
          <w:szCs w:val="20"/>
          <w:color w:val="auto"/>
        </w:rPr>
      </w:pPr>
      <w:r>
        <w:rPr>
          <w:rFonts w:ascii="Arial" w:cs="Arial" w:eastAsia="Arial" w:hAnsi="Arial"/>
          <w:sz w:val="14"/>
          <w:szCs w:val="14"/>
          <w:color w:val="auto"/>
        </w:rPr>
        <w:t>At December 31, 2021, our estimated undiscounted reserve for environmental liabilities (excluding liabilities related to the Line 901 incident, as discussed further below) totaled $57 million, of which $11 million was classified as short-term and $46 million was classified as long-term. At December 31, 2020, our estimated undiscounted reserve for environmental liabilities (excluding liabilities related to the Line 901 incident) totaled $55 million, of which $8 million was classified as short-term and $47 million was classified as long-term. Such short-term liabilities are reflected in “Other current liabilities” and long-term liabilities are reflected in “Other long-term liabilities and deferred credits” on our Consolidated Balance Sheets. At December 31, 2021 and 2020, we had recorded receivables (excluding receivables related to the Line 901 incident) totaling $11 million and $6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Consolidated Balance Sheets.</w:t>
      </w:r>
    </w:p>
    <w:p>
      <w:pPr>
        <w:spacing w:after="0" w:line="171"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0" w:name="page171"/>
    <w:bookmarkEnd w:id="17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Specific Legal, Environmental or Regulatory Matters</w:t>
      </w:r>
    </w:p>
    <w:p>
      <w:pPr>
        <w:spacing w:after="0" w:line="200" w:lineRule="exact"/>
        <w:rPr>
          <w:sz w:val="20"/>
          <w:szCs w:val="20"/>
          <w:color w:val="auto"/>
        </w:rPr>
      </w:pPr>
    </w:p>
    <w:p>
      <w:pPr>
        <w:ind w:right="140" w:firstLine="509"/>
        <w:spacing w:after="0" w:line="282" w:lineRule="auto"/>
        <w:rPr>
          <w:sz w:val="20"/>
          <w:szCs w:val="20"/>
          <w:color w:val="auto"/>
        </w:rPr>
      </w:pPr>
      <w:r>
        <w:rPr>
          <w:rFonts w:ascii="Arial" w:cs="Arial" w:eastAsia="Arial" w:hAnsi="Arial"/>
          <w:sz w:val="13"/>
          <w:szCs w:val="13"/>
          <w:i w:val="1"/>
          <w:iCs w:val="1"/>
          <w:color w:val="auto"/>
        </w:rPr>
        <w:t>Line 901 Incident</w:t>
      </w:r>
      <w:r>
        <w:rPr>
          <w:rFonts w:ascii="Arial" w:cs="Arial" w:eastAsia="Arial" w:hAnsi="Arial"/>
          <w:sz w:val="13"/>
          <w:szCs w:val="13"/>
          <w:color w:val="auto"/>
        </w:rPr>
        <w:t>. In May 2015, we experienced a crude oil release from our Las Flores to Gaviota Pipeline (Line 901) in Santa Barbara County, California. A portion of the released crude</w:t>
      </w:r>
      <w:r>
        <w:rPr>
          <w:rFonts w:ascii="Arial" w:cs="Arial" w:eastAsia="Arial" w:hAnsi="Arial"/>
          <w:sz w:val="13"/>
          <w:szCs w:val="13"/>
          <w:i w:val="1"/>
          <w:iCs w:val="1"/>
          <w:color w:val="auto"/>
        </w:rPr>
        <w:t xml:space="preserve"> </w:t>
      </w:r>
      <w:r>
        <w:rPr>
          <w:rFonts w:ascii="Arial" w:cs="Arial" w:eastAsia="Arial" w:hAnsi="Arial"/>
          <w:sz w:val="13"/>
          <w:szCs w:val="13"/>
          <w:color w:val="auto"/>
        </w:rPr>
        <w:t>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56" w:lineRule="exact"/>
        <w:rPr>
          <w:sz w:val="20"/>
          <w:szCs w:val="20"/>
          <w:color w:val="auto"/>
        </w:rPr>
      </w:pPr>
    </w:p>
    <w:p>
      <w:pPr>
        <w:ind w:right="60" w:firstLine="509"/>
        <w:spacing w:after="0" w:line="321" w:lineRule="auto"/>
        <w:rPr>
          <w:sz w:val="20"/>
          <w:szCs w:val="20"/>
          <w:color w:val="auto"/>
        </w:rPr>
      </w:pPr>
      <w:r>
        <w:rPr>
          <w:rFonts w:ascii="Arial" w:cs="Arial" w:eastAsia="Arial" w:hAnsi="Arial"/>
          <w:sz w:val="13"/>
          <w:szCs w:val="13"/>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109"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60" w:lineRule="exact"/>
        <w:rPr>
          <w:sz w:val="20"/>
          <w:szCs w:val="20"/>
          <w:color w:val="auto"/>
        </w:rPr>
      </w:pPr>
    </w:p>
    <w:p>
      <w:pPr>
        <w:ind w:right="40" w:firstLine="509"/>
        <w:spacing w:after="0" w:line="277" w:lineRule="auto"/>
        <w:rPr>
          <w:sz w:val="20"/>
          <w:szCs w:val="20"/>
          <w:color w:val="auto"/>
        </w:rPr>
      </w:pPr>
      <w:r>
        <w:rPr>
          <w:rFonts w:ascii="Arial" w:cs="Arial" w:eastAsia="Arial" w:hAnsi="Arial"/>
          <w:sz w:val="13"/>
          <w:szCs w:val="13"/>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has appealed the Court’s rulings.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1" w:name="page172"/>
    <w:bookmarkEnd w:id="17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This case is set for trial to begin in June of 2022.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70" w:lineRule="exact"/>
        <w:rPr>
          <w:sz w:val="20"/>
          <w:szCs w:val="20"/>
          <w:color w:val="auto"/>
        </w:rPr>
      </w:pPr>
    </w:p>
    <w:p>
      <w:pPr>
        <w:ind w:right="180" w:firstLine="509"/>
        <w:spacing w:after="0" w:line="297" w:lineRule="auto"/>
        <w:rPr>
          <w:sz w:val="20"/>
          <w:szCs w:val="20"/>
          <w:color w:val="auto"/>
        </w:rPr>
      </w:pPr>
      <w:r>
        <w:rPr>
          <w:rFonts w:ascii="Arial" w:cs="Arial" w:eastAsia="Arial" w:hAnsi="Arial"/>
          <w:sz w:val="13"/>
          <w:szCs w:val="13"/>
          <w:color w:val="auto"/>
        </w:rPr>
        <w:t>In addition, four unitholder derivative lawsuits were filed by certain purported investors in the Partnership against PAGP and certain of the Partnership’s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continue to vigorously defend against the claim. No trial date has been set in this action.</w:t>
      </w:r>
    </w:p>
    <w:p>
      <w:pPr>
        <w:spacing w:after="0" w:line="145"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56" w:lineRule="exact"/>
        <w:rPr>
          <w:sz w:val="20"/>
          <w:szCs w:val="20"/>
          <w:color w:val="auto"/>
        </w:rPr>
      </w:pPr>
    </w:p>
    <w:p>
      <w:pPr>
        <w:ind w:right="20" w:firstLine="509"/>
        <w:spacing w:after="0" w:line="300" w:lineRule="auto"/>
        <w:rPr>
          <w:sz w:val="20"/>
          <w:szCs w:val="20"/>
          <w:color w:val="auto"/>
        </w:rPr>
      </w:pPr>
      <w:r>
        <w:rPr>
          <w:rFonts w:ascii="Arial" w:cs="Arial" w:eastAsia="Arial" w:hAnsi="Arial"/>
          <w:sz w:val="12"/>
          <w:szCs w:val="12"/>
          <w:color w:val="auto"/>
        </w:rPr>
        <w:t>Taking the foregoing into account, as of December 31, 2021, we estimate that the aggregate total costs we have incurred or will incur with respect to the Line 901 incident will be approximately $495 million, which includes actual and projected emergency response and clean-up costs, natural resource damage assessments, fines and penalties payable pursuant to the Consent Decree and certain third-party claims settlements, as well as estimates for certain legal fees.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2" w:name="page173"/>
    <w:bookmarkEnd w:id="17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As of December 31, 2021, we had a remaining undiscounted gross liability of $103 million related to this event, which is reflected in “Trade accounts payable” and “Other current liabilities” on our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2021, we had collected, subject to customary reservations, $250 million out of the approximate $355 million of release costs that we believe are probable of recovery from insurance carriers, net of deductibles. Therefore, as of December 31, 2021, we have recognized a receivable of approximately $105 million for the portion of the release costs that we believe is probable of recovery from insurance, net of deductibles and amounts already collected. Such amount is recognized as a current asset in “Trade accounts receivable and other receivables, net” on our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Insurance</w:t>
      </w:r>
    </w:p>
    <w:p>
      <w:pPr>
        <w:spacing w:after="0" w:line="151"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71"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3" w:name="page174"/>
    <w:bookmarkEnd w:id="17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20—Segment Information</w:t>
      </w:r>
    </w:p>
    <w:p>
      <w:pPr>
        <w:spacing w:after="0" w:line="20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171"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Our operating segments,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In our historical segment reporting, our marketing activities were presented separately from our other operating activities. Our crude oil and NGL marketing activities are now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140" w:lineRule="exact"/>
        <w:rPr>
          <w:sz w:val="20"/>
          <w:szCs w:val="20"/>
          <w:color w:val="auto"/>
        </w:rPr>
      </w:pPr>
    </w:p>
    <w:p>
      <w:pPr>
        <w:ind w:right="80" w:firstLine="509"/>
        <w:spacing w:after="0" w:line="278" w:lineRule="auto"/>
        <w:rPr>
          <w:sz w:val="20"/>
          <w:szCs w:val="20"/>
          <w:color w:val="auto"/>
        </w:rPr>
      </w:pPr>
      <w:r>
        <w:rPr>
          <w:rFonts w:ascii="Arial" w:cs="Arial" w:eastAsia="Arial" w:hAnsi="Arial"/>
          <w:sz w:val="13"/>
          <w:szCs w:val="13"/>
          <w:color w:val="auto"/>
        </w:rPr>
        <w:t>Our CODM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160"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163" w:lineRule="exact"/>
        <w:rPr>
          <w:sz w:val="20"/>
          <w:szCs w:val="20"/>
          <w:color w:val="auto"/>
        </w:rPr>
      </w:pPr>
    </w:p>
    <w:p>
      <w:pPr>
        <w:ind w:right="80" w:firstLine="509"/>
        <w:spacing w:after="0" w:line="304" w:lineRule="auto"/>
        <w:rPr>
          <w:sz w:val="20"/>
          <w:szCs w:val="20"/>
          <w:color w:val="auto"/>
        </w:rPr>
      </w:pPr>
      <w:r>
        <w:rPr>
          <w:rFonts w:ascii="Arial" w:cs="Arial" w:eastAsia="Arial" w:hAnsi="Arial"/>
          <w:sz w:val="12"/>
          <w:szCs w:val="12"/>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4" w:name="page175"/>
    <w:bookmarkEnd w:id="17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reflect certain financial data for each segment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10"/>
                <w:szCs w:val="10"/>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NGL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0"/>
              </w:rPr>
              <w:t>Intersegment Revenues</w:t>
            </w:r>
          </w:p>
        </w:tc>
        <w:tc>
          <w:tcPr>
            <w:tcW w:w="300" w:type="dxa"/>
            <w:vAlign w:val="bottom"/>
          </w:tcPr>
          <w:p>
            <w:pPr>
              <w:spacing w:after="0"/>
              <w:rPr>
                <w:sz w:val="10"/>
                <w:szCs w:val="10"/>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7"/>
              </w:rPr>
              <w:t>Elimination</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2021</w:t>
            </w:r>
          </w:p>
        </w:tc>
        <w:tc>
          <w:tcPr>
            <w:tcW w:w="14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line="181"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Product sales</w:t>
            </w:r>
          </w:p>
        </w:tc>
        <w:tc>
          <w:tcPr>
            <w:tcW w:w="17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Services</w:t>
            </w:r>
          </w:p>
        </w:tc>
        <w:tc>
          <w:tcPr>
            <w:tcW w:w="1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14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tcPr>
          <w:p>
            <w:pPr>
              <w:spacing w:after="0" w:line="143" w:lineRule="exact"/>
              <w:rPr>
                <w:sz w:val="20"/>
                <w:szCs w:val="20"/>
                <w:color w:val="auto"/>
              </w:rPr>
            </w:pPr>
            <w:r>
              <w:rPr>
                <w:rFonts w:ascii="Arial" w:cs="Arial" w:eastAsia="Arial" w:hAnsi="Arial"/>
                <w:sz w:val="14"/>
                <w:szCs w:val="14"/>
                <w:color w:val="auto"/>
              </w:rPr>
              <w:t>Equity earnings in unconsolidated entities</w:t>
            </w:r>
          </w:p>
        </w:tc>
        <w:tc>
          <w:tcPr>
            <w:tcW w:w="14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274</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3"/>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Segment Adjusted EBITDA</w:t>
            </w:r>
          </w:p>
        </w:tc>
        <w:tc>
          <w:tcPr>
            <w:tcW w:w="1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tcPr>
          <w:p>
            <w:pPr>
              <w:spacing w:after="0" w:line="143" w:lineRule="exact"/>
              <w:rPr>
                <w:sz w:val="20"/>
                <w:szCs w:val="20"/>
                <w:color w:val="auto"/>
              </w:rPr>
            </w:pPr>
            <w:r>
              <w:rPr>
                <w:rFonts w:ascii="Arial" w:cs="Arial" w:eastAsia="Arial" w:hAnsi="Arial"/>
                <w:sz w:val="13"/>
                <w:szCs w:val="13"/>
                <w:color w:val="auto"/>
              </w:rPr>
              <w:t xml:space="preserve">Investment and acquisition capital expenditures </w:t>
            </w:r>
            <w:r>
              <w:rPr>
                <w:rFonts w:ascii="Arial" w:cs="Arial" w:eastAsia="Arial" w:hAnsi="Arial"/>
                <w:sz w:val="16"/>
                <w:szCs w:val="16"/>
                <w:color w:val="auto"/>
                <w:vertAlign w:val="superscript"/>
              </w:rPr>
              <w:t>(2) (3)</w:t>
            </w:r>
          </w:p>
        </w:tc>
        <w:tc>
          <w:tcPr>
            <w:tcW w:w="14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57</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3"/>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1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2021</w:t>
            </w: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Investments in unconsolidated entities</w:t>
            </w:r>
          </w:p>
        </w:tc>
        <w:tc>
          <w:tcPr>
            <w:tcW w:w="17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63"/>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4"/>
            <w:vMerge w:val="restart"/>
          </w:tcPr>
          <w:p>
            <w:pPr>
              <w:jc w:val="center"/>
              <w:ind w:right="220"/>
              <w:spacing w:after="0"/>
              <w:rPr>
                <w:sz w:val="20"/>
                <w:szCs w:val="20"/>
                <w:color w:val="auto"/>
              </w:rPr>
            </w:pPr>
            <w:r>
              <w:rPr>
                <w:rFonts w:ascii="Arial" w:cs="Arial" w:eastAsia="Arial" w:hAnsi="Arial"/>
                <w:sz w:val="11"/>
                <w:szCs w:val="11"/>
                <w:b w:val="1"/>
                <w:bCs w:val="1"/>
                <w:color w:val="auto"/>
                <w:w w:val="90"/>
              </w:rPr>
              <w:t>Intersegment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24"/>
                <w:szCs w:val="2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NGL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4"/>
              </w:rPr>
              <w:t>Elimination</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2020</w:t>
            </w:r>
          </w:p>
        </w:tc>
        <w:tc>
          <w:tcPr>
            <w:tcW w:w="14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line="181"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Product sales</w:t>
            </w:r>
          </w:p>
        </w:tc>
        <w:tc>
          <w:tcPr>
            <w:tcW w:w="17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Services</w:t>
            </w:r>
          </w:p>
        </w:tc>
        <w:tc>
          <w:tcPr>
            <w:tcW w:w="1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14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tcPr>
          <w:p>
            <w:pPr>
              <w:spacing w:after="0" w:line="143" w:lineRule="exact"/>
              <w:rPr>
                <w:sz w:val="20"/>
                <w:szCs w:val="20"/>
                <w:color w:val="auto"/>
              </w:rPr>
            </w:pPr>
            <w:r>
              <w:rPr>
                <w:rFonts w:ascii="Arial" w:cs="Arial" w:eastAsia="Arial" w:hAnsi="Arial"/>
                <w:sz w:val="14"/>
                <w:szCs w:val="14"/>
                <w:color w:val="auto"/>
              </w:rPr>
              <w:t>Equity earnings in unconsolidated entities</w:t>
            </w:r>
          </w:p>
        </w:tc>
        <w:tc>
          <w:tcPr>
            <w:tcW w:w="14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355</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Segment Adjusted EBITDA</w:t>
            </w:r>
          </w:p>
        </w:tc>
        <w:tc>
          <w:tcPr>
            <w:tcW w:w="1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tcPr>
          <w:p>
            <w:pPr>
              <w:spacing w:after="0" w:line="143" w:lineRule="exact"/>
              <w:rPr>
                <w:sz w:val="20"/>
                <w:szCs w:val="20"/>
                <w:color w:val="auto"/>
              </w:rPr>
            </w:pPr>
            <w:r>
              <w:rPr>
                <w:rFonts w:ascii="Arial" w:cs="Arial" w:eastAsia="Arial" w:hAnsi="Arial"/>
                <w:sz w:val="13"/>
                <w:szCs w:val="13"/>
                <w:color w:val="auto"/>
              </w:rPr>
              <w:t xml:space="preserve">Investment and acquisition capital expenditures </w:t>
            </w:r>
            <w:r>
              <w:rPr>
                <w:rFonts w:ascii="Arial" w:cs="Arial" w:eastAsia="Arial" w:hAnsi="Arial"/>
                <w:sz w:val="16"/>
                <w:szCs w:val="16"/>
                <w:color w:val="auto"/>
                <w:vertAlign w:val="superscript"/>
              </w:rPr>
              <w:t>(2) (3)</w:t>
            </w:r>
          </w:p>
        </w:tc>
        <w:tc>
          <w:tcPr>
            <w:tcW w:w="14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1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2020</w:t>
            </w: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Investments in unconsolidated entities</w:t>
            </w:r>
          </w:p>
        </w:tc>
        <w:tc>
          <w:tcPr>
            <w:tcW w:w="148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24"/>
                <w:szCs w:val="2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NGL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0"/>
              </w:rPr>
              <w:t>Intersegment Revenues</w:t>
            </w:r>
          </w:p>
        </w:tc>
        <w:tc>
          <w:tcPr>
            <w:tcW w:w="300" w:type="dxa"/>
            <w:vAlign w:val="bottom"/>
          </w:tcPr>
          <w:p>
            <w:pPr>
              <w:spacing w:after="0"/>
              <w:rPr>
                <w:sz w:val="24"/>
                <w:szCs w:val="24"/>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4"/>
              </w:rPr>
              <w:t>Elimination</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2019</w:t>
            </w:r>
          </w:p>
        </w:tc>
        <w:tc>
          <w:tcPr>
            <w:tcW w:w="14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line="181"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Product sales</w:t>
            </w:r>
          </w:p>
        </w:tc>
        <w:tc>
          <w:tcPr>
            <w:tcW w:w="17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Services</w:t>
            </w:r>
          </w:p>
        </w:tc>
        <w:tc>
          <w:tcPr>
            <w:tcW w:w="1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14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tcBorders>
              <w:top w:val="single" w:sz="8" w:color="CCEEFF"/>
            </w:tcBorders>
          </w:tcPr>
          <w:p>
            <w:pPr>
              <w:spacing w:after="0" w:line="143" w:lineRule="exact"/>
              <w:rPr>
                <w:sz w:val="20"/>
                <w:szCs w:val="20"/>
                <w:color w:val="auto"/>
              </w:rPr>
            </w:pPr>
            <w:r>
              <w:rPr>
                <w:rFonts w:ascii="Arial" w:cs="Arial" w:eastAsia="Arial" w:hAnsi="Arial"/>
                <w:sz w:val="14"/>
                <w:szCs w:val="14"/>
                <w:color w:val="auto"/>
              </w:rPr>
              <w:t>Equity earnings in unconsolidated entities</w:t>
            </w:r>
          </w:p>
        </w:tc>
        <w:tc>
          <w:tcPr>
            <w:tcW w:w="148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388</w:t>
            </w:r>
          </w:p>
        </w:tc>
        <w:tc>
          <w:tcPr>
            <w:tcW w:w="100" w:type="dxa"/>
            <w:vAlign w:val="bottom"/>
            <w:tcBorders>
              <w:top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Segment Adjusted EBITDA</w:t>
            </w:r>
          </w:p>
        </w:tc>
        <w:tc>
          <w:tcPr>
            <w:tcW w:w="1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tcPr>
          <w:p>
            <w:pPr>
              <w:spacing w:after="0" w:line="143" w:lineRule="exact"/>
              <w:rPr>
                <w:sz w:val="20"/>
                <w:szCs w:val="20"/>
                <w:color w:val="auto"/>
              </w:rPr>
            </w:pPr>
            <w:r>
              <w:rPr>
                <w:rFonts w:ascii="Arial" w:cs="Arial" w:eastAsia="Arial" w:hAnsi="Arial"/>
                <w:sz w:val="13"/>
                <w:szCs w:val="13"/>
                <w:color w:val="auto"/>
              </w:rPr>
              <w:t xml:space="preserve">Investment and acquisition capital expenditures </w:t>
            </w:r>
            <w:r>
              <w:rPr>
                <w:rFonts w:ascii="Arial" w:cs="Arial" w:eastAsia="Arial" w:hAnsi="Arial"/>
                <w:sz w:val="16"/>
                <w:szCs w:val="16"/>
                <w:color w:val="auto"/>
                <w:vertAlign w:val="superscript"/>
              </w:rPr>
              <w:t>(2) (3)</w:t>
            </w:r>
          </w:p>
        </w:tc>
        <w:tc>
          <w:tcPr>
            <w:tcW w:w="14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1,332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1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2019</w:t>
            </w: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Investments in unconsolidated entities</w:t>
            </w:r>
          </w:p>
        </w:tc>
        <w:tc>
          <w:tcPr>
            <w:tcW w:w="148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20" w:type="dxa"/>
            <w:vAlign w:val="bottom"/>
            <w:gridSpan w:val="2"/>
          </w:tcPr>
          <w:p>
            <w:pPr>
              <w:jc w:val="right"/>
              <w:ind w:right="129"/>
              <w:spacing w:after="0"/>
              <w:rPr>
                <w:sz w:val="20"/>
                <w:szCs w:val="20"/>
                <w:color w:val="auto"/>
              </w:rPr>
            </w:pPr>
            <w:r>
              <w:rPr>
                <w:rFonts w:ascii="Arial" w:cs="Arial" w:eastAsia="Arial" w:hAnsi="Arial"/>
                <w:sz w:val="14"/>
                <w:szCs w:val="14"/>
                <w:color w:val="auto"/>
              </w:rPr>
              <w:t>F-63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5" w:name="page176"/>
    <w:bookmarkEnd w:id="17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246570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7">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right="80" w:hanging="515"/>
        <w:spacing w:after="0" w:line="228" w:lineRule="auto"/>
        <w:tabs>
          <w:tab w:leader="none" w:pos="510" w:val="left"/>
        </w:tabs>
        <w:numPr>
          <w:ilvl w:val="0"/>
          <w:numId w:val="111"/>
        </w:numPr>
        <w:rPr>
          <w:rFonts w:ascii="Arial" w:cs="Arial" w:eastAsia="Arial" w:hAnsi="Arial"/>
          <w:sz w:val="18"/>
          <w:szCs w:val="18"/>
          <w:color w:val="auto"/>
          <w:vertAlign w:val="superscript"/>
        </w:rPr>
      </w:pPr>
      <w:r>
        <w:rPr>
          <w:rFonts w:ascii="Arial" w:cs="Arial" w:eastAsia="Arial" w:hAnsi="Arial"/>
          <w:sz w:val="14"/>
          <w:szCs w:val="14"/>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111"/>
        </w:numPr>
        <w:rPr>
          <w:rFonts w:ascii="Arial" w:cs="Arial" w:eastAsia="Arial" w:hAnsi="Arial"/>
          <w:sz w:val="18"/>
          <w:szCs w:val="18"/>
          <w:color w:val="auto"/>
          <w:vertAlign w:val="superscript"/>
        </w:rPr>
      </w:pPr>
      <w:r>
        <w:rPr>
          <w:rFonts w:ascii="Arial" w:cs="Arial" w:eastAsia="Arial" w:hAnsi="Arial"/>
          <w:sz w:val="14"/>
          <w:szCs w:val="14"/>
          <w:color w:val="auto"/>
        </w:rPr>
        <w:t>Investment and acquisition capital expenditures, including investments in unconsolidated entities.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111"/>
        </w:numPr>
        <w:rPr>
          <w:rFonts w:ascii="Arial" w:cs="Arial" w:eastAsia="Arial" w:hAnsi="Arial"/>
          <w:sz w:val="18"/>
          <w:szCs w:val="18"/>
          <w:color w:val="auto"/>
          <w:vertAlign w:val="superscript"/>
        </w:rPr>
      </w:pPr>
      <w:r>
        <w:rPr>
          <w:rFonts w:ascii="Arial" w:cs="Arial" w:eastAsia="Arial" w:hAnsi="Arial"/>
          <w:sz w:val="14"/>
          <w:szCs w:val="14"/>
          <w:color w:val="auto"/>
        </w:rPr>
        <w:t>These amounts combined represent total capital expenditures.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Adjusted EBITDA Reconciliation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table reconciles Segment Adjusted EBITDA to Net income/(loss) attributable to PAA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r>
      <w:tr>
        <w:trPr>
          <w:trHeight w:val="180"/>
        </w:trPr>
        <w:tc>
          <w:tcPr>
            <w:tcW w:w="6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8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Depreciation and amortization of unconsolidated entities </w:t>
            </w:r>
            <w:r>
              <w:rPr>
                <w:rFonts w:ascii="Arial" w:cs="Arial" w:eastAsia="Arial" w:hAnsi="Arial"/>
                <w:sz w:val="18"/>
                <w:szCs w:val="18"/>
                <w:color w:val="auto"/>
                <w:vertAlign w:val="superscript"/>
              </w:rPr>
              <w:t>(2)</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68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Gains/(losses) from derivative activities and inventory valuation adjustments </w:t>
            </w:r>
            <w:r>
              <w:rPr>
                <w:rFonts w:ascii="Arial" w:cs="Arial" w:eastAsia="Arial" w:hAnsi="Arial"/>
                <w:sz w:val="18"/>
                <w:szCs w:val="18"/>
                <w:color w:val="auto"/>
                <w:vertAlign w:val="superscript"/>
              </w:rPr>
              <w:t>(3)</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80"/>
        </w:trPr>
        <w:tc>
          <w:tcPr>
            <w:tcW w:w="68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Long-term inventory costing adjustments </w:t>
            </w:r>
            <w:r>
              <w:rPr>
                <w:rFonts w:ascii="Arial" w:cs="Arial" w:eastAsia="Arial" w:hAnsi="Arial"/>
                <w:sz w:val="18"/>
                <w:szCs w:val="18"/>
                <w:color w:val="auto"/>
                <w:vertAlign w:val="superscript"/>
              </w:rPr>
              <w:t>(4)</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68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Deficiencies under minimum volume commitments, net </w:t>
            </w:r>
            <w:r>
              <w:rPr>
                <w:rFonts w:ascii="Arial" w:cs="Arial" w:eastAsia="Arial" w:hAnsi="Arial"/>
                <w:sz w:val="18"/>
                <w:szCs w:val="18"/>
                <w:color w:val="auto"/>
                <w:vertAlign w:val="superscript"/>
              </w:rPr>
              <w:t>(5)</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0"/>
        </w:trPr>
        <w:tc>
          <w:tcPr>
            <w:tcW w:w="68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Equity-indexed compensation expense </w:t>
            </w:r>
            <w:r>
              <w:rPr>
                <w:rFonts w:ascii="Arial" w:cs="Arial" w:eastAsia="Arial" w:hAnsi="Arial"/>
                <w:sz w:val="18"/>
                <w:szCs w:val="18"/>
                <w:color w:val="auto"/>
                <w:vertAlign w:val="superscript"/>
              </w:rPr>
              <w:t>(6)</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68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Net gain/(loss) on foreign currency revaluation </w:t>
            </w:r>
            <w:r>
              <w:rPr>
                <w:rFonts w:ascii="Arial" w:cs="Arial" w:eastAsia="Arial" w:hAnsi="Arial"/>
                <w:sz w:val="18"/>
                <w:szCs w:val="18"/>
                <w:color w:val="auto"/>
                <w:vertAlign w:val="superscript"/>
              </w:rPr>
              <w:t>(7)</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68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Line 901 incident </w:t>
            </w:r>
            <w:r>
              <w:rPr>
                <w:rFonts w:ascii="Arial" w:cs="Arial" w:eastAsia="Arial" w:hAnsi="Arial"/>
                <w:sz w:val="18"/>
                <w:szCs w:val="18"/>
                <w:color w:val="auto"/>
                <w:vertAlign w:val="superscript"/>
              </w:rPr>
              <w:t>(8)</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68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Significant transaction-related expenses </w:t>
            </w:r>
            <w:r>
              <w:rPr>
                <w:rFonts w:ascii="Arial" w:cs="Arial" w:eastAsia="Arial" w:hAnsi="Arial"/>
                <w:sz w:val="18"/>
                <w:szCs w:val="18"/>
                <w:color w:val="auto"/>
                <w:vertAlign w:val="superscript"/>
              </w:rPr>
              <w:t>(9)</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8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Adjusted EBITDA attributable to noncontrolling interests </w:t>
            </w:r>
            <w:r>
              <w:rPr>
                <w:rFonts w:ascii="Arial" w:cs="Arial" w:eastAsia="Arial" w:hAnsi="Arial"/>
                <w:sz w:val="18"/>
                <w:szCs w:val="18"/>
                <w:color w:val="auto"/>
                <w:vertAlign w:val="superscript"/>
              </w:rPr>
              <w:t>(10)</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(601)</w:t>
            </w:r>
          </w:p>
        </w:tc>
      </w:tr>
      <w:tr>
        <w:trPr>
          <w:trHeight w:val="18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Goodwill impairment losses</w:t>
            </w:r>
          </w:p>
        </w:tc>
        <w:tc>
          <w:tcPr>
            <w:tcW w:w="94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on/(impairment of) investments in unconsolidated entities, net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80"/>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Interest expense, net</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8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Income/(loss) before tax</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2,246</w:t>
            </w:r>
          </w:p>
        </w:tc>
      </w:tr>
      <w:tr>
        <w:trPr>
          <w:trHeight w:val="18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(expense)/benefit</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7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Net income/(loss)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2,180</w:t>
            </w:r>
          </w:p>
        </w:tc>
      </w:tr>
      <w:tr>
        <w:trPr>
          <w:trHeight w:val="180"/>
        </w:trPr>
        <w:tc>
          <w:tcPr>
            <w:tcW w:w="6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attributable to noncontrolling interests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Net income/(loss) attributable to PAA</w:t>
            </w: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2,171</w:t>
            </w:r>
          </w:p>
        </w:tc>
      </w:tr>
      <w:tr>
        <w:trPr>
          <w:trHeight w:val="20"/>
        </w:trPr>
        <w:tc>
          <w:tcPr>
            <w:tcW w:w="3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121" w:lineRule="exact"/>
        <w:rPr>
          <w:sz w:val="20"/>
          <w:szCs w:val="20"/>
          <w:color w:val="auto"/>
        </w:rPr>
      </w:pPr>
    </w:p>
    <w:p>
      <w:pPr>
        <w:ind w:left="500" w:hanging="495"/>
        <w:spacing w:after="0"/>
        <w:tabs>
          <w:tab w:leader="none" w:pos="500"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Represents adjustments utilized by our CODM in the evaluation of segment results.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Includes our proportionate share of the depreciation and amortization expense (including write-downs related to cancelled projects) of unconsolidated entities.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6" w:name="page177"/>
    <w:bookmarkEnd w:id="17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right="80" w:hanging="515"/>
        <w:spacing w:after="0" w:line="244" w:lineRule="auto"/>
        <w:tabs>
          <w:tab w:leader="none" w:pos="51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 We also exclude the impact of corresponding inventory valuation adjustments, as applicable.</w:t>
      </w:r>
    </w:p>
    <w:p>
      <w:pPr>
        <w:spacing w:after="0" w:line="74" w:lineRule="exact"/>
        <w:rPr>
          <w:rFonts w:ascii="Arial" w:cs="Arial" w:eastAsia="Arial" w:hAnsi="Arial"/>
          <w:sz w:val="18"/>
          <w:szCs w:val="18"/>
          <w:color w:val="auto"/>
          <w:vertAlign w:val="superscript"/>
        </w:rPr>
      </w:pPr>
    </w:p>
    <w:p>
      <w:pPr>
        <w:ind w:left="520" w:right="60" w:hanging="515"/>
        <w:spacing w:after="0" w:line="262" w:lineRule="auto"/>
        <w:tabs>
          <w:tab w:leader="none" w:pos="510" w:val="left"/>
        </w:tabs>
        <w:numPr>
          <w:ilvl w:val="0"/>
          <w:numId w:val="113"/>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rFonts w:ascii="Arial" w:cs="Arial" w:eastAsia="Arial" w:hAnsi="Arial"/>
          <w:sz w:val="17"/>
          <w:szCs w:val="17"/>
          <w:color w:val="auto"/>
          <w:vertAlign w:val="superscript"/>
        </w:rPr>
      </w:pPr>
    </w:p>
    <w:p>
      <w:pPr>
        <w:ind w:left="520" w:hanging="515"/>
        <w:spacing w:after="0" w:line="268" w:lineRule="auto"/>
        <w:tabs>
          <w:tab w:leader="none" w:pos="510" w:val="left"/>
        </w:tabs>
        <w:numPr>
          <w:ilvl w:val="0"/>
          <w:numId w:val="113"/>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58" w:lineRule="exact"/>
        <w:rPr>
          <w:rFonts w:ascii="Arial" w:cs="Arial" w:eastAsia="Arial" w:hAnsi="Arial"/>
          <w:sz w:val="17"/>
          <w:szCs w:val="17"/>
          <w:color w:val="auto"/>
          <w:vertAlign w:val="superscript"/>
        </w:rPr>
      </w:pPr>
    </w:p>
    <w:p>
      <w:pPr>
        <w:ind w:left="520" w:right="80" w:hanging="515"/>
        <w:spacing w:after="0" w:line="242" w:lineRule="auto"/>
        <w:tabs>
          <w:tab w:leader="none" w:pos="51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for information regarding our equity-indexed compensation plans.</w:t>
      </w:r>
    </w:p>
    <w:p>
      <w:pPr>
        <w:spacing w:after="0" w:line="75" w:lineRule="exact"/>
        <w:rPr>
          <w:rFonts w:ascii="Arial" w:cs="Arial" w:eastAsia="Arial" w:hAnsi="Arial"/>
          <w:sz w:val="18"/>
          <w:szCs w:val="18"/>
          <w:color w:val="auto"/>
          <w:vertAlign w:val="superscript"/>
        </w:rPr>
      </w:pPr>
    </w:p>
    <w:p>
      <w:pPr>
        <w:ind w:left="520" w:hanging="515"/>
        <w:spacing w:after="0" w:line="235" w:lineRule="auto"/>
        <w:tabs>
          <w:tab w:leader="none" w:pos="51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76" w:lineRule="exact"/>
        <w:rPr>
          <w:rFonts w:ascii="Arial" w:cs="Arial" w:eastAsia="Arial" w:hAnsi="Arial"/>
          <w:sz w:val="18"/>
          <w:szCs w:val="18"/>
          <w:color w:val="auto"/>
          <w:vertAlign w:val="superscript"/>
        </w:rPr>
      </w:pPr>
    </w:p>
    <w:p>
      <w:pPr>
        <w:ind w:left="520" w:right="140" w:hanging="515"/>
        <w:spacing w:after="0" w:line="228" w:lineRule="auto"/>
        <w:tabs>
          <w:tab w:leader="none" w:pos="51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74" w:lineRule="exact"/>
        <w:rPr>
          <w:rFonts w:ascii="Arial" w:cs="Arial" w:eastAsia="Arial" w:hAnsi="Arial"/>
          <w:sz w:val="18"/>
          <w:szCs w:val="18"/>
          <w:color w:val="auto"/>
          <w:vertAlign w:val="superscript"/>
        </w:rPr>
      </w:pPr>
    </w:p>
    <w:p>
      <w:pPr>
        <w:jc w:val="both"/>
        <w:ind w:left="520" w:right="140" w:hanging="515"/>
        <w:spacing w:after="0" w:line="235" w:lineRule="auto"/>
        <w:tabs>
          <w:tab w:leader="none" w:pos="51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Includes expenses associated with the Permian JV transaction in 2021 and the Felix Midstream LLC acquisition in 2020. See Note 7 for additional discussion. An adjustment for these non-recurring expenses is included in the calculation of Segment Adjusted EBITDA for the years ended December 31, 2021 and 2020 as our CODM does not view such expenses as integral to understanding our core segment operating performance.</w:t>
      </w:r>
    </w:p>
    <w:p>
      <w:pPr>
        <w:spacing w:after="0" w:line="4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Reflects amounts attributable to noncontrolling interests in the Permian JV (beginning October 2021) and Red River LLC.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7" w:name="page178"/>
    <w:bookmarkEnd w:id="17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ind w:left="3620"/>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Geographic Data</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operations in the United States and Canada. Set forth below are revenues and long-lived assets attributable to these geographic areas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760" w:type="dxa"/>
            <w:vAlign w:val="bottom"/>
            <w:gridSpan w:val="3"/>
          </w:tcPr>
          <w:p>
            <w:pPr>
              <w:spacing w:after="0" w:line="148" w:lineRule="exact"/>
              <w:rPr>
                <w:sz w:val="20"/>
                <w:szCs w:val="20"/>
                <w:color w:val="auto"/>
              </w:rPr>
            </w:pPr>
            <w:r>
              <w:rPr>
                <w:rFonts w:ascii="Arial" w:cs="Arial" w:eastAsia="Arial" w:hAnsi="Arial"/>
                <w:sz w:val="11"/>
                <w:szCs w:val="11"/>
                <w:b w:val="1"/>
                <w:bCs w:val="1"/>
                <w:color w:val="auto"/>
              </w:rPr>
              <w:t xml:space="preserve">Revenues </w:t>
            </w:r>
            <w:r>
              <w:rPr>
                <w:rFonts w:ascii="Arial" w:cs="Arial" w:eastAsia="Arial" w:hAnsi="Arial"/>
                <w:sz w:val="14"/>
                <w:szCs w:val="14"/>
                <w:b w:val="1"/>
                <w:bCs w:val="1"/>
                <w:color w:val="auto"/>
                <w:vertAlign w:val="superscript"/>
              </w:rPr>
              <w:t>(1)</w:t>
            </w:r>
          </w:p>
        </w:tc>
        <w:tc>
          <w:tcPr>
            <w:tcW w:w="340" w:type="dxa"/>
            <w:vAlign w:val="bottom"/>
          </w:tcPr>
          <w:p>
            <w:pPr>
              <w:spacing w:after="0"/>
              <w:rPr>
                <w:sz w:val="12"/>
                <w:szCs w:val="12"/>
                <w:color w:val="auto"/>
              </w:rPr>
            </w:pPr>
          </w:p>
        </w:tc>
        <w:tc>
          <w:tcPr>
            <w:tcW w:w="1100" w:type="dxa"/>
            <w:vAlign w:val="bottom"/>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535"/>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553"/>
              <w:spacing w:after="0"/>
              <w:rPr>
                <w:sz w:val="20"/>
                <w:szCs w:val="20"/>
                <w:color w:val="auto"/>
              </w:rPr>
            </w:pPr>
            <w:r>
              <w:rPr>
                <w:rFonts w:ascii="Arial" w:cs="Arial" w:eastAsia="Arial" w:hAnsi="Arial"/>
                <w:sz w:val="11"/>
                <w:szCs w:val="11"/>
                <w:b w:val="1"/>
                <w:bCs w:val="1"/>
                <w:color w:val="auto"/>
              </w:rPr>
              <w:t>2019</w:t>
            </w:r>
          </w:p>
        </w:tc>
      </w:tr>
      <w:tr>
        <w:trPr>
          <w:trHeight w:val="171"/>
        </w:trPr>
        <w:tc>
          <w:tcPr>
            <w:tcW w:w="20" w:type="dxa"/>
            <w:vAlign w:val="bottom"/>
          </w:tcPr>
          <w:p>
            <w:pPr>
              <w:spacing w:after="0"/>
              <w:rPr>
                <w:sz w:val="14"/>
                <w:szCs w:val="14"/>
                <w:color w:val="auto"/>
              </w:rPr>
            </w:pPr>
          </w:p>
        </w:tc>
        <w:tc>
          <w:tcPr>
            <w:tcW w:w="6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27,162</w:t>
            </w:r>
          </w:p>
        </w:tc>
      </w:tr>
      <w:tr>
        <w:trPr>
          <w:trHeight w:val="180"/>
        </w:trPr>
        <w:tc>
          <w:tcPr>
            <w:tcW w:w="20" w:type="dxa"/>
            <w:vAlign w:val="bottom"/>
          </w:tcPr>
          <w:p>
            <w:pPr>
              <w:spacing w:after="0"/>
              <w:rPr>
                <w:sz w:val="15"/>
                <w:szCs w:val="15"/>
                <w:color w:val="auto"/>
              </w:rPr>
            </w:pPr>
          </w:p>
        </w:tc>
        <w:tc>
          <w:tcPr>
            <w:tcW w:w="67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Canada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6,507</w:t>
            </w:r>
          </w:p>
        </w:tc>
      </w:tr>
      <w:tr>
        <w:trPr>
          <w:trHeight w:val="196"/>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111" w:lineRule="exact"/>
        <w:rPr>
          <w:sz w:val="20"/>
          <w:szCs w:val="20"/>
          <w:color w:val="auto"/>
        </w:rPr>
      </w:pPr>
    </w:p>
    <w:p>
      <w:pPr>
        <w:ind w:left="500" w:hanging="495"/>
        <w:spacing w:after="0"/>
        <w:tabs>
          <w:tab w:leader="none" w:pos="500" w:val="left"/>
        </w:tabs>
        <w:numPr>
          <w:ilvl w:val="0"/>
          <w:numId w:val="114"/>
        </w:numPr>
        <w:rPr>
          <w:rFonts w:ascii="Arial" w:cs="Arial" w:eastAsia="Arial" w:hAnsi="Arial"/>
          <w:sz w:val="18"/>
          <w:szCs w:val="18"/>
          <w:color w:val="auto"/>
          <w:vertAlign w:val="superscript"/>
        </w:rPr>
      </w:pPr>
      <w:r>
        <w:rPr>
          <w:rFonts w:ascii="Arial" w:cs="Arial" w:eastAsia="Arial" w:hAnsi="Arial"/>
          <w:sz w:val="14"/>
          <w:szCs w:val="14"/>
          <w:color w:val="auto"/>
        </w:rPr>
        <w:t>Revenues are primarily attributed to each region based on where the services are provided or the product is shipped.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8300" w:type="dxa"/>
            <w:vAlign w:val="bottom"/>
            <w:gridSpan w:val="3"/>
          </w:tcPr>
          <w:p>
            <w:pPr>
              <w:spacing w:after="0"/>
              <w:rPr>
                <w:sz w:val="20"/>
                <w:szCs w:val="20"/>
                <w:color w:val="auto"/>
              </w:rPr>
            </w:pPr>
            <w:r>
              <w:rPr>
                <w:rFonts w:ascii="Arial" w:cs="Arial" w:eastAsia="Arial" w:hAnsi="Arial"/>
                <w:sz w:val="11"/>
                <w:szCs w:val="11"/>
                <w:b w:val="1"/>
                <w:bCs w:val="1"/>
                <w:color w:val="auto"/>
              </w:rPr>
              <w:t xml:space="preserve">Long-Lived Assets </w:t>
            </w:r>
            <w:r>
              <w:rPr>
                <w:rFonts w:ascii="Arial" w:cs="Arial" w:eastAsia="Arial" w:hAnsi="Arial"/>
                <w:sz w:val="7"/>
                <w:szCs w:val="7"/>
                <w:b w:val="1"/>
                <w:bCs w:val="1"/>
                <w:color w:val="auto"/>
              </w:rPr>
              <w:t>(1)</w:t>
            </w:r>
          </w:p>
        </w:tc>
        <w:tc>
          <w:tcPr>
            <w:tcW w:w="340" w:type="dxa"/>
            <w:vAlign w:val="bottom"/>
          </w:tcPr>
          <w:p>
            <w:pPr>
              <w:spacing w:after="0"/>
              <w:rPr>
                <w:sz w:val="12"/>
                <w:szCs w:val="12"/>
                <w:color w:val="auto"/>
              </w:rPr>
            </w:pPr>
          </w:p>
        </w:tc>
        <w:tc>
          <w:tcPr>
            <w:tcW w:w="1080" w:type="dxa"/>
            <w:vAlign w:val="bottom"/>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8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16,887</w:t>
            </w:r>
          </w:p>
        </w:tc>
      </w:tr>
      <w:tr>
        <w:trPr>
          <w:trHeight w:val="180"/>
        </w:trPr>
        <w:tc>
          <w:tcPr>
            <w:tcW w:w="20" w:type="dxa"/>
            <w:vAlign w:val="bottom"/>
          </w:tcPr>
          <w:p>
            <w:pPr>
              <w:spacing w:after="0"/>
              <w:rPr>
                <w:sz w:val="15"/>
                <w:szCs w:val="15"/>
                <w:color w:val="auto"/>
              </w:rPr>
            </w:pPr>
          </w:p>
        </w:tc>
        <w:tc>
          <w:tcPr>
            <w:tcW w:w="83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Canada</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3,892</w:t>
            </w:r>
          </w:p>
        </w:tc>
      </w:tr>
      <w:tr>
        <w:trPr>
          <w:trHeight w:val="196"/>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16"/>
                <w:szCs w:val="16"/>
                <w:color w:val="auto"/>
              </w:rPr>
            </w:pPr>
          </w:p>
        </w:tc>
        <w:tc>
          <w:tcPr>
            <w:tcW w:w="4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22,367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21" w:lineRule="exact"/>
        <w:rPr>
          <w:sz w:val="20"/>
          <w:szCs w:val="20"/>
          <w:color w:val="auto"/>
        </w:rPr>
      </w:pPr>
    </w:p>
    <w:p>
      <w:pPr>
        <w:ind w:left="500" w:hanging="495"/>
        <w:spacing w:after="0"/>
        <w:tabs>
          <w:tab w:leader="none" w:pos="50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Excludes long-term derivative assets, long-term deferred tax assets and goodwill.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ectPr>
          <w:pgSz w:w="11900" w:h="16838" w:orient="portrait"/>
          <w:cols w:equalWidth="0" w:num="1">
            <w:col w:w="11280"/>
          </w:cols>
          <w:pgMar w:left="300" w:top="133" w:right="319" w:bottom="1440"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jc w:val="right"/>
        <w:spacing w:after="0"/>
        <w:rPr>
          <w:sz w:val="20"/>
          <w:szCs w:val="20"/>
          <w:color w:val="auto"/>
        </w:rPr>
      </w:pPr>
      <w:r>
        <w:rPr>
          <w:rFonts w:ascii="Arial" w:cs="Arial" w:eastAsia="Arial" w:hAnsi="Arial"/>
          <w:sz w:val="17"/>
          <w:szCs w:val="17"/>
          <w:b w:val="1"/>
          <w:bCs w:val="1"/>
          <w:color w:val="auto"/>
        </w:rPr>
        <w:t>Exhibit 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line="263" w:lineRule="auto"/>
        <w:rPr>
          <w:sz w:val="20"/>
          <w:szCs w:val="20"/>
          <w:color w:val="auto"/>
        </w:rPr>
      </w:pPr>
      <w:r>
        <w:rPr>
          <w:rFonts w:ascii="Arial" w:cs="Arial" w:eastAsia="Arial" w:hAnsi="Arial"/>
          <w:sz w:val="17"/>
          <w:szCs w:val="17"/>
          <w:b w:val="1"/>
          <w:bCs w:val="1"/>
          <w:color w:val="auto"/>
        </w:rPr>
        <w:t>DESCRIPTION OF THE REGISTRANT’S SECURITIES REGISTERED PURSUANT TO SECTION 12 OF THE SECURITIES EXCHANGE ACT OF 1934</w:t>
      </w:r>
    </w:p>
    <w:p>
      <w:pPr>
        <w:spacing w:after="0" w:line="155" w:lineRule="exact"/>
        <w:rPr>
          <w:sz w:val="20"/>
          <w:szCs w:val="20"/>
          <w:color w:val="auto"/>
        </w:rPr>
      </w:pPr>
    </w:p>
    <w:p>
      <w:pPr>
        <w:ind w:right="40" w:firstLine="255"/>
        <w:spacing w:after="0" w:line="265" w:lineRule="auto"/>
        <w:rPr>
          <w:sz w:val="20"/>
          <w:szCs w:val="20"/>
          <w:color w:val="auto"/>
        </w:rPr>
      </w:pPr>
      <w:r>
        <w:rPr>
          <w:rFonts w:ascii="Arial" w:cs="Arial" w:eastAsia="Arial" w:hAnsi="Arial"/>
          <w:sz w:val="14"/>
          <w:szCs w:val="14"/>
          <w:color w:val="auto"/>
        </w:rPr>
        <w:t>As of December 31, 2021, Plains All American Pipeline L.P. has one class of securities registered under Section 12 of the Securities Exchange Act of 1934, as amended (the “Exchange Act”): its common units representing limited partner interests, which are described in this Exhibit. The following definitions are used in this Exhibit:</w:t>
      </w:r>
    </w:p>
    <w:p>
      <w:pPr>
        <w:spacing w:after="0" w:line="154" w:lineRule="exact"/>
        <w:rPr>
          <w:sz w:val="20"/>
          <w:szCs w:val="20"/>
          <w:color w:val="auto"/>
        </w:rPr>
      </w:pPr>
    </w:p>
    <w:p>
      <w:pPr>
        <w:ind w:left="520" w:hanging="260"/>
        <w:spacing w:after="0"/>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"Partnership," "Plains," "PAA," "we," "us," "our," "ours" and similar terms refer to Plains All American Pipeline, L.P. and its subsidiaries; and</w:t>
      </w:r>
    </w:p>
    <w:p>
      <w:pPr>
        <w:spacing w:after="0" w:line="189" w:lineRule="exact"/>
        <w:rPr>
          <w:rFonts w:ascii="Arial" w:cs="Arial" w:eastAsia="Arial" w:hAnsi="Arial"/>
          <w:sz w:val="14"/>
          <w:szCs w:val="14"/>
          <w:color w:val="auto"/>
        </w:rPr>
      </w:pPr>
    </w:p>
    <w:p>
      <w:pPr>
        <w:ind w:left="520" w:right="500" w:hanging="260"/>
        <w:spacing w:after="0" w:line="265" w:lineRule="auto"/>
        <w:tabs>
          <w:tab w:leader="none" w:pos="51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"General partner," refers to, as the context requires, any or all of PAA GP Holdings LLC ("PAGP GP"), Plains GP Holdings, L.P. ("PAGP"), Plains AAP, L.P. ("AAP") and Plains All American GP LLC ("GP LLC").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COMMON UNITS</w:t>
      </w:r>
    </w:p>
    <w:p>
      <w:pPr>
        <w:spacing w:after="0" w:line="193" w:lineRule="exact"/>
        <w:rPr>
          <w:sz w:val="20"/>
          <w:szCs w:val="20"/>
          <w:color w:val="auto"/>
        </w:rPr>
      </w:pPr>
    </w:p>
    <w:p>
      <w:pPr>
        <w:ind w:right="320"/>
        <w:spacing w:after="0" w:line="304" w:lineRule="auto"/>
        <w:rPr>
          <w:sz w:val="20"/>
          <w:szCs w:val="20"/>
          <w:color w:val="auto"/>
        </w:rPr>
      </w:pPr>
      <w:r>
        <w:rPr>
          <w:rFonts w:ascii="Arial" w:cs="Arial" w:eastAsia="Arial" w:hAnsi="Arial"/>
          <w:sz w:val="13"/>
          <w:szCs w:val="13"/>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"Our Cash Distribution Policy."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Our outstanding common units are listed on the Nasdaq Global Select Market under the symbol "PAA." Any additional common units we issue will also be listed on Nasdaq.</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163" w:lineRule="exact"/>
        <w:rPr>
          <w:sz w:val="20"/>
          <w:szCs w:val="20"/>
          <w:color w:val="auto"/>
        </w:rPr>
      </w:pPr>
    </w:p>
    <w:p>
      <w:pPr>
        <w:ind w:right="60"/>
        <w:spacing w:after="0" w:line="304" w:lineRule="auto"/>
        <w:rPr>
          <w:sz w:val="20"/>
          <w:szCs w:val="20"/>
          <w:color w:val="auto"/>
        </w:rPr>
      </w:pPr>
      <w:r>
        <w:rPr>
          <w:rFonts w:ascii="Arial" w:cs="Arial" w:eastAsia="Arial" w:hAnsi="Arial"/>
          <w:sz w:val="13"/>
          <w:szCs w:val="13"/>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31" w:lineRule="exact"/>
        <w:rPr>
          <w:sz w:val="20"/>
          <w:szCs w:val="20"/>
          <w:color w:val="auto"/>
        </w:rPr>
      </w:pPr>
    </w:p>
    <w:p>
      <w:pPr>
        <w:ind w:right="100" w:firstLine="255"/>
        <w:spacing w:after="0" w:line="246" w:lineRule="auto"/>
        <w:rPr>
          <w:sz w:val="20"/>
          <w:szCs w:val="20"/>
          <w:color w:val="auto"/>
        </w:rPr>
      </w:pPr>
      <w:r>
        <w:rPr>
          <w:rFonts w:ascii="Arial" w:cs="Arial" w:eastAsia="Arial" w:hAnsi="Arial"/>
          <w:sz w:val="14"/>
          <w:szCs w:val="14"/>
          <w:color w:val="auto"/>
        </w:rPr>
        <w:t>Subject to limited exceptions, PAGP GP’s Fourth Amended and Restated Limited Liability Company Agreement (as amended, the “PAGP GP LLC Agreement”) provides that the Board will consist of up to 13 members, including the CEO and, based on current ownership levels, up to two designated directors.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67"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ectPr>
          <w:pgSz w:w="11900" w:h="16838" w:orient="portrait"/>
          <w:cols w:equalWidth="0" w:num="1">
            <w:col w:w="11280"/>
          </w:cols>
          <w:pgMar w:left="300" w:top="129" w:right="319" w:bottom="1440" w:gutter="0" w:footer="0" w:header="0"/>
        </w:sectPr>
      </w:pPr>
    </w:p>
    <w:bookmarkStart w:id="213" w:name="page214"/>
    <w:bookmarkEnd w:id="213"/>
    <w:p>
      <w:pPr>
        <w:jc w:val="both"/>
        <w:spacing w:after="0" w:line="267" w:lineRule="auto"/>
        <w:rPr>
          <w:sz w:val="20"/>
          <w:szCs w:val="20"/>
          <w:color w:val="auto"/>
        </w:rPr>
      </w:pPr>
      <w:r>
        <w:rPr>
          <w:rFonts w:ascii="Arial" w:cs="Arial" w:eastAsia="Arial" w:hAnsi="Arial"/>
          <w:sz w:val="13"/>
          <w:szCs w:val="13"/>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Status as Limited Partner or Assignee</w:t>
      </w:r>
    </w:p>
    <w:p>
      <w:pPr>
        <w:spacing w:after="0" w:line="193"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Except as described under "Description of Our Partnership Agreement—Limited Liability," the common units will be fully paid, and common unitholders will not be required to make additional capital contributions to us.</w:t>
      </w:r>
    </w:p>
    <w:p>
      <w:pPr>
        <w:spacing w:after="0" w:line="154" w:lineRule="exact"/>
        <w:rPr>
          <w:sz w:val="20"/>
          <w:szCs w:val="20"/>
          <w:color w:val="auto"/>
        </w:rPr>
      </w:pPr>
    </w:p>
    <w:p>
      <w:pPr>
        <w:ind w:right="280"/>
        <w:spacing w:after="0" w:line="251" w:lineRule="auto"/>
        <w:rPr>
          <w:sz w:val="20"/>
          <w:szCs w:val="20"/>
          <w:color w:val="auto"/>
        </w:rPr>
      </w:pPr>
      <w:r>
        <w:rPr>
          <w:rFonts w:ascii="Arial" w:cs="Arial" w:eastAsia="Arial" w:hAnsi="Arial"/>
          <w:sz w:val="14"/>
          <w:szCs w:val="14"/>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3"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 Right</w:t>
      </w:r>
    </w:p>
    <w:p>
      <w:pPr>
        <w:spacing w:after="0" w:line="193" w:lineRule="exact"/>
        <w:rPr>
          <w:sz w:val="20"/>
          <w:szCs w:val="20"/>
          <w:color w:val="auto"/>
        </w:rPr>
      </w:pPr>
    </w:p>
    <w:p>
      <w:pPr>
        <w:ind w:right="160"/>
        <w:spacing w:after="0" w:line="271" w:lineRule="auto"/>
        <w:rPr>
          <w:sz w:val="20"/>
          <w:szCs w:val="20"/>
          <w:color w:val="auto"/>
        </w:rPr>
      </w:pPr>
      <w:r>
        <w:rPr>
          <w:rFonts w:ascii="Arial" w:cs="Arial" w:eastAsia="Arial" w:hAnsi="Arial"/>
          <w:sz w:val="13"/>
          <w:szCs w:val="13"/>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 ownership percentage in PAGP GP.</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above mechanisms are subject to customary conversion rate adjustments for equity splits, equity dividends and reclassifications.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CASH DISTRIBUTION POLICY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of Available Cash</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We will distribute to our unitholders, on a quarterly basis, all of our available cash in the manner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47" w:right="319" w:bottom="1440" w:gutter="0" w:footer="0" w:header="0"/>
        </w:sectPr>
      </w:pPr>
    </w:p>
    <w:bookmarkStart w:id="214" w:name="page215"/>
    <w:bookmarkEnd w:id="214"/>
    <w:p>
      <w:pPr>
        <w:ind w:right="200"/>
        <w:spacing w:after="0" w:line="265" w:lineRule="auto"/>
        <w:rPr>
          <w:sz w:val="20"/>
          <w:szCs w:val="20"/>
          <w:color w:val="auto"/>
        </w:rPr>
      </w:pPr>
      <w:r>
        <w:rPr>
          <w:rFonts w:ascii="Arial" w:cs="Arial" w:eastAsia="Arial" w:hAnsi="Arial"/>
          <w:sz w:val="14"/>
          <w:szCs w:val="14"/>
          <w:i w:val="1"/>
          <w:iCs w:val="1"/>
          <w:color w:val="auto"/>
        </w:rPr>
        <w:t xml:space="preserve">Definition of Available Cash. </w:t>
      </w:r>
      <w:r>
        <w:rPr>
          <w:rFonts w:ascii="Arial" w:cs="Arial" w:eastAsia="Arial" w:hAnsi="Arial"/>
          <w:sz w:val="14"/>
          <w:szCs w:val="14"/>
          <w:color w:val="auto"/>
        </w:rPr>
        <w:t>Available cash generally means, for any quarter ending prior to liquidation, all cash and cash equivalents on hand at the end of that quarter less reserves established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reasonable discretion of the general partner for future requirements to:</w:t>
      </w:r>
    </w:p>
    <w:p>
      <w:pPr>
        <w:spacing w:after="0" w:line="154" w:lineRule="exact"/>
        <w:rPr>
          <w:sz w:val="20"/>
          <w:szCs w:val="20"/>
          <w:color w:val="auto"/>
        </w:rPr>
      </w:pPr>
    </w:p>
    <w:p>
      <w:pPr>
        <w:ind w:left="520" w:hanging="260"/>
        <w:spacing w:after="0"/>
        <w:tabs>
          <w:tab w:leader="none" w:pos="5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provide for the proper conduct of our business and the business of our operating partnerships (including reserves for future capital expenditures and for our anticipated future credit needs);</w:t>
      </w:r>
    </w:p>
    <w:p>
      <w:pPr>
        <w:spacing w:after="0" w:line="106" w:lineRule="exact"/>
        <w:rPr>
          <w:rFonts w:ascii="Arial" w:cs="Arial" w:eastAsia="Arial" w:hAnsi="Arial"/>
          <w:sz w:val="12"/>
          <w:szCs w:val="12"/>
          <w:color w:val="auto"/>
        </w:rPr>
      </w:pPr>
    </w:p>
    <w:p>
      <w:pPr>
        <w:ind w:left="520" w:hanging="260"/>
        <w:spacing w:after="0"/>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comply with applicable law or any loan agreement, security agreement, mortgage, debt instrument or other agreement or obligation; or</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provide funds for distributions to our Series A and Series B preferred unitholders or distributions to our common unitholders for of any one or more of the next four quarters.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Our available cash also includes cash on hand resulting from borrowings made after the end of the quarter.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Surplus and Capital Surplus</w:t>
      </w:r>
    </w:p>
    <w:p>
      <w:pPr>
        <w:spacing w:after="0" w:line="193" w:lineRule="exact"/>
        <w:rPr>
          <w:sz w:val="20"/>
          <w:szCs w:val="20"/>
          <w:color w:val="auto"/>
        </w:rPr>
      </w:pPr>
    </w:p>
    <w:p>
      <w:pPr>
        <w:ind w:right="500"/>
        <w:spacing w:after="0" w:line="265"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Cash distributions to our common unitholders will be characterized as either operating surplus or capital surplus. We distribute available cash from operating surplus differently than</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cash from capital surplus. See "—Quarterly Distributions of Available Cash."</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Definition of Operating Surplus. </w:t>
      </w:r>
      <w:r>
        <w:rPr>
          <w:rFonts w:ascii="Arial" w:cs="Arial" w:eastAsia="Arial" w:hAnsi="Arial"/>
          <w:sz w:val="14"/>
          <w:szCs w:val="14"/>
          <w:color w:val="auto"/>
        </w:rPr>
        <w:t>Operating surplus refers generally to:</w:t>
      </w:r>
    </w:p>
    <w:p>
      <w:pPr>
        <w:spacing w:after="0" w:line="189" w:lineRule="exact"/>
        <w:rPr>
          <w:sz w:val="20"/>
          <w:szCs w:val="20"/>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our cash balances on the closing date of our initial public offering; plus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$25 million; plus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all of our cash receipts from operations, excluding cash that is capital surplus; less</w:t>
      </w:r>
    </w:p>
    <w:p>
      <w:pPr>
        <w:spacing w:after="0" w:line="83" w:lineRule="exact"/>
        <w:rPr>
          <w:rFonts w:ascii="Arial" w:cs="Arial" w:eastAsia="Arial" w:hAnsi="Arial"/>
          <w:sz w:val="14"/>
          <w:szCs w:val="14"/>
          <w:color w:val="auto"/>
        </w:rPr>
      </w:pPr>
    </w:p>
    <w:p>
      <w:pPr>
        <w:ind w:left="520" w:right="400" w:hanging="260"/>
        <w:spacing w:after="0" w:line="265" w:lineRule="auto"/>
        <w:tabs>
          <w:tab w:leader="none" w:pos="51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Definition of Capital Surplus. </w:t>
      </w:r>
      <w:r>
        <w:rPr>
          <w:rFonts w:ascii="Arial" w:cs="Arial" w:eastAsia="Arial" w:hAnsi="Arial"/>
          <w:sz w:val="14"/>
          <w:szCs w:val="14"/>
          <w:color w:val="auto"/>
        </w:rPr>
        <w:t>Capital surplus will generally be generated only by:</w:t>
      </w:r>
    </w:p>
    <w:p>
      <w:pPr>
        <w:spacing w:after="0" w:line="189" w:lineRule="exact"/>
        <w:rPr>
          <w:sz w:val="20"/>
          <w:szCs w:val="20"/>
          <w:color w:val="auto"/>
        </w:rPr>
      </w:pPr>
    </w:p>
    <w:p>
      <w:pPr>
        <w:ind w:left="520" w:hanging="260"/>
        <w:spacing w:after="0"/>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borrowings other than working capital borrowings;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sales of debt and equity securities; and</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sales or other dispositions of assets for cash, other than inventory, accounts receivable and other assets in the ordinary course of business.</w:t>
      </w:r>
    </w:p>
    <w:p>
      <w:pPr>
        <w:spacing w:after="0" w:line="189" w:lineRule="exact"/>
        <w:rPr>
          <w:sz w:val="20"/>
          <w:szCs w:val="20"/>
          <w:color w:val="auto"/>
        </w:rPr>
      </w:pPr>
    </w:p>
    <w:p>
      <w:pPr>
        <w:ind w:right="380"/>
        <w:spacing w:after="0" w:line="304" w:lineRule="auto"/>
        <w:rPr>
          <w:sz w:val="20"/>
          <w:szCs w:val="20"/>
          <w:color w:val="auto"/>
        </w:rPr>
      </w:pPr>
      <w:r>
        <w:rPr>
          <w:rFonts w:ascii="Arial" w:cs="Arial" w:eastAsia="Arial" w:hAnsi="Arial"/>
          <w:sz w:val="13"/>
          <w:szCs w:val="13"/>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31"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of Issuance of Additional Units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can issue additional common units or other equity securities for consideration and under terms and conditions approved by our general partner in its sole discretion and without the approval of our unitholders, other than current holders of our Series A preferred units and Series B preferred units in certain circumstances. We may fund acquisitions through the issuance of additional common units or other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147" w:right="319" w:bottom="1440" w:gutter="0" w:footer="0" w:header="0"/>
        </w:sectPr>
      </w:pPr>
    </w:p>
    <w:bookmarkStart w:id="215" w:name="page216"/>
    <w:bookmarkEnd w:id="215"/>
    <w:p>
      <w:pPr>
        <w:ind w:right="460"/>
        <w:spacing w:after="0" w:line="265" w:lineRule="auto"/>
        <w:rPr>
          <w:sz w:val="20"/>
          <w:szCs w:val="20"/>
          <w:color w:val="auto"/>
        </w:rPr>
      </w:pPr>
      <w:r>
        <w:rPr>
          <w:rFonts w:ascii="Arial" w:cs="Arial" w:eastAsia="Arial" w:hAnsi="Arial"/>
          <w:sz w:val="14"/>
          <w:szCs w:val="14"/>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Distributions of Available Cash</w:t>
      </w:r>
    </w:p>
    <w:p>
      <w:pPr>
        <w:spacing w:after="0" w:line="19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from Operating Surplus</w:t>
      </w:r>
    </w:p>
    <w:p>
      <w:pPr>
        <w:spacing w:after="0" w:line="193"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from Capital Surplus</w:t>
      </w:r>
    </w:p>
    <w:p>
      <w:pPr>
        <w:spacing w:after="0" w:line="193"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18"/>
          <w:szCs w:val="18"/>
          <w:color w:val="auto"/>
          <w:vertAlign w:val="superscript"/>
        </w:rPr>
        <w:t>2</w:t>
      </w:r>
      <w:r>
        <w:rPr>
          <w:rFonts w:ascii="Arial" w:cs="Arial" w:eastAsia="Arial" w:hAnsi="Arial"/>
          <w:sz w:val="14"/>
          <w:szCs w:val="14"/>
          <w:color w:val="auto"/>
        </w:rPr>
        <w:t>/3% of the outstanding Series B preferred units.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of Cash upon Liquidation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15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DESCRIPTION OF OUR PARTNERSHIP AGREEMENT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certain material provisions of our partnership agreement.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Purpose</w:t>
      </w:r>
    </w:p>
    <w:p>
      <w:pPr>
        <w:spacing w:after="0" w:line="193"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 Law; Forum, Venue and Jurisdiction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partnership agreement is governed by Delaware law. Our partnership agreement requires that any claims, suits, actions or proceedings:</w:t>
      </w:r>
    </w:p>
    <w:p>
      <w:pPr>
        <w:spacing w:after="0" w:line="189" w:lineRule="exact"/>
        <w:rPr>
          <w:sz w:val="20"/>
          <w:szCs w:val="20"/>
          <w:color w:val="auto"/>
        </w:rPr>
      </w:pPr>
    </w:p>
    <w:p>
      <w:pPr>
        <w:ind w:left="520" w:right="400" w:hanging="260"/>
        <w:spacing w:after="0" w:line="246" w:lineRule="auto"/>
        <w:tabs>
          <w:tab w:leader="none" w:pos="51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ind w:left="520" w:hanging="260"/>
        <w:spacing w:after="0" w:line="237" w:lineRule="auto"/>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brought in a derivative manner on our behalf;</w:t>
      </w:r>
    </w:p>
    <w:p>
      <w:pPr>
        <w:ind w:left="520" w:hanging="260"/>
        <w:spacing w:after="0"/>
        <w:tabs>
          <w:tab w:leader="none" w:pos="5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asserting a claim of breach of a fiduciary duty owed by any director, officer or other employee of us or our general partner, or owed by our general partner to us or the unitholders;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asserting a claim arising pursuant to any provision of the Delaware Revised Uniform Limited Partnership Act (the “Delaware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300" w:top="1147" w:right="319" w:bottom="1440" w:gutter="0" w:footer="0" w:header="0"/>
        </w:sectPr>
      </w:pPr>
    </w:p>
    <w:bookmarkStart w:id="216" w:name="page217"/>
    <w:bookmarkEnd w:id="216"/>
    <w:p>
      <w:pPr>
        <w:ind w:left="520" w:hanging="260"/>
        <w:spacing w:after="0"/>
        <w:tabs>
          <w:tab w:leader="none" w:pos="5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asserting a claim governed by the internal affairs doctrine,</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2"/>
          <w:szCs w:val="12"/>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of Attorney</w:t>
      </w:r>
    </w:p>
    <w:p>
      <w:pPr>
        <w:spacing w:after="0" w:line="193" w:lineRule="exact"/>
        <w:rPr>
          <w:sz w:val="20"/>
          <w:szCs w:val="20"/>
          <w:color w:val="auto"/>
        </w:rPr>
      </w:pPr>
    </w:p>
    <w:p>
      <w:pPr>
        <w:jc w:val="both"/>
        <w:ind w:right="200"/>
        <w:spacing w:after="0" w:line="251" w:lineRule="auto"/>
        <w:rPr>
          <w:sz w:val="20"/>
          <w:szCs w:val="20"/>
          <w:color w:val="auto"/>
        </w:rPr>
      </w:pPr>
      <w:r>
        <w:rPr>
          <w:rFonts w:ascii="Arial" w:cs="Arial" w:eastAsia="Arial" w:hAnsi="Arial"/>
          <w:sz w:val="14"/>
          <w:szCs w:val="14"/>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Additional Securities</w:t>
      </w:r>
    </w:p>
    <w:p>
      <w:pPr>
        <w:spacing w:after="0" w:line="193" w:lineRule="exact"/>
        <w:rPr>
          <w:sz w:val="20"/>
          <w:szCs w:val="20"/>
          <w:color w:val="auto"/>
        </w:rPr>
      </w:pPr>
    </w:p>
    <w:p>
      <w:pPr>
        <w:jc w:val="both"/>
        <w:ind w:right="200"/>
        <w:spacing w:after="0" w:line="265" w:lineRule="auto"/>
        <w:rPr>
          <w:sz w:val="20"/>
          <w:szCs w:val="20"/>
          <w:color w:val="auto"/>
        </w:rPr>
      </w:pPr>
      <w:r>
        <w:rPr>
          <w:rFonts w:ascii="Arial" w:cs="Arial" w:eastAsia="Arial" w:hAnsi="Arial"/>
          <w:sz w:val="14"/>
          <w:szCs w:val="14"/>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3"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54"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to Our Partnership Agreement</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300" w:top="1147" w:right="339" w:bottom="1440" w:gutter="0" w:footer="0" w:header="0"/>
        </w:sectPr>
      </w:pPr>
    </w:p>
    <w:bookmarkStart w:id="217" w:name="page218"/>
    <w:bookmarkEnd w:id="217"/>
    <w:p>
      <w:pPr>
        <w:spacing w:after="0"/>
        <w:rPr>
          <w:sz w:val="20"/>
          <w:szCs w:val="20"/>
          <w:color w:val="auto"/>
        </w:rPr>
      </w:pPr>
      <w:r>
        <w:rPr>
          <w:rFonts w:ascii="Arial" w:cs="Arial" w:eastAsia="Arial" w:hAnsi="Arial"/>
          <w:sz w:val="14"/>
          <w:szCs w:val="14"/>
          <w:b w:val="1"/>
          <w:bCs w:val="1"/>
          <w:color w:val="auto"/>
        </w:rPr>
        <w:t>Withdrawal or Removal of Our General Partner</w:t>
      </w:r>
    </w:p>
    <w:p>
      <w:pPr>
        <w:spacing w:after="0" w:line="193" w:lineRule="exact"/>
        <w:rPr>
          <w:sz w:val="20"/>
          <w:szCs w:val="20"/>
          <w:color w:val="auto"/>
        </w:rPr>
      </w:pPr>
    </w:p>
    <w:p>
      <w:pPr>
        <w:jc w:val="both"/>
        <w:ind w:right="260" w:firstLine="255"/>
        <w:spacing w:after="0" w:line="251" w:lineRule="auto"/>
        <w:rPr>
          <w:sz w:val="20"/>
          <w:szCs w:val="20"/>
          <w:color w:val="auto"/>
        </w:rPr>
      </w:pPr>
      <w:r>
        <w:rPr>
          <w:rFonts w:ascii="Arial" w:cs="Arial" w:eastAsia="Arial" w:hAnsi="Arial"/>
          <w:sz w:val="14"/>
          <w:szCs w:val="14"/>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63" w:lineRule="exact"/>
        <w:rPr>
          <w:sz w:val="20"/>
          <w:szCs w:val="20"/>
          <w:color w:val="auto"/>
        </w:rPr>
      </w:pPr>
    </w:p>
    <w:p>
      <w:pPr>
        <w:ind w:right="40" w:firstLine="255"/>
        <w:spacing w:after="0" w:line="244" w:lineRule="auto"/>
        <w:rPr>
          <w:sz w:val="20"/>
          <w:szCs w:val="20"/>
          <w:color w:val="auto"/>
        </w:rPr>
      </w:pPr>
      <w:r>
        <w:rPr>
          <w:rFonts w:ascii="Arial" w:cs="Arial" w:eastAsia="Arial" w:hAnsi="Arial"/>
          <w:sz w:val="14"/>
          <w:szCs w:val="14"/>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68"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47" w:lineRule="exact"/>
        <w:rPr>
          <w:sz w:val="20"/>
          <w:szCs w:val="20"/>
          <w:color w:val="auto"/>
        </w:rPr>
      </w:pPr>
    </w:p>
    <w:p>
      <w:pPr>
        <w:ind w:right="80" w:firstLine="255"/>
        <w:spacing w:after="0" w:line="265" w:lineRule="auto"/>
        <w:rPr>
          <w:sz w:val="20"/>
          <w:szCs w:val="20"/>
          <w:color w:val="auto"/>
        </w:rPr>
      </w:pPr>
      <w:r>
        <w:rPr>
          <w:rFonts w:ascii="Arial" w:cs="Arial" w:eastAsia="Arial" w:hAnsi="Arial"/>
          <w:sz w:val="14"/>
          <w:szCs w:val="14"/>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54" w:lineRule="exact"/>
        <w:rPr>
          <w:sz w:val="20"/>
          <w:szCs w:val="20"/>
          <w:color w:val="auto"/>
        </w:rPr>
      </w:pPr>
    </w:p>
    <w:p>
      <w:pPr>
        <w:ind w:right="380" w:firstLine="255"/>
        <w:spacing w:after="0" w:line="265" w:lineRule="auto"/>
        <w:rPr>
          <w:sz w:val="20"/>
          <w:szCs w:val="20"/>
          <w:color w:val="auto"/>
        </w:rPr>
      </w:pPr>
      <w:r>
        <w:rPr>
          <w:rFonts w:ascii="Arial" w:cs="Arial" w:eastAsia="Arial" w:hAnsi="Arial"/>
          <w:sz w:val="14"/>
          <w:szCs w:val="14"/>
          <w:color w:val="auto"/>
        </w:rPr>
        <w:t>In addition, our partnership agreement expressly permits the sale, in whole or in part, of the ownership of our general partner. Our general partner may also transfer, in whole or in part, the common units it owns.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Sale or Other Disposition of Assets</w:t>
      </w:r>
    </w:p>
    <w:p>
      <w:pPr>
        <w:spacing w:after="0" w:line="193" w:lineRule="exact"/>
        <w:rPr>
          <w:sz w:val="20"/>
          <w:szCs w:val="20"/>
          <w:color w:val="auto"/>
        </w:rPr>
      </w:pPr>
    </w:p>
    <w:p>
      <w:pPr>
        <w:ind w:right="140" w:firstLine="255"/>
        <w:spacing w:after="0" w:line="271" w:lineRule="auto"/>
        <w:rPr>
          <w:sz w:val="20"/>
          <w:szCs w:val="20"/>
          <w:color w:val="auto"/>
        </w:rPr>
      </w:pPr>
      <w:r>
        <w:rPr>
          <w:rFonts w:ascii="Arial" w:cs="Arial" w:eastAsia="Arial" w:hAnsi="Arial"/>
          <w:sz w:val="13"/>
          <w:szCs w:val="13"/>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52" w:lineRule="exact"/>
        <w:rPr>
          <w:sz w:val="20"/>
          <w:szCs w:val="20"/>
          <w:color w:val="auto"/>
        </w:rPr>
      </w:pPr>
    </w:p>
    <w:p>
      <w:pPr>
        <w:ind w:right="20" w:firstLine="255"/>
        <w:spacing w:after="0" w:line="246" w:lineRule="auto"/>
        <w:rPr>
          <w:sz w:val="20"/>
          <w:szCs w:val="20"/>
          <w:color w:val="auto"/>
        </w:rPr>
      </w:pPr>
      <w:r>
        <w:rPr>
          <w:rFonts w:ascii="Arial" w:cs="Arial" w:eastAsia="Arial" w:hAnsi="Arial"/>
          <w:sz w:val="14"/>
          <w:szCs w:val="14"/>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 and Distribution of Proceeds</w:t>
      </w:r>
    </w:p>
    <w:p>
      <w:pPr>
        <w:spacing w:after="0" w:line="193" w:lineRule="exact"/>
        <w:rPr>
          <w:sz w:val="20"/>
          <w:szCs w:val="20"/>
          <w:color w:val="auto"/>
        </w:rPr>
      </w:pPr>
    </w:p>
    <w:p>
      <w:pPr>
        <w:ind w:right="380"/>
        <w:spacing w:after="0" w:line="304" w:lineRule="auto"/>
        <w:rPr>
          <w:sz w:val="20"/>
          <w:szCs w:val="20"/>
          <w:color w:val="auto"/>
        </w:rPr>
      </w:pPr>
      <w:r>
        <w:rPr>
          <w:rFonts w:ascii="Arial" w:cs="Arial" w:eastAsia="Arial" w:hAnsi="Arial"/>
          <w:sz w:val="13"/>
          <w:szCs w:val="13"/>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131" w:lineRule="exact"/>
        <w:rPr>
          <w:sz w:val="20"/>
          <w:szCs w:val="20"/>
          <w:color w:val="auto"/>
        </w:rPr>
      </w:pPr>
    </w:p>
    <w:p>
      <w:pPr>
        <w:ind w:left="520" w:hanging="260"/>
        <w:spacing w:after="0"/>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first, towards the payment of all of our creditors and the creation of a reserve for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00" w:top="1143" w:right="359" w:bottom="1440" w:gutter="0" w:footer="0" w:header="0"/>
        </w:sectPr>
      </w:pPr>
    </w:p>
    <w:bookmarkStart w:id="218" w:name="page219"/>
    <w:bookmarkEnd w:id="218"/>
    <w:p>
      <w:pPr>
        <w:ind w:left="520" w:right="180" w:hanging="260"/>
        <w:spacing w:after="0" w:line="265" w:lineRule="auto"/>
        <w:tabs>
          <w:tab w:leader="none" w:pos="51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finally, to all partners in accordance with the positive balance in their respective capital accounts.</w:t>
      </w:r>
    </w:p>
    <w:p>
      <w:pPr>
        <w:spacing w:after="0" w:line="189"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Management Provisions</w:t>
      </w:r>
    </w:p>
    <w:p>
      <w:pPr>
        <w:spacing w:after="0" w:line="193" w:lineRule="exact"/>
        <w:rPr>
          <w:sz w:val="20"/>
          <w:szCs w:val="20"/>
          <w:color w:val="auto"/>
        </w:rPr>
      </w:pPr>
    </w:p>
    <w:p>
      <w:pPr>
        <w:ind w:right="720"/>
        <w:spacing w:after="0" w:line="265" w:lineRule="auto"/>
        <w:rPr>
          <w:sz w:val="20"/>
          <w:szCs w:val="20"/>
          <w:color w:val="auto"/>
        </w:rPr>
      </w:pPr>
      <w:r>
        <w:rPr>
          <w:rFonts w:ascii="Arial" w:cs="Arial" w:eastAsia="Arial" w:hAnsi="Arial"/>
          <w:sz w:val="14"/>
          <w:szCs w:val="14"/>
          <w:color w:val="auto"/>
        </w:rPr>
        <w:t>Our partnership agreement contains the following specific provisions that are intended to discourage a person or group from attempting to remove our general partner or otherwise change management:</w:t>
      </w:r>
    </w:p>
    <w:p>
      <w:pPr>
        <w:spacing w:after="0" w:line="154" w:lineRule="exact"/>
        <w:rPr>
          <w:sz w:val="20"/>
          <w:szCs w:val="20"/>
          <w:color w:val="auto"/>
        </w:rPr>
      </w:pPr>
    </w:p>
    <w:p>
      <w:pPr>
        <w:ind w:left="520" w:right="100" w:hanging="260"/>
        <w:spacing w:after="0" w:line="265" w:lineRule="auto"/>
        <w:tabs>
          <w:tab w:leader="none" w:pos="51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generally, if a person acquires 20% or more of any class of units then outstanding other than from our general partner or its affiliates, the units owned by such person cannot be voted on any matter; and</w:t>
      </w:r>
    </w:p>
    <w:p>
      <w:pPr>
        <w:spacing w:after="0" w:line="47" w:lineRule="exact"/>
        <w:rPr>
          <w:rFonts w:ascii="Arial" w:cs="Arial" w:eastAsia="Arial" w:hAnsi="Arial"/>
          <w:sz w:val="14"/>
          <w:szCs w:val="14"/>
          <w:color w:val="auto"/>
        </w:rPr>
      </w:pPr>
    </w:p>
    <w:p>
      <w:pPr>
        <w:ind w:left="520" w:right="420" w:hanging="260"/>
        <w:spacing w:after="0" w:line="265" w:lineRule="auto"/>
        <w:tabs>
          <w:tab w:leader="none" w:pos="51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Limited Call Right</w:t>
      </w:r>
    </w:p>
    <w:p>
      <w:pPr>
        <w:spacing w:after="0" w:line="193" w:lineRule="exact"/>
        <w:rPr>
          <w:sz w:val="20"/>
          <w:szCs w:val="20"/>
          <w:color w:val="auto"/>
        </w:rPr>
      </w:pPr>
    </w:p>
    <w:p>
      <w:pPr>
        <w:ind w:firstLine="255"/>
        <w:spacing w:after="0" w:line="291" w:lineRule="auto"/>
        <w:rPr>
          <w:sz w:val="20"/>
          <w:szCs w:val="20"/>
          <w:color w:val="auto"/>
        </w:rPr>
      </w:pPr>
      <w:r>
        <w:rPr>
          <w:rFonts w:ascii="Arial" w:cs="Arial" w:eastAsia="Arial" w:hAnsi="Arial"/>
          <w:sz w:val="12"/>
          <w:szCs w:val="12"/>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42" w:lineRule="exact"/>
        <w:rPr>
          <w:sz w:val="20"/>
          <w:szCs w:val="20"/>
          <w:color w:val="auto"/>
        </w:rPr>
      </w:pPr>
    </w:p>
    <w:p>
      <w:pPr>
        <w:ind w:right="160" w:firstLine="255"/>
        <w:spacing w:after="0" w:line="265" w:lineRule="auto"/>
        <w:rPr>
          <w:sz w:val="20"/>
          <w:szCs w:val="20"/>
          <w:color w:val="auto"/>
        </w:rPr>
      </w:pPr>
      <w:r>
        <w:rPr>
          <w:rFonts w:ascii="Arial" w:cs="Arial" w:eastAsia="Arial" w:hAnsi="Arial"/>
          <w:sz w:val="14"/>
          <w:szCs w:val="14"/>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93" w:lineRule="exact"/>
        <w:rPr>
          <w:sz w:val="20"/>
          <w:szCs w:val="20"/>
          <w:color w:val="auto"/>
        </w:rPr>
      </w:pPr>
    </w:p>
    <w:p>
      <w:pPr>
        <w:jc w:val="both"/>
        <w:ind w:right="80" w:firstLine="255"/>
        <w:spacing w:after="0" w:line="251" w:lineRule="auto"/>
        <w:rPr>
          <w:sz w:val="20"/>
          <w:szCs w:val="20"/>
          <w:color w:val="auto"/>
        </w:rPr>
      </w:pPr>
      <w:r>
        <w:rPr>
          <w:rFonts w:ascii="Arial" w:cs="Arial" w:eastAsia="Arial" w:hAnsi="Arial"/>
          <w:sz w:val="14"/>
          <w:szCs w:val="14"/>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Limited Liability</w:t>
      </w:r>
    </w:p>
    <w:p>
      <w:pPr>
        <w:spacing w:after="0" w:line="193" w:lineRule="exact"/>
        <w:rPr>
          <w:sz w:val="20"/>
          <w:szCs w:val="20"/>
          <w:color w:val="auto"/>
        </w:rPr>
      </w:pPr>
    </w:p>
    <w:p>
      <w:pPr>
        <w:ind w:right="140"/>
        <w:spacing w:after="0" w:line="251" w:lineRule="auto"/>
        <w:rPr>
          <w:sz w:val="20"/>
          <w:szCs w:val="20"/>
          <w:color w:val="auto"/>
        </w:rPr>
      </w:pPr>
      <w:r>
        <w:rPr>
          <w:rFonts w:ascii="Arial" w:cs="Arial" w:eastAsia="Arial" w:hAnsi="Arial"/>
          <w:sz w:val="14"/>
          <w:szCs w:val="14"/>
          <w:color w:val="auto"/>
        </w:rPr>
        <w:t>Assuming that a limited partner does not participate in the control of our business within the meaning of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147" w:right="319" w:bottom="1440" w:gutter="0" w:footer="0" w:header="0"/>
        </w:sectPr>
      </w:pPr>
    </w:p>
    <w:bookmarkStart w:id="219" w:name="page220"/>
    <w:bookmarkEnd w:id="219"/>
    <w:p>
      <w:pPr>
        <w:spacing w:after="0" w:line="242" w:lineRule="auto"/>
        <w:rPr>
          <w:sz w:val="20"/>
          <w:szCs w:val="20"/>
          <w:color w:val="auto"/>
        </w:rPr>
      </w:pPr>
      <w:r>
        <w:rPr>
          <w:rFonts w:ascii="Arial" w:cs="Arial" w:eastAsia="Arial" w:hAnsi="Arial"/>
          <w:sz w:val="14"/>
          <w:szCs w:val="14"/>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ind w:right="20" w:firstLine="255"/>
        <w:spacing w:after="0" w:line="279" w:lineRule="auto"/>
        <w:rPr>
          <w:sz w:val="20"/>
          <w:szCs w:val="20"/>
          <w:color w:val="auto"/>
        </w:rPr>
      </w:pPr>
      <w:r>
        <w:rPr>
          <w:rFonts w:ascii="Arial" w:cs="Arial" w:eastAsia="Arial" w:hAnsi="Arial"/>
          <w:sz w:val="13"/>
          <w:szCs w:val="13"/>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00"/>
          </w:cols>
          <w:pgMar w:left="300" w:top="1147" w:right="399" w:bottom="1440"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rFonts w:ascii="Arial" w:cs="Arial" w:eastAsia="Arial" w:hAnsi="Arial"/>
          <w:sz w:val="14"/>
          <w:szCs w:val="14"/>
          <w:b w:val="1"/>
          <w:bCs w:val="1"/>
          <w:color w:val="auto"/>
        </w:rPr>
        <w:t>Exhibit 21.1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7680" w:type="dxa"/>
            <w:vAlign w:val="bottom"/>
            <w:gridSpan w:val="3"/>
          </w:tcPr>
          <w:p>
            <w:pPr>
              <w:jc w:val="center"/>
              <w:ind w:right="3490"/>
              <w:spacing w:after="0"/>
              <w:rPr>
                <w:sz w:val="20"/>
                <w:szCs w:val="20"/>
                <w:color w:val="auto"/>
              </w:rPr>
            </w:pPr>
            <w:r>
              <w:rPr>
                <w:rFonts w:ascii="Arial" w:cs="Arial" w:eastAsia="Arial" w:hAnsi="Arial"/>
                <w:sz w:val="14"/>
                <w:szCs w:val="14"/>
                <w:b w:val="1"/>
                <w:bCs w:val="1"/>
                <w:color w:val="auto"/>
              </w:rPr>
              <w:t>SUBSIDIARIES OF</w:t>
            </w:r>
          </w:p>
        </w:tc>
      </w:tr>
      <w:tr>
        <w:trPr>
          <w:trHeight w:val="174"/>
        </w:trPr>
        <w:tc>
          <w:tcPr>
            <w:tcW w:w="3560" w:type="dxa"/>
            <w:vAlign w:val="bottom"/>
          </w:tcPr>
          <w:p>
            <w:pPr>
              <w:spacing w:after="0"/>
              <w:rPr>
                <w:sz w:val="15"/>
                <w:szCs w:val="15"/>
                <w:color w:val="auto"/>
              </w:rPr>
            </w:pPr>
          </w:p>
        </w:tc>
        <w:tc>
          <w:tcPr>
            <w:tcW w:w="7680" w:type="dxa"/>
            <w:vAlign w:val="bottom"/>
            <w:gridSpan w:val="3"/>
          </w:tcPr>
          <w:p>
            <w:pPr>
              <w:jc w:val="center"/>
              <w:ind w:right="3490"/>
              <w:spacing w:after="0"/>
              <w:rPr>
                <w:sz w:val="20"/>
                <w:szCs w:val="20"/>
                <w:color w:val="auto"/>
              </w:rPr>
            </w:pPr>
            <w:r>
              <w:rPr>
                <w:rFonts w:ascii="Arial" w:cs="Arial" w:eastAsia="Arial" w:hAnsi="Arial"/>
                <w:sz w:val="14"/>
                <w:szCs w:val="14"/>
                <w:b w:val="1"/>
                <w:bCs w:val="1"/>
                <w:color w:val="auto"/>
              </w:rPr>
              <w:t>PLAINS ALL AMERICAN PIPELINE, L.P.</w:t>
            </w:r>
          </w:p>
        </w:tc>
      </w:tr>
      <w:tr>
        <w:trPr>
          <w:trHeight w:val="180"/>
        </w:trPr>
        <w:tc>
          <w:tcPr>
            <w:tcW w:w="3560" w:type="dxa"/>
            <w:vAlign w:val="bottom"/>
          </w:tcPr>
          <w:p>
            <w:pPr>
              <w:spacing w:after="0"/>
              <w:rPr>
                <w:sz w:val="15"/>
                <w:szCs w:val="15"/>
                <w:color w:val="auto"/>
              </w:rPr>
            </w:pPr>
          </w:p>
        </w:tc>
        <w:tc>
          <w:tcPr>
            <w:tcW w:w="7680" w:type="dxa"/>
            <w:vAlign w:val="bottom"/>
            <w:gridSpan w:val="3"/>
          </w:tcPr>
          <w:p>
            <w:pPr>
              <w:jc w:val="center"/>
              <w:ind w:right="3470"/>
              <w:spacing w:after="0"/>
              <w:rPr>
                <w:sz w:val="20"/>
                <w:szCs w:val="20"/>
                <w:color w:val="auto"/>
              </w:rPr>
            </w:pPr>
            <w:r>
              <w:rPr>
                <w:rFonts w:ascii="Arial" w:cs="Arial" w:eastAsia="Arial" w:hAnsi="Arial"/>
                <w:sz w:val="14"/>
                <w:szCs w:val="14"/>
                <w:i w:val="1"/>
                <w:iCs w:val="1"/>
                <w:color w:val="auto"/>
                <w:w w:val="91"/>
              </w:rPr>
              <w:t>(As of 12/31/2021)</w:t>
            </w:r>
          </w:p>
        </w:tc>
      </w:tr>
      <w:tr>
        <w:trPr>
          <w:trHeight w:val="16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Subsidiary</w:t>
            </w:r>
          </w:p>
        </w:tc>
        <w:tc>
          <w:tcPr>
            <w:tcW w:w="4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Jurisdiction of Organization</w:t>
            </w:r>
          </w:p>
        </w:tc>
      </w:tr>
      <w:tr>
        <w:trPr>
          <w:trHeight w:val="175"/>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Aurora Pipeline Company Ltd.</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Bakersfield Crude Terminal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Cactus II Pipeline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Capline Pipeline Company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Eagle Ford Crude Terminal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FM Midstream Holdings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FM Gathering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Niobrara Crude Terminal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OMOG JV Holdings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Oryx Delaware Oil Transport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Oryx Midstream Holdings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Oryx Wink Oil Pipeline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 Finance Corp.</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PAA Luxembourg S.a.r.l.</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Luxembourg</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 Midstream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PAA Natural Gas Storage, L.P.</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 Service Corp.</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PAA/Vulcan Gas Storage,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Pacific Pipeline System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All American Emergency Relief Fund, Inc.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Capline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Gas Solutions,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GP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LPG Services GP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LPG Services, L.P.</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Marketing Bondholder,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Marketing Canada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Marketing, L.P.</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Midstream Canada ULC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British Columbia</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Midstream Holdings Canada ULC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British Columbia</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Midstream Luxembourg S.a.r.l.</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Luxembourg</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Midstream Superior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Oryx Permian Basin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Oryx Permian Basin Marketing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Oryx Permian Basin Pipeline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Pipeline, L.P.</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Pipeline Montana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Products Terminals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Rail Holdings LLC</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Plains South Texas Gathering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PMC (Nova Scotia) Company</w:t>
            </w:r>
          </w:p>
        </w:tc>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Nova Scotia</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PNGS GP LLC</w:t>
            </w: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60"/>
          </w:cols>
          <w:pgMar w:left="320" w:top="729" w:right="31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0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3440" w:type="dxa"/>
            <w:vAlign w:val="bottom"/>
          </w:tcPr>
          <w:p>
            <w:pPr>
              <w:ind w:left="20"/>
              <w:spacing w:after="0"/>
              <w:rPr>
                <w:sz w:val="20"/>
                <w:szCs w:val="20"/>
                <w:color w:val="auto"/>
              </w:rPr>
            </w:pPr>
            <w:r>
              <w:rPr>
                <w:rFonts w:ascii="Arial" w:cs="Arial" w:eastAsia="Arial" w:hAnsi="Arial"/>
                <w:sz w:val="11"/>
                <w:szCs w:val="11"/>
                <w:b w:val="1"/>
                <w:bCs w:val="1"/>
                <w:color w:val="auto"/>
              </w:rPr>
              <w:t>Jurisdiction of Organization</w:t>
            </w:r>
          </w:p>
        </w:tc>
      </w:tr>
      <w:tr>
        <w:trPr>
          <w:trHeight w:val="175"/>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Rancho LPG Holdings LLC</w:t>
            </w:r>
          </w:p>
        </w:tc>
        <w:tc>
          <w:tcPr>
            <w:tcW w:w="100" w:type="dxa"/>
            <w:vAlign w:val="bottom"/>
            <w:tcBorders>
              <w:top w:val="single" w:sz="8" w:color="CCEEFF"/>
            </w:tcBorders>
            <w:shd w:val="clear" w:color="auto" w:fill="CCEEFF"/>
          </w:tcPr>
          <w:p>
            <w:pPr>
              <w:spacing w:after="0"/>
              <w:rPr>
                <w:sz w:val="15"/>
                <w:szCs w:val="15"/>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Red River Pipeline Company LLC</w:t>
            </w: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Rocky Mountain Pipeline Montana LLC</w:t>
            </w: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St. James Rail Terminal LLC</w:t>
            </w: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Sunrise Pipeline LLC</w:t>
            </w: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Van Hook Crude Terminal LLC</w:t>
            </w:r>
          </w:p>
        </w:tc>
        <w:tc>
          <w:tcPr>
            <w:tcW w:w="34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Western Corridor Pipeline LLC</w:t>
            </w: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759"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CONSENT OF INDEPENDENT REGISTERED PUBLIC ACCOUNTING FIRM</w:t>
      </w:r>
    </w:p>
    <w:p>
      <w:pPr>
        <w:spacing w:after="0" w:line="20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We hereby consent to the incorporation by reference in the Registration Statements on Form S-3 (No. 333-138888, 333-155673, 333-162477, 333-214778, 333-221845, 333-259387 and 333-259390) and on Form S-8 (No. 333-91141, 333-74920, 333-122806, 333-141185, 333-193139, 333-193140 and 333-256507) of Plains All American Pipeline, L.P. of our report dated February 28, 2022 relating to the financial statements and the effectiveness of internal control over financial reporting, which appears in this Form 10-K.</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Houston, Texas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ectPr>
          <w:pgSz w:w="11900" w:h="16838" w:orient="portrait"/>
          <w:cols w:equalWidth="0" w:num="1">
            <w:col w:w="11280"/>
          </w:cols>
          <w:pgMar w:left="300" w:top="730"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Willie Chiang, certify that:</w:t>
      </w:r>
    </w:p>
    <w:p>
      <w:pPr>
        <w:spacing w:after="0" w:line="179" w:lineRule="exact"/>
        <w:rPr>
          <w:sz w:val="20"/>
          <w:szCs w:val="20"/>
          <w:color w:val="auto"/>
        </w:rPr>
      </w:pPr>
    </w:p>
    <w:p>
      <w:pPr>
        <w:ind w:left="700" w:hanging="186"/>
        <w:spacing w:after="0"/>
        <w:tabs>
          <w:tab w:leader="none" w:pos="7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Plains All American Pipeline, L.P. (the “registrant”);</w:t>
      </w:r>
    </w:p>
    <w:p>
      <w:pPr>
        <w:spacing w:after="0" w:line="178" w:lineRule="exact"/>
        <w:rPr>
          <w:rFonts w:ascii="Arial" w:cs="Arial" w:eastAsia="Arial" w:hAnsi="Arial"/>
          <w:sz w:val="14"/>
          <w:szCs w:val="14"/>
          <w:color w:val="auto"/>
        </w:rPr>
      </w:pPr>
    </w:p>
    <w:p>
      <w:pPr>
        <w:ind w:right="560" w:firstLine="514"/>
        <w:spacing w:after="0" w:line="281" w:lineRule="auto"/>
        <w:tabs>
          <w:tab w:leader="none" w:pos="68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right="20" w:firstLine="514"/>
        <w:spacing w:after="0" w:line="281" w:lineRule="auto"/>
        <w:tabs>
          <w:tab w:leader="none" w:pos="68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right="60" w:firstLine="514"/>
        <w:spacing w:after="0" w:line="281" w:lineRule="auto"/>
        <w:tabs>
          <w:tab w:leader="none" w:pos="68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sz w:val="20"/>
          <w:szCs w:val="20"/>
          <w:color w:val="auto"/>
        </w:rPr>
      </w:pPr>
    </w:p>
    <w:p>
      <w:pPr>
        <w:ind w:right="380" w:firstLine="514"/>
        <w:spacing w:after="0" w:line="368" w:lineRule="auto"/>
        <w:tabs>
          <w:tab w:leader="none" w:pos="1016" w:val="left"/>
        </w:tabs>
        <w:numPr>
          <w:ilvl w:val="0"/>
          <w:numId w:val="1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ind w:right="580" w:firstLine="514"/>
        <w:spacing w:after="0" w:line="368" w:lineRule="auto"/>
        <w:tabs>
          <w:tab w:leader="none" w:pos="1014" w:val="left"/>
        </w:tabs>
        <w:numPr>
          <w:ilvl w:val="0"/>
          <w:numId w:val="1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2"/>
          <w:szCs w:val="12"/>
          <w:color w:val="auto"/>
        </w:rPr>
      </w:pPr>
    </w:p>
    <w:p>
      <w:pPr>
        <w:ind w:right="160" w:firstLine="514"/>
        <w:spacing w:after="0" w:line="281" w:lineRule="auto"/>
        <w:tabs>
          <w:tab w:leader="none" w:pos="101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right="160" w:firstLine="514"/>
        <w:spacing w:after="0" w:line="321" w:lineRule="auto"/>
        <w:tabs>
          <w:tab w:leader="none" w:pos="101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right="200" w:firstLine="514"/>
        <w:spacing w:after="0" w:line="281" w:lineRule="auto"/>
        <w:tabs>
          <w:tab w:leader="none" w:pos="68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sz w:val="20"/>
          <w:szCs w:val="20"/>
          <w:color w:val="auto"/>
        </w:rPr>
      </w:pPr>
    </w:p>
    <w:p>
      <w:pPr>
        <w:ind w:right="520" w:firstLine="514"/>
        <w:spacing w:after="0" w:line="281" w:lineRule="auto"/>
        <w:tabs>
          <w:tab w:leader="none" w:pos="1016"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28, 2022</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356425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Willie Chiang</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729"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Al Swanson, certify that:</w:t>
      </w:r>
    </w:p>
    <w:p>
      <w:pPr>
        <w:spacing w:after="0" w:line="179" w:lineRule="exact"/>
        <w:rPr>
          <w:sz w:val="20"/>
          <w:szCs w:val="20"/>
          <w:color w:val="auto"/>
        </w:rPr>
      </w:pPr>
    </w:p>
    <w:p>
      <w:pPr>
        <w:ind w:left="700" w:hanging="186"/>
        <w:spacing w:after="0"/>
        <w:tabs>
          <w:tab w:leader="none" w:pos="7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Plains All American Pipeline, L.P. (the “registrant”);</w:t>
      </w:r>
    </w:p>
    <w:p>
      <w:pPr>
        <w:spacing w:after="0" w:line="178" w:lineRule="exact"/>
        <w:rPr>
          <w:rFonts w:ascii="Arial" w:cs="Arial" w:eastAsia="Arial" w:hAnsi="Arial"/>
          <w:sz w:val="14"/>
          <w:szCs w:val="14"/>
          <w:color w:val="auto"/>
        </w:rPr>
      </w:pPr>
    </w:p>
    <w:p>
      <w:pPr>
        <w:ind w:right="560" w:firstLine="514"/>
        <w:spacing w:after="0" w:line="281" w:lineRule="auto"/>
        <w:tabs>
          <w:tab w:leader="none" w:pos="68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right="20" w:firstLine="514"/>
        <w:spacing w:after="0" w:line="281" w:lineRule="auto"/>
        <w:tabs>
          <w:tab w:leader="none" w:pos="68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right="60" w:firstLine="514"/>
        <w:spacing w:after="0" w:line="281" w:lineRule="auto"/>
        <w:tabs>
          <w:tab w:leader="none" w:pos="68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380" w:firstLine="514"/>
        <w:spacing w:after="0" w:line="368" w:lineRule="auto"/>
        <w:tabs>
          <w:tab w:leader="none" w:pos="1016" w:val="left"/>
        </w:tabs>
        <w:numPr>
          <w:ilvl w:val="0"/>
          <w:numId w:val="1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2"/>
          <w:szCs w:val="12"/>
          <w:color w:val="auto"/>
        </w:rPr>
      </w:pPr>
    </w:p>
    <w:p>
      <w:pPr>
        <w:ind w:right="580" w:firstLine="514"/>
        <w:spacing w:after="0" w:line="368" w:lineRule="auto"/>
        <w:tabs>
          <w:tab w:leader="none" w:pos="101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2"/>
          <w:szCs w:val="12"/>
          <w:color w:val="auto"/>
        </w:rPr>
      </w:pPr>
    </w:p>
    <w:p>
      <w:pPr>
        <w:ind w:right="160" w:firstLine="514"/>
        <w:spacing w:after="0" w:line="281" w:lineRule="auto"/>
        <w:tabs>
          <w:tab w:leader="none" w:pos="1016" w:val="left"/>
        </w:tabs>
        <w:numPr>
          <w:ilvl w:val="0"/>
          <w:numId w:val="1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right="160" w:firstLine="514"/>
        <w:spacing w:after="0" w:line="321" w:lineRule="auto"/>
        <w:tabs>
          <w:tab w:leader="none" w:pos="1014" w:val="left"/>
        </w:tabs>
        <w:numPr>
          <w:ilvl w:val="0"/>
          <w:numId w:val="1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right="200" w:firstLine="514"/>
        <w:spacing w:after="0" w:line="281" w:lineRule="auto"/>
        <w:tabs>
          <w:tab w:leader="none" w:pos="686"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520" w:firstLine="514"/>
        <w:spacing w:after="0" w:line="281" w:lineRule="auto"/>
        <w:tabs>
          <w:tab w:leader="none" w:pos="101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28, 2022</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356425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 Swanson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729"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1350</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Willie Chiang, Chief Executive Officer of Plains All American Pipeline, L.P. (the “Company”), hereby certify that:</w:t>
      </w:r>
    </w:p>
    <w:p>
      <w:pPr>
        <w:spacing w:after="0" w:line="200" w:lineRule="exact"/>
        <w:rPr>
          <w:sz w:val="20"/>
          <w:szCs w:val="20"/>
          <w:color w:val="auto"/>
        </w:rPr>
      </w:pPr>
    </w:p>
    <w:p>
      <w:pPr>
        <w:ind w:right="160" w:firstLine="514"/>
        <w:spacing w:after="0" w:line="281" w:lineRule="auto"/>
        <w:tabs>
          <w:tab w:leader="none" w:pos="1049"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accompanying report on Form 10-K for the period ended December 31, 2021 and filed with the Securities and Exchange Commission on the date hereof (the “Report”) by the Company fully complies with the requirements of Section 13(a) or 15(d) of the Securities Exchange Act of 1934, as amended; and</w:t>
      </w:r>
    </w:p>
    <w:p>
      <w:pPr>
        <w:spacing w:after="0" w:line="47" w:lineRule="exact"/>
        <w:rPr>
          <w:rFonts w:ascii="Arial" w:cs="Arial" w:eastAsia="Arial" w:hAnsi="Arial"/>
          <w:sz w:val="14"/>
          <w:szCs w:val="14"/>
          <w:color w:val="auto"/>
        </w:rPr>
      </w:pPr>
    </w:p>
    <w:p>
      <w:pPr>
        <w:ind w:left="1060" w:hanging="546"/>
        <w:spacing w:after="0"/>
        <w:tabs>
          <w:tab w:leader="none" w:pos="10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356425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 Willie Chiang</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Date: February 28, 2022</w:t>
      </w:r>
    </w:p>
    <w:p>
      <w:pPr>
        <w:sectPr>
          <w:pgSz w:w="11900" w:h="16838" w:orient="portrait"/>
          <w:cols w:equalWidth="0" w:num="1">
            <w:col w:w="11280"/>
          </w:cols>
          <w:pgMar w:left="300" w:top="729"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1350</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Al Swanson, Chief Financial Officer of Plains All American Pipeline, L.P. (the “Company”), hereby certify that:</w:t>
      </w:r>
    </w:p>
    <w:p>
      <w:pPr>
        <w:spacing w:after="0" w:line="179" w:lineRule="exact"/>
        <w:rPr>
          <w:sz w:val="20"/>
          <w:szCs w:val="20"/>
          <w:color w:val="auto"/>
        </w:rPr>
      </w:pPr>
    </w:p>
    <w:p>
      <w:pPr>
        <w:ind w:right="160" w:firstLine="514"/>
        <w:spacing w:after="0" w:line="281" w:lineRule="auto"/>
        <w:tabs>
          <w:tab w:leader="none" w:pos="104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accompanying report on Form 10-K for the period ended December 31, 2021 and filed with the Securities and Exchange Commission on the date hereof (the “Report”) by the Company fully complies with the requirements of Section 13(a) or 15(d) of the Securities Exchange Act of 1934, as amended; and</w:t>
      </w:r>
    </w:p>
    <w:p>
      <w:pPr>
        <w:spacing w:after="0" w:line="47" w:lineRule="exact"/>
        <w:rPr>
          <w:rFonts w:ascii="Arial" w:cs="Arial" w:eastAsia="Arial" w:hAnsi="Arial"/>
          <w:sz w:val="14"/>
          <w:szCs w:val="14"/>
          <w:color w:val="auto"/>
        </w:rPr>
      </w:pPr>
    </w:p>
    <w:p>
      <w:pPr>
        <w:ind w:left="1060" w:hanging="546"/>
        <w:spacing w:after="0"/>
        <w:tabs>
          <w:tab w:leader="none" w:pos="10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356425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 Al Swanson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Date: February 28, 2022</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1)"/>
      <w:numFmt w:val="decimal"/>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lvl w:ilvl="1">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1)"/>
      <w:numFmt w:val="decimal"/>
      <w:start w:val="1"/>
    </w:lvl>
  </w:abstractNum>
  <w:abstractNum w:abstractNumId="10">
    <w:nsid w:val="168E121F"/>
    <w:multiLevelType w:val="hybridMultilevel"/>
    <w:lvl w:ilvl="0">
      <w:lvlJc w:val="left"/>
      <w:lvlText w:val="(%1)"/>
      <w:numFmt w:val="decimal"/>
      <w:start w:val="2"/>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1)"/>
      <w:numFmt w:val="decimal"/>
      <w:start w:val="1"/>
    </w:lvl>
  </w:abstractNum>
  <w:abstractNum w:abstractNumId="17">
    <w:nsid w:val="613EFDC5"/>
    <w:multiLevelType w:val="hybridMultilevel"/>
    <w:lvl w:ilvl="0">
      <w:lvlJc w:val="left"/>
      <w:lvlText w:val="(%1)"/>
      <w:numFmt w:val="lowerRoman"/>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1)"/>
      <w:numFmt w:val="lowerRoman"/>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lowerRoman"/>
      <w:start w:val="2"/>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1)"/>
      <w:numFmt w:val="lowerRoman"/>
      <w:start w:val="4"/>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1)"/>
      <w:numFmt w:val="lowerRoman"/>
      <w:start w:val="1"/>
    </w:lvl>
  </w:abstractNum>
  <w:abstractNum w:abstractNumId="53">
    <w:nsid w:val="60EF0119"/>
    <w:multiLevelType w:val="hybridMultilevel"/>
    <w:lvl w:ilvl="0">
      <w:lvlJc w:val="left"/>
      <w:lvlText w:val="(%1)"/>
      <w:numFmt w:val="decimal"/>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1)"/>
      <w:numFmt w:val="decimal"/>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1)"/>
      <w:numFmt w:val="decimal"/>
      <w:start w:val="1"/>
    </w:lvl>
  </w:abstractNum>
  <w:abstractNum w:abstractNumId="60">
    <w:nsid w:val="488AC1A"/>
    <w:multiLevelType w:val="hybridMultilevel"/>
    <w:lvl w:ilvl="0">
      <w:lvlJc w:val="left"/>
      <w:lvlText w:val="(%1)"/>
      <w:numFmt w:val="decimal"/>
      <w:start w:val="3"/>
    </w:lvl>
  </w:abstractNum>
  <w:abstractNum w:abstractNumId="61">
    <w:nsid w:val="5FB8011C"/>
    <w:multiLevelType w:val="hybridMultilevel"/>
    <w:lvl w:ilvl="0">
      <w:lvlJc w:val="left"/>
      <w:lvlText w:val="(%1)"/>
      <w:numFmt w:val="decimal"/>
      <w:start w:val="1"/>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decimal"/>
      <w:start w:val="2"/>
    </w:lvl>
  </w:abstractNum>
  <w:abstractNum w:abstractNumId="65">
    <w:nsid w:val="6A5F7029"/>
    <w:multiLevelType w:val="hybridMultilevel"/>
    <w:lvl w:ilvl="0">
      <w:lvlJc w:val="left"/>
      <w:lvlText w:val="(%1)"/>
      <w:numFmt w:val="decimal"/>
      <w:start w:val="1"/>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1)"/>
      <w:numFmt w:val="decimal"/>
      <w:start w:val="2"/>
    </w:lvl>
  </w:abstractNum>
  <w:abstractNum w:abstractNumId="73">
    <w:nsid w:val="6A3DD3E8"/>
    <w:multiLevelType w:val="hybridMultilevel"/>
    <w:lvl w:ilvl="0">
      <w:lvlJc w:val="left"/>
      <w:lvlText w:val="(%1)"/>
      <w:numFmt w:val="decimal"/>
      <w:start w:val="3"/>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lowerRoman"/>
      <w:start w:val="2"/>
    </w:lvl>
  </w:abstractNum>
  <w:abstractNum w:abstractNumId="78">
    <w:nsid w:val="5092CA79"/>
    <w:multiLevelType w:val="hybridMultilevel"/>
    <w:lvl w:ilvl="0">
      <w:lvlJc w:val="left"/>
      <w:lvlText w:val="(%1)"/>
      <w:numFmt w:val="decimal"/>
      <w:start w:val="1"/>
    </w:lvl>
  </w:abstractNum>
  <w:abstractNum w:abstractNumId="79">
    <w:nsid w:val="1D545C4D"/>
    <w:multiLevelType w:val="hybridMultilevel"/>
    <w:lvl w:ilvl="0">
      <w:lvlJc w:val="left"/>
      <w:lvlText w:val="(%1)"/>
      <w:numFmt w:val="decimal"/>
      <w:start w:val="1"/>
    </w:lvl>
  </w:abstractNum>
  <w:abstractNum w:abstractNumId="80">
    <w:nsid w:val="59ADEA3D"/>
    <w:multiLevelType w:val="hybridMultilevel"/>
    <w:lvl w:ilvl="0">
      <w:lvlJc w:val="left"/>
      <w:lvlText w:val="(%1)"/>
      <w:numFmt w:val="decimal"/>
      <w:start w:val="1"/>
    </w:lvl>
  </w:abstractNum>
  <w:abstractNum w:abstractNumId="81">
    <w:nsid w:val="288F1A34"/>
    <w:multiLevelType w:val="hybridMultilevel"/>
    <w:lvl w:ilvl="0">
      <w:lvlJc w:val="left"/>
      <w:lvlText w:val="(%1)"/>
      <w:numFmt w:val="decimal"/>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1)"/>
      <w:numFmt w:val="decimal"/>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1)"/>
      <w:numFmt w:val="decimal"/>
      <w:start w:val="4"/>
    </w:lvl>
  </w:abstractNum>
  <w:abstractNum w:abstractNumId="93">
    <w:nsid w:val="E7FFA2B"/>
    <w:multiLevelType w:val="hybridMultilevel"/>
    <w:lvl w:ilvl="0">
      <w:lvlJc w:val="left"/>
      <w:lvlText w:val="(%1)"/>
      <w:numFmt w:val="decimal"/>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1)"/>
      <w:numFmt w:val="decimal"/>
      <w:start w:val="1"/>
    </w:lvl>
  </w:abstractNum>
  <w:abstractNum w:abstractNumId="97">
    <w:nsid w:val="39B7AAA2"/>
    <w:multiLevelType w:val="hybridMultilevel"/>
    <w:lvl w:ilvl="0">
      <w:lvlJc w:val="left"/>
      <w:lvlText w:val="(%1)"/>
      <w:numFmt w:val="decimal"/>
      <w:start w:val="1"/>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1)"/>
      <w:numFmt w:val="decimal"/>
      <w:start w:val="1"/>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1)"/>
      <w:numFmt w:val="decimal"/>
      <w:start w:val="1"/>
    </w:lvl>
  </w:abstractNum>
  <w:abstractNum w:abstractNumId="106">
    <w:nsid w:val="5675FF36"/>
    <w:multiLevelType w:val="hybridMultilevel"/>
    <w:lvl w:ilvl="0">
      <w:lvlJc w:val="left"/>
      <w:lvlText w:val="(%1)"/>
      <w:numFmt w:val="decimal"/>
      <w:start w:val="1"/>
    </w:lvl>
  </w:abstractNum>
  <w:abstractNum w:abstractNumId="107">
    <w:nsid w:val="3DD15094"/>
    <w:multiLevelType w:val="hybridMultilevel"/>
    <w:lvl w:ilvl="0">
      <w:lvlJc w:val="left"/>
      <w:lvlText w:val="(%1)"/>
      <w:numFmt w:val="decimal"/>
      <w:start w:val="2"/>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1)"/>
      <w:numFmt w:val="decimal"/>
      <w:start w:val="1"/>
    </w:lvl>
  </w:abstractNum>
  <w:abstractNum w:abstractNumId="110">
    <w:nsid w:val="5B25ACE2"/>
    <w:multiLevelType w:val="hybridMultilevel"/>
    <w:lvl w:ilvl="0">
      <w:lvlJc w:val="left"/>
      <w:lvlText w:val="(%1)"/>
      <w:numFmt w:val="decimal"/>
      <w:start w:val="1"/>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decimal"/>
      <w:start w:val="3"/>
    </w:lvl>
  </w:abstractNum>
  <w:abstractNum w:abstractNumId="113">
    <w:nsid w:val="53B0A9E"/>
    <w:multiLevelType w:val="hybridMultilevel"/>
    <w:lvl w:ilvl="0">
      <w:lvlJc w:val="left"/>
      <w:lvlText w:val="(%1)"/>
      <w:numFmt w:val="decimal"/>
      <w:start w:val="1"/>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
      <w:numFmt w:val="bullet"/>
      <w:start w:val="1"/>
    </w:lvl>
  </w:abstractNum>
  <w:abstractNum w:abstractNumId="119">
    <w:nsid w:val="17A1B582"/>
    <w:multiLevelType w:val="hybridMultilevel"/>
    <w:lvl w:ilvl="0">
      <w:lvlJc w:val="left"/>
      <w:lvlText w:val="•"/>
      <w:numFmt w:val="bullet"/>
      <w:start w:val="1"/>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decimal"/>
      <w:start w:val="5"/>
    </w:lvl>
  </w:abstractNum>
  <w:abstractNum w:abstractNumId="127">
    <w:nsid w:val="57A61A29"/>
    <w:multiLevelType w:val="hybridMultilevel"/>
    <w:lvl w:ilvl="0">
      <w:lvlJc w:val="left"/>
      <w:lvlText w:val="(%1)"/>
      <w:numFmt w:val="lowerLetter"/>
      <w:start w:val="1"/>
    </w:lvl>
  </w:abstractNum>
  <w:abstractNum w:abstractNumId="128">
    <w:nsid w:val="5399C654"/>
    <w:multiLevelType w:val="hybridMultilevel"/>
    <w:lvl w:ilvl="0">
      <w:lvlJc w:val="left"/>
      <w:lvlText w:val="%1."/>
      <w:numFmt w:val="decimal"/>
      <w:start w:val="1"/>
    </w:lvl>
  </w:abstractNum>
  <w:abstractNum w:abstractNumId="129">
    <w:nsid w:val="20EE1348"/>
    <w:multiLevelType w:val="hybridMultilevel"/>
    <w:lvl w:ilvl="0">
      <w:lvlJc w:val="left"/>
      <w:lvlText w:val="(%1)"/>
      <w:numFmt w:val="lowerLetter"/>
      <w:start w:val="1"/>
    </w:lvl>
  </w:abstractNum>
  <w:abstractNum w:abstractNumId="130">
    <w:nsid w:val="4427069A"/>
    <w:multiLevelType w:val="hybridMultilevel"/>
    <w:lvl w:ilvl="0">
      <w:lvlJc w:val="left"/>
      <w:lvlText w:val="%1."/>
      <w:numFmt w:val="decimal"/>
      <w:start w:val="5"/>
    </w:lvl>
  </w:abstractNum>
  <w:abstractNum w:abstractNumId="131">
    <w:nsid w:val="B37E80A"/>
    <w:multiLevelType w:val="hybridMultilevel"/>
    <w:lvl w:ilvl="0">
      <w:lvlJc w:val="left"/>
      <w:lvlText w:val="(%1)"/>
      <w:numFmt w:val="lowerLetter"/>
      <w:start w:val="1"/>
    </w:lvl>
  </w:abstractNum>
  <w:abstractNum w:abstractNumId="132">
    <w:nsid w:val="2157F6BC"/>
    <w:multiLevelType w:val="hybridMultilevel"/>
    <w:lvl w:ilvl="0">
      <w:lvlJc w:val="left"/>
      <w:lvlText w:val="(%1)"/>
      <w:numFmt w:val="lowerRoman"/>
      <w:start w:val="1"/>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219" Type="http://schemas.openxmlformats.org/officeDocument/2006/relationships/image" Target="media/image137.png"/><Relationship Id="rId220" Type="http://schemas.openxmlformats.org/officeDocument/2006/relationships/image" Target="media/image138.png"/><Relationship Id="rId228" Type="http://schemas.openxmlformats.org/officeDocument/2006/relationships/image" Target="media/image139.png"/><Relationship Id="rId229" Type="http://schemas.openxmlformats.org/officeDocument/2006/relationships/image" Target="media/image140.png"/><Relationship Id="rId230" Type="http://schemas.openxmlformats.org/officeDocument/2006/relationships/image" Target="media/image141.png"/><Relationship Id="rId231" Type="http://schemas.openxmlformats.org/officeDocument/2006/relationships/image" Target="media/image142.png"/><Relationship Id="rId232" Type="http://schemas.openxmlformats.org/officeDocument/2006/relationships/image" Target="media/image143.png"/><Relationship Id="rId233" Type="http://schemas.openxmlformats.org/officeDocument/2006/relationships/image" Target="media/image144.png"/><Relationship Id="rId234" Type="http://schemas.openxmlformats.org/officeDocument/2006/relationships/image" Target="media/image145.png"/><Relationship Id="rId235" Type="http://schemas.openxmlformats.org/officeDocument/2006/relationships/image" Target="media/image146.png"/><Relationship Id="rId236" Type="http://schemas.openxmlformats.org/officeDocument/2006/relationships/image" Target="media/image147.png"/><Relationship Id="rId237" Type="http://schemas.openxmlformats.org/officeDocument/2006/relationships/image" Target="media/image148.png"/><Relationship Id="rId238" Type="http://schemas.openxmlformats.org/officeDocument/2006/relationships/image" Target="media/image149.png"/><Relationship Id="rId239" Type="http://schemas.openxmlformats.org/officeDocument/2006/relationships/image" Target="media/image150.png"/><Relationship Id="rId240" Type="http://schemas.openxmlformats.org/officeDocument/2006/relationships/image" Target="media/image151.png"/><Relationship Id="rId241" Type="http://schemas.openxmlformats.org/officeDocument/2006/relationships/image" Target="media/image152.png"/><Relationship Id="rId242" Type="http://schemas.openxmlformats.org/officeDocument/2006/relationships/image" Target="media/image153.png"/><Relationship Id="rId243" Type="http://schemas.openxmlformats.org/officeDocument/2006/relationships/image" Target="media/image154.png"/><Relationship Id="rId244" Type="http://schemas.openxmlformats.org/officeDocument/2006/relationships/image" Target="media/image155.png"/><Relationship Id="rId245" Type="http://schemas.openxmlformats.org/officeDocument/2006/relationships/image" Target="media/image156.png"/><Relationship Id="rId246" Type="http://schemas.openxmlformats.org/officeDocument/2006/relationships/image" Target="media/image157.png"/><Relationship Id="rId247" Type="http://schemas.openxmlformats.org/officeDocument/2006/relationships/image" Target="media/image158.png"/><Relationship Id="rId248" Type="http://schemas.openxmlformats.org/officeDocument/2006/relationships/image" Target="media/image159.png"/><Relationship Id="rId249" Type="http://schemas.openxmlformats.org/officeDocument/2006/relationships/image" Target="media/image160.png"/><Relationship Id="rId250" Type="http://schemas.openxmlformats.org/officeDocument/2006/relationships/image" Target="media/image161.png"/><Relationship Id="rId251" Type="http://schemas.openxmlformats.org/officeDocument/2006/relationships/image" Target="media/image162.png"/><Relationship Id="rId252" Type="http://schemas.openxmlformats.org/officeDocument/2006/relationships/image" Target="media/image163.png"/><Relationship Id="rId253" Type="http://schemas.openxmlformats.org/officeDocument/2006/relationships/image" Target="media/image164.png"/><Relationship Id="rId254" Type="http://schemas.openxmlformats.org/officeDocument/2006/relationships/image" Target="media/image165.png"/><Relationship Id="rId255" Type="http://schemas.openxmlformats.org/officeDocument/2006/relationships/image" Target="media/image166.png"/><Relationship Id="rId256" Type="http://schemas.openxmlformats.org/officeDocument/2006/relationships/image" Target="media/image167.png"/><Relationship Id="rId257" Type="http://schemas.openxmlformats.org/officeDocument/2006/relationships/image" Target="media/image168.png"/><Relationship Id="rId258" Type="http://schemas.openxmlformats.org/officeDocument/2006/relationships/image" Target="media/image169.png"/><Relationship Id="rId259" Type="http://schemas.openxmlformats.org/officeDocument/2006/relationships/image" Target="media/image170.png"/><Relationship Id="rId260" Type="http://schemas.openxmlformats.org/officeDocument/2006/relationships/image" Target="media/image171.png"/><Relationship Id="rId261" Type="http://schemas.openxmlformats.org/officeDocument/2006/relationships/image" Target="media/image172.png"/><Relationship Id="rId262" Type="http://schemas.openxmlformats.org/officeDocument/2006/relationships/image" Target="media/image173.png"/><Relationship Id="rId263" Type="http://schemas.openxmlformats.org/officeDocument/2006/relationships/image" Target="media/image174.png"/><Relationship Id="rId264" Type="http://schemas.openxmlformats.org/officeDocument/2006/relationships/image" Target="media/image175.png"/><Relationship Id="rId265" Type="http://schemas.openxmlformats.org/officeDocument/2006/relationships/image" Target="media/image176.png"/><Relationship Id="rId266" Type="http://schemas.openxmlformats.org/officeDocument/2006/relationships/image" Target="media/image177.png"/><Relationship Id="rId267" Type="http://schemas.openxmlformats.org/officeDocument/2006/relationships/image" Target="media/image178.png"/><Relationship Id="rId268" Type="http://schemas.openxmlformats.org/officeDocument/2006/relationships/image" Target="media/image179.png"/><Relationship Id="rId269" Type="http://schemas.openxmlformats.org/officeDocument/2006/relationships/image" Target="media/image180.png"/><Relationship Id="rId270" Type="http://schemas.openxmlformats.org/officeDocument/2006/relationships/image" Target="media/image181.png"/><Relationship Id="rId271" Type="http://schemas.openxmlformats.org/officeDocument/2006/relationships/image" Target="media/image182.png"/><Relationship Id="rId272" Type="http://schemas.openxmlformats.org/officeDocument/2006/relationships/image" Target="media/image183.png"/><Relationship Id="rId273" Type="http://schemas.openxmlformats.org/officeDocument/2006/relationships/image" Target="media/image184.png"/><Relationship Id="rId274" Type="http://schemas.openxmlformats.org/officeDocument/2006/relationships/image" Target="media/image185.png"/><Relationship Id="rId275" Type="http://schemas.openxmlformats.org/officeDocument/2006/relationships/image" Target="media/image186.png"/><Relationship Id="rId276" Type="http://schemas.openxmlformats.org/officeDocument/2006/relationships/image" Target="media/image187.png"/><Relationship Id="rId277" Type="http://schemas.openxmlformats.org/officeDocument/2006/relationships/image" Target="media/image188.png"/><Relationship Id="rId278" Type="http://schemas.openxmlformats.org/officeDocument/2006/relationships/image" Target="media/image189.png"/><Relationship Id="rId279" Type="http://schemas.openxmlformats.org/officeDocument/2006/relationships/image" Target="media/image190.png"/><Relationship Id="rId280" Type="http://schemas.openxmlformats.org/officeDocument/2006/relationships/image" Target="media/image191.png"/><Relationship Id="rId281" Type="http://schemas.openxmlformats.org/officeDocument/2006/relationships/image" Target="media/image192.png"/><Relationship Id="rId282" Type="http://schemas.openxmlformats.org/officeDocument/2006/relationships/image" Target="media/image193.png"/><Relationship Id="rId283" Type="http://schemas.openxmlformats.org/officeDocument/2006/relationships/image" Target="media/image194.png"/><Relationship Id="rId284" Type="http://schemas.openxmlformats.org/officeDocument/2006/relationships/image" Target="media/image195.png"/><Relationship Id="rId285" Type="http://schemas.openxmlformats.org/officeDocument/2006/relationships/image" Target="media/image196.png"/><Relationship Id="rId286" Type="http://schemas.openxmlformats.org/officeDocument/2006/relationships/image" Target="media/image197.png"/><Relationship Id="rId287" Type="http://schemas.openxmlformats.org/officeDocument/2006/relationships/image" Target="media/image198.png"/><Relationship Id="rId288" Type="http://schemas.openxmlformats.org/officeDocument/2006/relationships/image" Target="media/image199.png"/><Relationship Id="rId289" Type="http://schemas.openxmlformats.org/officeDocument/2006/relationships/image" Target="media/image200.png"/><Relationship Id="rId290" Type="http://schemas.openxmlformats.org/officeDocument/2006/relationships/image" Target="media/image201.png"/><Relationship Id="rId291" Type="http://schemas.openxmlformats.org/officeDocument/2006/relationships/image" Target="media/image202.png"/><Relationship Id="rId292" Type="http://schemas.openxmlformats.org/officeDocument/2006/relationships/image" Target="media/image203.png"/><Relationship Id="rId293" Type="http://schemas.openxmlformats.org/officeDocument/2006/relationships/image" Target="media/image204.png"/><Relationship Id="rId294" Type="http://schemas.openxmlformats.org/officeDocument/2006/relationships/image" Target="media/image205.png"/><Relationship Id="rId295" Type="http://schemas.openxmlformats.org/officeDocument/2006/relationships/image" Target="media/image206.png"/><Relationship Id="rId296" Type="http://schemas.openxmlformats.org/officeDocument/2006/relationships/image" Target="media/image207.png"/><Relationship Id="rId297" Type="http://schemas.openxmlformats.org/officeDocument/2006/relationships/image" Target="media/image208.png"/><Relationship Id="rId298" Type="http://schemas.openxmlformats.org/officeDocument/2006/relationships/image" Target="media/image209.png"/><Relationship Id="rId299" Type="http://schemas.openxmlformats.org/officeDocument/2006/relationships/image" Target="media/image210.png"/><Relationship Id="rId300" Type="http://schemas.openxmlformats.org/officeDocument/2006/relationships/image" Target="media/image211.png"/><Relationship Id="rId301" Type="http://schemas.openxmlformats.org/officeDocument/2006/relationships/image" Target="media/image212.png"/><Relationship Id="rId302" Type="http://schemas.openxmlformats.org/officeDocument/2006/relationships/image" Target="media/image213.png"/><Relationship Id="rId303" Type="http://schemas.openxmlformats.org/officeDocument/2006/relationships/image" Target="media/image214.png"/><Relationship Id="rId304" Type="http://schemas.openxmlformats.org/officeDocument/2006/relationships/image" Target="media/image215.png"/><Relationship Id="rId305" Type="http://schemas.openxmlformats.org/officeDocument/2006/relationships/image" Target="media/image216.png"/><Relationship Id="rId306" Type="http://schemas.openxmlformats.org/officeDocument/2006/relationships/image" Target="media/image217.png"/><Relationship Id="rId307" Type="http://schemas.openxmlformats.org/officeDocument/2006/relationships/image" Target="media/image218.png"/><Relationship Id="rId308" Type="http://schemas.openxmlformats.org/officeDocument/2006/relationships/image" Target="media/image219.png"/><Relationship Id="rId309" Type="http://schemas.openxmlformats.org/officeDocument/2006/relationships/image" Target="media/image220.png"/><Relationship Id="rId310" Type="http://schemas.openxmlformats.org/officeDocument/2006/relationships/image" Target="media/image221.png"/><Relationship Id="rId311" Type="http://schemas.openxmlformats.org/officeDocument/2006/relationships/image" Target="media/image222.png"/><Relationship Id="rId312" Type="http://schemas.openxmlformats.org/officeDocument/2006/relationships/image" Target="media/image223.png"/><Relationship Id="rId313" Type="http://schemas.openxmlformats.org/officeDocument/2006/relationships/image" Target="media/image224.png"/><Relationship Id="rId314" Type="http://schemas.openxmlformats.org/officeDocument/2006/relationships/image" Target="media/image225.png"/><Relationship Id="rId315" Type="http://schemas.openxmlformats.org/officeDocument/2006/relationships/image" Target="media/image226.png"/><Relationship Id="rId316" Type="http://schemas.openxmlformats.org/officeDocument/2006/relationships/image" Target="media/image227.png"/><Relationship Id="rId317" Type="http://schemas.openxmlformats.org/officeDocument/2006/relationships/image" Target="media/image228.png"/><Relationship Id="rId318" Type="http://schemas.openxmlformats.org/officeDocument/2006/relationships/image" Target="media/image229.png"/><Relationship Id="rId319" Type="http://schemas.openxmlformats.org/officeDocument/2006/relationships/image" Target="media/image230.png"/><Relationship Id="rId320" Type="http://schemas.openxmlformats.org/officeDocument/2006/relationships/image" Target="media/image231.png"/><Relationship Id="rId321" Type="http://schemas.openxmlformats.org/officeDocument/2006/relationships/image" Target="media/image232.png"/><Relationship Id="rId322" Type="http://schemas.openxmlformats.org/officeDocument/2006/relationships/image" Target="media/image233.png"/><Relationship Id="rId323" Type="http://schemas.openxmlformats.org/officeDocument/2006/relationships/image" Target="media/image234.png"/><Relationship Id="rId324" Type="http://schemas.openxmlformats.org/officeDocument/2006/relationships/image" Target="media/image235.png"/><Relationship Id="rId325" Type="http://schemas.openxmlformats.org/officeDocument/2006/relationships/image" Target="media/image236.png"/><Relationship Id="rId326" Type="http://schemas.openxmlformats.org/officeDocument/2006/relationships/image" Target="media/image237.png"/><Relationship Id="rId327" Type="http://schemas.openxmlformats.org/officeDocument/2006/relationships/image" Target="media/image238.png"/><Relationship Id="rId328" Type="http://schemas.openxmlformats.org/officeDocument/2006/relationships/image" Target="media/image239.png"/><Relationship Id="rId329" Type="http://schemas.openxmlformats.org/officeDocument/2006/relationships/image" Target="media/image240.png"/><Relationship Id="rId330" Type="http://schemas.openxmlformats.org/officeDocument/2006/relationships/image" Target="media/image241.png"/><Relationship Id="rId331" Type="http://schemas.openxmlformats.org/officeDocument/2006/relationships/image" Target="media/image242.png"/><Relationship Id="rId332" Type="http://schemas.openxmlformats.org/officeDocument/2006/relationships/image" Target="media/image243.png"/><Relationship Id="rId333" Type="http://schemas.openxmlformats.org/officeDocument/2006/relationships/image" Target="media/image244.png"/><Relationship Id="rId334" Type="http://schemas.openxmlformats.org/officeDocument/2006/relationships/image" Target="media/image245.png"/><Relationship Id="rId335" Type="http://schemas.openxmlformats.org/officeDocument/2006/relationships/image" Target="media/image246.png"/><Relationship Id="rId336" Type="http://schemas.openxmlformats.org/officeDocument/2006/relationships/image" Target="media/image247.png"/><Relationship Id="rId337" Type="http://schemas.openxmlformats.org/officeDocument/2006/relationships/image" Target="media/image248.png"/><Relationship Id="rId338" Type="http://schemas.openxmlformats.org/officeDocument/2006/relationships/image" Target="media/image249.png"/><Relationship Id="rId339" Type="http://schemas.openxmlformats.org/officeDocument/2006/relationships/image" Target="media/image250.png"/><Relationship Id="rId340" Type="http://schemas.openxmlformats.org/officeDocument/2006/relationships/image" Target="media/image251.png"/><Relationship Id="rId341" Type="http://schemas.openxmlformats.org/officeDocument/2006/relationships/image" Target="media/image252.png"/><Relationship Id="rId342" Type="http://schemas.openxmlformats.org/officeDocument/2006/relationships/image" Target="media/image253.png"/><Relationship Id="rId343" Type="http://schemas.openxmlformats.org/officeDocument/2006/relationships/image" Target="media/image254.png"/><Relationship Id="rId344" Type="http://schemas.openxmlformats.org/officeDocument/2006/relationships/image" Target="media/image255.png"/><Relationship Id="rId345" Type="http://schemas.openxmlformats.org/officeDocument/2006/relationships/image" Target="media/image256.png"/><Relationship Id="rId346" Type="http://schemas.openxmlformats.org/officeDocument/2006/relationships/image" Target="media/image257.png"/><Relationship Id="rId347" Type="http://schemas.openxmlformats.org/officeDocument/2006/relationships/image" Target="media/image258.png"/><Relationship Id="rId348" Type="http://schemas.openxmlformats.org/officeDocument/2006/relationships/image" Target="media/image259.png"/><Relationship Id="rId349" Type="http://schemas.openxmlformats.org/officeDocument/2006/relationships/image" Target="media/image260.png"/><Relationship Id="rId350" Type="http://schemas.openxmlformats.org/officeDocument/2006/relationships/image" Target="media/image261.png"/><Relationship Id="rId351" Type="http://schemas.openxmlformats.org/officeDocument/2006/relationships/image" Target="media/image262.png"/><Relationship Id="rId352" Type="http://schemas.openxmlformats.org/officeDocument/2006/relationships/image" Target="media/image263.png"/><Relationship Id="rId353" Type="http://schemas.openxmlformats.org/officeDocument/2006/relationships/image" Target="media/image264.png"/><Relationship Id="rId354" Type="http://schemas.openxmlformats.org/officeDocument/2006/relationships/image" Target="media/image265.png"/><Relationship Id="rId355" Type="http://schemas.openxmlformats.org/officeDocument/2006/relationships/image" Target="media/image266.png"/><Relationship Id="rId356" Type="http://schemas.openxmlformats.org/officeDocument/2006/relationships/image" Target="media/image267.png"/><Relationship Id="rId357" Type="http://schemas.openxmlformats.org/officeDocument/2006/relationships/image" Target="media/image268.png"/><Relationship Id="rId358" Type="http://schemas.openxmlformats.org/officeDocument/2006/relationships/image" Target="media/image269.png"/><Relationship Id="rId359" Type="http://schemas.openxmlformats.org/officeDocument/2006/relationships/image" Target="media/image270.png"/><Relationship Id="rId360" Type="http://schemas.openxmlformats.org/officeDocument/2006/relationships/image" Target="media/image271.png"/><Relationship Id="rId361" Type="http://schemas.openxmlformats.org/officeDocument/2006/relationships/image" Target="media/image272.png"/><Relationship Id="rId362" Type="http://schemas.openxmlformats.org/officeDocument/2006/relationships/image" Target="media/image273.png"/><Relationship Id="rId363" Type="http://schemas.openxmlformats.org/officeDocument/2006/relationships/image" Target="media/image274.png"/><Relationship Id="rId364" Type="http://schemas.openxmlformats.org/officeDocument/2006/relationships/image" Target="media/image275.png"/><Relationship Id="rId365" Type="http://schemas.openxmlformats.org/officeDocument/2006/relationships/image" Target="media/image276.png"/><Relationship Id="rId366" Type="http://schemas.openxmlformats.org/officeDocument/2006/relationships/image" Target="media/image277.png"/><Relationship Id="rId367" Type="http://schemas.openxmlformats.org/officeDocument/2006/relationships/image" Target="media/image278.png"/><Relationship Id="rId368" Type="http://schemas.openxmlformats.org/officeDocument/2006/relationships/image" Target="media/image279.png"/><Relationship Id="rId369" Type="http://schemas.openxmlformats.org/officeDocument/2006/relationships/image" Target="media/image280.png"/><Relationship Id="rId136" Type="http://schemas.openxmlformats.org/officeDocument/2006/relationships/hyperlink" Target="http://www.sec.gov/Archives/edgar/data/1070423/000110465916132668/a16-14925_1ex2d1.htm" TargetMode="External"/><Relationship Id="rId137" Type="http://schemas.openxmlformats.org/officeDocument/2006/relationships/hyperlink" Target="https://www.sec.gov/Archives/edgar/data/1070423/000110465921091443/tm2121935d1_ex2-1.htm" TargetMode="External"/><Relationship Id="rId138" Type="http://schemas.openxmlformats.org/officeDocument/2006/relationships/hyperlink" Target="http://www.sec.gov/Archives/edgar/data/1070423/000110465917061889/a17-22685_5ex3d1.htm" TargetMode="External"/><Relationship Id="rId139" Type="http://schemas.openxmlformats.org/officeDocument/2006/relationships/hyperlink" Target="http://www.sec.gov/Archives/edgar/data/1070423/000104746904016502/a2135501zex-3_2.htm" TargetMode="External"/><Relationship Id="rId140" Type="http://schemas.openxmlformats.org/officeDocument/2006/relationships/hyperlink" Target="http://www.sec.gov/Archives/edgar/data/1070423/000110465911010359/a11-2319_1ex3d9.htm" TargetMode="External"/><Relationship Id="rId141" Type="http://schemas.openxmlformats.org/officeDocument/2006/relationships/hyperlink" Target="http://www.sec.gov/Archives/edgar/data/1070423/000110465911010359/a11-2319_1ex3d10.htm" TargetMode="External"/><Relationship Id="rId142" Type="http://schemas.openxmlformats.org/officeDocument/2006/relationships/hyperlink" Target="http://www.sec.gov/Archives/edgar/data/1070423/000110465914014322/a13-25941_1ex3d7.htm" TargetMode="External"/><Relationship Id="rId143" Type="http://schemas.openxmlformats.org/officeDocument/2006/relationships/hyperlink" Target="http://www.sec.gov/Archives/edgar/data/1070423/000110465914014322/a13-25941_1ex3d8.htm" TargetMode="External"/><Relationship Id="rId144" Type="http://schemas.openxmlformats.org/officeDocument/2006/relationships/hyperlink" Target="http://www.sec.gov/Archives/edgar/data/1070423/000107042320000004/paa201910-kexhibit37.htm" TargetMode="External"/><Relationship Id="rId145" Type="http://schemas.openxmlformats.org/officeDocument/2006/relationships/hyperlink" Target="http://www.sec.gov/Archives/edgar/data/1070423/000104746904016502/a2135501zex-3_3.htm" TargetMode="External"/><Relationship Id="rId146" Type="http://schemas.openxmlformats.org/officeDocument/2006/relationships/hyperlink" Target="http://www.sec.gov/Archives/edgar/data/1070423/000110465914014322/a13-25941_1ex3d10.htm" TargetMode="External"/><Relationship Id="rId149" Type="http://schemas.openxmlformats.org/officeDocument/2006/relationships/hyperlink" Target="http://www.sec.gov/Archives/edgar/data/1070423/000110465916158355/a16-21841_1ex3d3.htm" TargetMode="External"/><Relationship Id="rId150" Type="http://schemas.openxmlformats.org/officeDocument/2006/relationships/hyperlink" Target="http://www.sec.gov/Archives/edgar/data/1070423/000110465916158355/a16-21841_1ex3d4.htm" TargetMode="External"/><Relationship Id="rId151" Type="http://schemas.openxmlformats.org/officeDocument/2006/relationships/hyperlink" Target="http://www.sec.gov/Archives/edgar/data/1070423/000110465918060011/a18-36196_1ex3d1.htm" TargetMode="External"/><Relationship Id="rId152" Type="http://schemas.openxmlformats.org/officeDocument/2006/relationships/hyperlink" Target="http://www.sec.gov/Archives/edgar/data/1070423/000110465919032810/a19-10856_1ex3d1.htm" TargetMode="External"/><Relationship Id="rId153" Type="http://schemas.openxmlformats.org/officeDocument/2006/relationships/hyperlink" Target="http://www.sec.gov/Archives/edgar/data/1070423/000095012907001096/h43224exv3w10.htm" TargetMode="External"/><Relationship Id="rId154" Type="http://schemas.openxmlformats.org/officeDocument/2006/relationships/hyperlink" Target="http://www.sec.gov/Archives/edgar/data/1070423/000095012907001096/h43224exv3w11.htm" TargetMode="External"/><Relationship Id="rId155" Type="http://schemas.openxmlformats.org/officeDocument/2006/relationships/hyperlink" Target="http://www.sec.gov/Archives/edgar/data/1070423/000095012908000071/h52770exv3w3.htm" TargetMode="External"/><Relationship Id="rId156" Type="http://schemas.openxmlformats.org/officeDocument/2006/relationships/hyperlink" Target="http://www.sec.gov/Archives/edgar/data/1581990/000104746913007875/a2216069zex-3_1.htm" TargetMode="External"/><Relationship Id="rId157" Type="http://schemas.openxmlformats.org/officeDocument/2006/relationships/hyperlink" Target="http://www.sec.gov/Archives/edgar/data/1581990/000110465916158356/a16-21845_1ex3d2.htm" TargetMode="External"/><Relationship Id="rId158" Type="http://schemas.openxmlformats.org/officeDocument/2006/relationships/hyperlink" Target="http://www.sec.gov/Archives/edgar/data/1581990/000158199020000012/exhibit31.htm" TargetMode="External"/><Relationship Id="rId159" Type="http://schemas.openxmlformats.org/officeDocument/2006/relationships/hyperlink" Target="http://www.sec.gov/Archives/edgar/data/1581990/000104746913007875/a2216069zex-3_3.htm" TargetMode="External"/><Relationship Id="rId160" Type="http://schemas.openxmlformats.org/officeDocument/2006/relationships/hyperlink" Target="http://www.sec.gov/Archives/edgar/data/1070423/000089924302002834/dex41.txt" TargetMode="External"/><Relationship Id="rId161" Type="http://schemas.openxmlformats.org/officeDocument/2006/relationships/hyperlink" Target="http://www.sec.gov/Archives/edgar/data/1070423/000110465906034368/a06-11663_1ex4d1.htm" TargetMode="External"/><Relationship Id="rId162" Type="http://schemas.openxmlformats.org/officeDocument/2006/relationships/hyperlink" Target="http://www.sec.gov/Archives/edgar/data/1070423/000095012906009235/h40667exv4w2.htm" TargetMode="External"/><Relationship Id="rId163" Type="http://schemas.openxmlformats.org/officeDocument/2006/relationships/hyperlink" Target="http://www.sec.gov/Archives/edgar/data/1070423/000119312512132295/d321017dex41.htm" TargetMode="External"/><Relationship Id="rId164" Type="http://schemas.openxmlformats.org/officeDocument/2006/relationships/hyperlink" Target="http://www.sec.gov/Archives/edgar/data/1070423/000119312512132295/d321017dex43.htm" TargetMode="External"/><Relationship Id="rId167" Type="http://schemas.openxmlformats.org/officeDocument/2006/relationships/hyperlink" Target="http://www.sec.gov/Archives/edgar/data/1070423/000119312512499932/d453762dex41.htm" TargetMode="External"/><Relationship Id="rId168" Type="http://schemas.openxmlformats.org/officeDocument/2006/relationships/hyperlink" Target="http://www.sec.gov/Archives/edgar/data/1070423/000119312512499932/d453762dex43.htm" TargetMode="External"/><Relationship Id="rId169" Type="http://schemas.openxmlformats.org/officeDocument/2006/relationships/hyperlink" Target="http://www.sec.gov/Archives/edgar/data/1070423/000119312513336066/d581734dex41.htm" TargetMode="External"/><Relationship Id="rId170" Type="http://schemas.openxmlformats.org/officeDocument/2006/relationships/hyperlink" Target="http://www.sec.gov/Archives/edgar/data/1070423/000119312514164183/d713938dex41.htm" TargetMode="External"/><Relationship Id="rId171" Type="http://schemas.openxmlformats.org/officeDocument/2006/relationships/hyperlink" Target="http://www.sec.gov/Archives/edgar/data/1070423/000119312514338289/d787160dex41.htm" TargetMode="External"/><Relationship Id="rId172" Type="http://schemas.openxmlformats.org/officeDocument/2006/relationships/hyperlink" Target="http://www.sec.gov/Archives/edgar/data/1070423/000119312514440007/d833885dex43.htm" TargetMode="External"/><Relationship Id="rId173" Type="http://schemas.openxmlformats.org/officeDocument/2006/relationships/hyperlink" Target="http://www.sec.gov/Archives/edgar/data/1070423/000119312515302829/d45393dex41.htm" TargetMode="External"/><Relationship Id="rId174" Type="http://schemas.openxmlformats.org/officeDocument/2006/relationships/hyperlink" Target="http://www.sec.gov/Archives/edgar/data/1070423/000110465916159593/a16-22232_1ex4d1.htm" TargetMode="External"/><Relationship Id="rId175" Type="http://schemas.openxmlformats.org/officeDocument/2006/relationships/hyperlink" Target="http://www.sec.gov/Archives/edgar/data/1070423/000141057819001281/tv529555_ex4-1.htm" TargetMode="External"/><Relationship Id="rId176" Type="http://schemas.openxmlformats.org/officeDocument/2006/relationships/hyperlink" Target="http://www.sec.gov/Archives/edgar/data/1070423/000110465920072270/tm2022235d1_ex4-1.htm" TargetMode="External"/><Relationship Id="rId177" Type="http://schemas.openxmlformats.org/officeDocument/2006/relationships/hyperlink" Target="http://www.sec.gov/Archives/edgar/data/1070423/000095012309050401/h68193exv4w1.htm" TargetMode="External"/><Relationship Id="rId178" Type="http://schemas.openxmlformats.org/officeDocument/2006/relationships/hyperlink" Target="http://www.sec.gov/Archives/edgar/data/1070423/000110465916093299/a16-3362_1ex4d1.htm" TargetMode="External"/><Relationship Id="rId179" Type="http://schemas.openxmlformats.org/officeDocument/2006/relationships/hyperlink" Target="http://www.sec.gov/Archives/edgar/data/1070423/000110465916158355/a16-21841_1ex10d4.htm" TargetMode="External"/><Relationship Id="rId180" Type="http://schemas.openxmlformats.org/officeDocument/2006/relationships/hyperlink" Target="https://www.sec.gov/Archives/edgar/data/1070423/000110465921109829/tm2125729d3_ex10-1.htm" TargetMode="External"/><Relationship Id="rId183" Type="http://schemas.openxmlformats.org/officeDocument/2006/relationships/hyperlink" Target="https://www.sec.gov/Archives/edgar/data/1070423/000110465921109829/tm2125729d3_ex10-2.htm" TargetMode="External"/><Relationship Id="rId184" Type="http://schemas.openxmlformats.org/officeDocument/2006/relationships/hyperlink" Target="http://www.sec.gov/Archives/edgar/data/1070423/000095012908000071/h52770exv10w2.htm" TargetMode="External"/><Relationship Id="rId185" Type="http://schemas.openxmlformats.org/officeDocument/2006/relationships/hyperlink" Target="http://www.sec.gov/Archives/edgar/data/1070423/000110465916158355/a16-21841_1ex10d1.htm" TargetMode="External"/><Relationship Id="rId186" Type="http://schemas.openxmlformats.org/officeDocument/2006/relationships/hyperlink" Target="http://www.sec.gov/Archives/edgar/data/1070423/000110465916158355/a16-21841_1ex10d2.htm" TargetMode="External"/><Relationship Id="rId187" Type="http://schemas.openxmlformats.org/officeDocument/2006/relationships/hyperlink" Target="http://www.sec.gov/Archives/edgar/data/1070423/000089924301501783/dex101.txt" TargetMode="External"/><Relationship Id="rId188" Type="http://schemas.openxmlformats.org/officeDocument/2006/relationships/hyperlink" Target="http://www.sec.gov/Archives/edgar/data/1070423/000104746909001897/a2190434zex-10_49.htm" TargetMode="External"/><Relationship Id="rId189" Type="http://schemas.openxmlformats.org/officeDocument/2006/relationships/hyperlink" Target="http://www.sec.gov/Archives/edgar/data/1070423/000110465911010359/a11-2319_1ex10d31.htm" TargetMode="External"/><Relationship Id="rId190" Type="http://schemas.openxmlformats.org/officeDocument/2006/relationships/hyperlink" Target="http://www.sec.gov/Archives/edgar/data/1070423/000110465913078056/a13-22862_1ex10d2.htm" TargetMode="External"/><Relationship Id="rId191" Type="http://schemas.openxmlformats.org/officeDocument/2006/relationships/hyperlink" Target="http://www.sec.gov/Archives/edgar/data/1070423/000107042318000015/paaq32018exhibit106.htm" TargetMode="External"/><Relationship Id="rId192" Type="http://schemas.openxmlformats.org/officeDocument/2006/relationships/hyperlink" Target="http://www.sec.gov/Archives/edgar/data/1070423/000107042320000004/paa201910-kexhibit1031.htm" TargetMode="External"/><Relationship Id="rId193" Type="http://schemas.openxmlformats.org/officeDocument/2006/relationships/hyperlink" Target="http://www.sec.gov/Archives/edgar/data/1070423/000089924301501783/dex102.txt" TargetMode="External"/><Relationship Id="rId194" Type="http://schemas.openxmlformats.org/officeDocument/2006/relationships/hyperlink" Target="http://www.sec.gov/Archives/edgar/data/1070423/000104746909001897/a2190434zex-10_50.htm" TargetMode="External"/><Relationship Id="rId195" Type="http://schemas.openxmlformats.org/officeDocument/2006/relationships/hyperlink" Target="http://www.sec.gov/Archives/edgar/data/1070423/000107042319000013/paaq32019exhibit101.htm" TargetMode="External"/><Relationship Id="rId196" Type="http://schemas.openxmlformats.org/officeDocument/2006/relationships/hyperlink" Target="http://www.sec.gov/Archives/edgar/data/1070423/000110465911010359/a11-2319_1ex10d32.htm" TargetMode="External"/><Relationship Id="rId199" Type="http://schemas.openxmlformats.org/officeDocument/2006/relationships/hyperlink" Target="http://www.sec.gov/Archives/edgar/data/1070423/000110465913078056/a13-22862_1ex10d3.htm" TargetMode="External"/><Relationship Id="rId200" Type="http://schemas.openxmlformats.org/officeDocument/2006/relationships/hyperlink" Target="http://www.sec.gov/Archives/edgar/data/1070423/000110465916100030/a15-24557_1ex10d53.htm" TargetMode="External"/><Relationship Id="rId201" Type="http://schemas.openxmlformats.org/officeDocument/2006/relationships/hyperlink" Target="http://www.sec.gov/Archives/edgar/data/1070423/000107042318000015/paaq32018exhibit107.htm" TargetMode="External"/><Relationship Id="rId202" Type="http://schemas.openxmlformats.org/officeDocument/2006/relationships/hyperlink" Target="http://www.sec.gov/Archives/edgar/data/1070423/000107042316000004/paa09302016exhibit108.htm" TargetMode="External"/><Relationship Id="rId203" Type="http://schemas.openxmlformats.org/officeDocument/2006/relationships/hyperlink" Target="http://www.sec.gov/Archives/edgar/data/1070423/000107042318000009/paaq12018exhibit101.htm" TargetMode="External"/><Relationship Id="rId204" Type="http://schemas.openxmlformats.org/officeDocument/2006/relationships/hyperlink" Target="http://www.sec.gov/Archives/edgar/data/1070423/000107042318000015/paaq32018exhibit108.htm" TargetMode="External"/><Relationship Id="rId205" Type="http://schemas.openxmlformats.org/officeDocument/2006/relationships/hyperlink" Target="https://www.sec.gov/Archives/edgar/data/1070423/000110465921049049/tm212450-1_def14a.htm#tAPPA" TargetMode="External"/><Relationship Id="rId206" Type="http://schemas.openxmlformats.org/officeDocument/2006/relationships/hyperlink" Target="http://www.sec.gov/Archives/edgar/data/1070423/000119312513390367/d597666ddef14a.htm#rom597666_10" TargetMode="External"/><Relationship Id="rId207" Type="http://schemas.openxmlformats.org/officeDocument/2006/relationships/hyperlink" Target="http://www.sec.gov/Archives/edgar/data/1070423/000110465913093006/a13-26950_1ex4d4.htm" TargetMode="External"/><Relationship Id="rId208" Type="http://schemas.openxmlformats.org/officeDocument/2006/relationships/hyperlink" Target="http://www.sec.gov/Archives/edgar/data/1481506/000095012310047963/h72950exv10w2.htm" TargetMode="External"/><Relationship Id="rId209" Type="http://schemas.openxmlformats.org/officeDocument/2006/relationships/hyperlink" Target="http://www.sec.gov/Archives/edgar/data/1581990/000110465913078057/a13-22338_2ex10d3.htm" TargetMode="External"/><Relationship Id="rId210" Type="http://schemas.openxmlformats.org/officeDocument/2006/relationships/hyperlink" Target="http://www.sec.gov/Archives/edgar/data/1070423/000095012908000071/h52770exv10w1.htm" TargetMode="External"/><Relationship Id="rId211" Type="http://schemas.openxmlformats.org/officeDocument/2006/relationships/hyperlink" Target="http://www.sec.gov/Archives/edgar/data/1070423/000110465913078056/a13-22862_1ex10d4.htm" TargetMode="External"/><Relationship Id="rId212" Type="http://schemas.openxmlformats.org/officeDocument/2006/relationships/hyperlink" Target="http://www.sec.gov/Archives/edgar/data/1070423/000107042316000004/paa09302016exhibit106.htm" TargetMode="External"/><Relationship Id="rId213" Type="http://schemas.openxmlformats.org/officeDocument/2006/relationships/hyperlink" Target="http://www.sec.gov/Archives/edgar/data/1070423/000107042318000009/paaq12018exhibit102.htm" TargetMode="External"/><Relationship Id="rId214" Type="http://schemas.openxmlformats.org/officeDocument/2006/relationships/hyperlink" Target="http://www.sec.gov/Archives/edgar/data/1070423/000107042319000004/paa201810-kexhibit1066.htm" TargetMode="External"/><Relationship Id="rId215" Type="http://schemas.openxmlformats.org/officeDocument/2006/relationships/hyperlink" Target="http://www.sec.gov/Archives/edgar/data/1070423/000107042319000004/paa201810-kexhibit1067.htm" TargetMode="External"/><Relationship Id="rId216" Type="http://schemas.openxmlformats.org/officeDocument/2006/relationships/hyperlink" Target="http://www.sec.gov/Archives/edgar/data/1070423/000107042319000013/paaq32019exhibit102.htm" TargetMode="External"/><Relationship Id="rId217" Type="http://schemas.openxmlformats.org/officeDocument/2006/relationships/hyperlink" Target="http://www.sec.gov/Archives/edgar/data/1070423/000107042319000013/paaq32019exhibit103.htm" TargetMode="External"/><Relationship Id="rId218" Type="http://schemas.openxmlformats.org/officeDocument/2006/relationships/hyperlink" Target="http://www.sec.gov/Archives/edgar/data/1070423/000107042320000004/paa201910-kexhibit1072.htm" TargetMode="External"/><Relationship Id="rId221" Type="http://schemas.openxmlformats.org/officeDocument/2006/relationships/hyperlink" Target="http://www.sec.gov/Archives/edgar/data/1070423/000107042320000031/paaq3202010-qexhibit101.htm" TargetMode="External"/><Relationship Id="rId222" Type="http://schemas.openxmlformats.org/officeDocument/2006/relationships/hyperlink" Target="http://www.sec.gov/Archives/edgar/data/1070423/000107042320000031/paaq3202010-qexhibit102.htm" TargetMode="External"/><Relationship Id="rId223" Type="http://schemas.openxmlformats.org/officeDocument/2006/relationships/hyperlink" Target="https://www.sec.gov/Archives/edgar/data/1070423/000107042321000008/paa202010-kexhibit1053.htm" TargetMode="External"/><Relationship Id="rId224" Type="http://schemas.openxmlformats.org/officeDocument/2006/relationships/hyperlink" Target="https://www.sec.gov/Archives/edgar/data/1070423/000107042321000008/paa202010-kexhibit1054.htm" TargetMode="External"/><Relationship Id="rId225" Type="http://schemas.openxmlformats.org/officeDocument/2006/relationships/hyperlink" Target="https://www.sec.gov/Archives/edgar/data/1070423/000107042321000008/paa202010-kexhibit1056.htm" TargetMode="External"/><Relationship Id="rId226" Type="http://schemas.openxmlformats.org/officeDocument/2006/relationships/hyperlink" Target="https://www.sec.gov/Archives/edgar/data/1070423/000107042321000028/paaq3202110-qexhibit103.htm" TargetMode="External"/><Relationship Id="rId227" Type="http://schemas.openxmlformats.org/officeDocument/2006/relationships/hyperlink" Target="https://www.sec.gov/Archives/edgar/data/1070423/000107042321000028/paaq3202110-q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2022-03-01T11:30:55Z</dcterms:created>
  <dcterms:modified xsi:type="dcterms:W3CDTF">2022-03-01T11:30:55Z</dcterms:modified>
</cp:coreProperties>
</file>