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1224_18k.htm"/>
      <w:bookmarkStart w:id="1" w:name="ksa1311224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May 6,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May 6,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first quarter 2013 results. We are furnishing the press release, attached as Exhibit 99.1, pursuant to Item 2.02 and Item 7.01 of Form 8-K.  Pursuant to Item 7.01, we are also providing second quarter and second half of 2013 detailed guidance for financial performance.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Second Quarter and Second Half 2013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June 30, 2013 and six-month and twelve-month periods ending December 31, 2013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5, 2013.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2013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within our guidance, we have highlighted the impact of (i) equity compensation expense, (ii) tax effect on selected items impacting comparability, (iii) net gain on foreign currency revaluation, (iv) gains from derivative activities and (v) other selected items impacting comparability.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0208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787"/>
        <w:gridCol w:w="104"/>
        <w:gridCol w:w="469"/>
        <w:gridCol w:w="657"/>
        <w:gridCol w:w="192"/>
        <w:gridCol w:w="123"/>
        <w:gridCol w:w="627"/>
        <w:gridCol w:w="198"/>
        <w:gridCol w:w="123"/>
        <w:gridCol w:w="627"/>
        <w:gridCol w:w="192"/>
        <w:gridCol w:w="120"/>
        <w:gridCol w:w="645"/>
        <w:gridCol w:w="195"/>
        <w:gridCol w:w="120"/>
        <w:gridCol w:w="646"/>
        <w:gridCol w:w="192"/>
        <w:gridCol w:w="120"/>
        <w:gridCol w:w="645"/>
        <w:gridCol w:w="195"/>
        <w:gridCol w:w="120"/>
        <w:gridCol w:w="645"/>
        <w:gridCol w:w="463"/>
      </w:tblGrid>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2" w:type="dxa"/>
            <w:tcBorders/>
            <w:shd w:fill="auto" w:val="clear"/>
            <w:vAlign w:val="bottom"/>
          </w:tcPr>
          <w:p>
            <w:pPr>
              <w:pStyle w:val="TableContents"/>
              <w:spacing w:before="0" w:after="0"/>
              <w:ind w:left="0" w:right="0" w:hanging="0"/>
              <w:jc w:val="center"/>
              <w:rPr/>
            </w:pPr>
            <w:r>
              <w:rPr/>
              <w:t> </w:t>
            </w:r>
          </w:p>
        </w:tc>
        <w:tc>
          <w:tcPr>
            <w:tcW w:w="5533"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(a)</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192" w:type="dxa"/>
            <w:tcBorders/>
            <w:shd w:fill="auto" w:val="clear"/>
            <w:vAlign w:val="bottom"/>
          </w:tcPr>
          <w:p>
            <w:pPr>
              <w:pStyle w:val="TableContents"/>
              <w:spacing w:before="0" w:after="0"/>
              <w:ind w:left="0" w:right="0" w:hanging="0"/>
              <w:jc w:val="center"/>
              <w:rPr/>
            </w:pPr>
            <w:r>
              <w:rPr/>
              <w:t> </w:t>
            </w:r>
          </w:p>
        </w:tc>
        <w:tc>
          <w:tcPr>
            <w:tcW w:w="169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5"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2" w:type="dxa"/>
            <w:tcBorders/>
            <w:shd w:fill="auto" w:val="clear"/>
            <w:vAlign w:val="bottom"/>
          </w:tcPr>
          <w:p>
            <w:pPr>
              <w:pStyle w:val="TableContents"/>
              <w:spacing w:before="0" w:after="0"/>
              <w:ind w:left="0" w:right="0" w:hanging="0"/>
              <w:jc w:val="center"/>
              <w:rPr/>
            </w:pPr>
            <w:r>
              <w:rPr/>
              <w:t> </w:t>
            </w:r>
          </w:p>
        </w:tc>
        <w:tc>
          <w:tcPr>
            <w:tcW w:w="169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92" w:type="dxa"/>
            <w:tcBorders/>
            <w:shd w:fill="auto" w:val="clear"/>
            <w:vAlign w:val="bottom"/>
          </w:tcPr>
          <w:p>
            <w:pPr>
              <w:pStyle w:val="TableContents"/>
              <w:spacing w:before="0" w:after="0"/>
              <w:ind w:left="0" w:right="0" w:hanging="0"/>
              <w:jc w:val="center"/>
              <w:rPr/>
            </w:pPr>
            <w:r>
              <w:rPr/>
              <w:t> </w:t>
            </w:r>
          </w:p>
        </w:tc>
        <w:tc>
          <w:tcPr>
            <w:tcW w:w="17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2" w:type="dxa"/>
            <w:tcBorders/>
            <w:shd w:fill="auto" w:val="clear"/>
            <w:vAlign w:val="bottom"/>
          </w:tcPr>
          <w:p>
            <w:pPr>
              <w:pStyle w:val="TableContents"/>
              <w:spacing w:before="0" w:after="0"/>
              <w:ind w:left="0" w:right="0" w:hanging="0"/>
              <w:jc w:val="center"/>
              <w:rPr/>
            </w:pPr>
            <w:r>
              <w:rPr/>
              <w:t> </w:t>
            </w:r>
          </w:p>
        </w:tc>
        <w:tc>
          <w:tcPr>
            <w:tcW w:w="17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92" w:type="dxa"/>
            <w:tcBorders/>
            <w:shd w:fill="auto" w:val="clear"/>
            <w:vAlign w:val="bottom"/>
          </w:tcPr>
          <w:p>
            <w:pPr>
              <w:pStyle w:val="TableContents"/>
              <w:spacing w:before="0" w:after="0"/>
              <w:ind w:left="0" w:right="0" w:hanging="0"/>
              <w:jc w:val="center"/>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92"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463" w:type="dxa"/>
            <w:tcBorders/>
            <w:shd w:fill="auto" w:val="clear"/>
            <w:vAlign w:val="bottom"/>
          </w:tcPr>
          <w:p>
            <w:pPr>
              <w:pStyle w:val="TableContents"/>
              <w:spacing w:before="0" w:after="0"/>
              <w:ind w:left="0" w:right="0" w:hanging="0"/>
              <w:jc w:val="center"/>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Segment Profit</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revenues (including equity earnings from unconsolidated entities) </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1,194</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832</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1,771</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1,813</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3,797</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3,867</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Field operating costs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(676</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(664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(1,359</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(1,339</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General and administrative expenses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(86</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(166</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(160</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(362</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(352</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748</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399</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439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929</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989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2,076</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2,176</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Depreciation and amortization expense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(87</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(178</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(173</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(347</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(337</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Interest expense,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(169</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(164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(328</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(318</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Income tax benefit (expense)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(53</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(83</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(73</w:t>
            </w:r>
          </w:p>
        </w:tc>
        <w:tc>
          <w:tcPr>
            <w:tcW w:w="46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536</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224</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561</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636</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1,321</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1,451</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Less: Net income attributable to noncontrolling interests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w:t>
            </w:r>
          </w:p>
        </w:tc>
        <w:tc>
          <w:tcPr>
            <w:tcW w:w="46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Net Income Attributable to Plains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528</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218</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273</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544</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619</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1,290</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1,420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Net Income to Limited Partners (b)</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433</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126</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344</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418</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903</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1,030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Basic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Weighted Average Units Outstanding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336</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340</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19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0.37</w:t>
            </w:r>
          </w:p>
        </w:tc>
        <w:tc>
          <w:tcPr>
            <w:tcW w:w="198"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0.53</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1.21</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2.64</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3.01</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Diluted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Weighted Average Units Outstanding</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339</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342</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345</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343</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Net Income Per Unit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0.36</w:t>
            </w:r>
          </w:p>
        </w:tc>
        <w:tc>
          <w:tcPr>
            <w:tcW w:w="198"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0.52</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0.99</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1.21</w:t>
            </w:r>
          </w:p>
        </w:tc>
        <w:tc>
          <w:tcPr>
            <w:tcW w:w="192"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2.62</w:t>
            </w:r>
          </w:p>
        </w:tc>
        <w:tc>
          <w:tcPr>
            <w:tcW w:w="19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2.99</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shd w:fill="CCEE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 </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666</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313</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358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753</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818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1,732</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1,842</w:t>
            </w:r>
          </w:p>
        </w:tc>
        <w:tc>
          <w:tcPr>
            <w:tcW w:w="463" w:type="dxa"/>
            <w:tcBorders/>
            <w:shd w:fill="CCEEFF" w:val="clear"/>
            <w:vAlign w:val="bottom"/>
          </w:tcPr>
          <w:p>
            <w:pPr>
              <w:pStyle w:val="TableContents"/>
              <w:spacing w:before="0" w:after="0"/>
              <w:ind w:left="0" w:right="0" w:hanging="0"/>
              <w:rPr/>
            </w:pPr>
            <w:r>
              <w:rPr/>
              <w:t> </w:t>
            </w:r>
          </w:p>
        </w:tc>
      </w:tr>
      <w:tr>
        <w:trPr/>
        <w:tc>
          <w:tcPr>
            <w:tcW w:w="278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EBITDA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748</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400</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440</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931</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991</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2,079</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3"/>
              </w:rPr>
            </w:pPr>
            <w:r>
              <w:rPr>
                <w:rFonts w:ascii="Times New Roman" w:hAnsi="Times New Roman"/>
                <w:b/>
                <w:sz w:val="13"/>
              </w:rPr>
              <w:t>2,179</w:t>
            </w:r>
          </w:p>
        </w:tc>
        <w:tc>
          <w:tcPr>
            <w:tcW w:w="463" w:type="dxa"/>
            <w:tcBorders/>
            <w:shd w:fill="auto" w:val="clear"/>
            <w:vAlign w:val="bottom"/>
          </w:tcPr>
          <w:p>
            <w:pPr>
              <w:pStyle w:val="TableContents"/>
              <w:spacing w:before="0" w:after="0"/>
              <w:ind w:left="0" w:right="0" w:hanging="0"/>
              <w:rPr/>
            </w:pPr>
            <w:r>
              <w:rPr/>
              <w:t> </w:t>
            </w:r>
          </w:p>
        </w:tc>
      </w:tr>
      <w:tr>
        <w:trPr/>
        <w:tc>
          <w:tcPr>
            <w:tcW w:w="27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Equity compensation expense </w:t>
            </w:r>
          </w:p>
        </w:tc>
        <w:tc>
          <w:tcPr>
            <w:tcW w:w="104" w:type="dxa"/>
            <w:tcBorders/>
            <w:shd w:fill="CCEEFF" w:val="clear"/>
            <w:vAlign w:val="bottom"/>
          </w:tcPr>
          <w:p>
            <w:pPr>
              <w:pStyle w:val="TableContents"/>
              <w:spacing w:before="0" w:after="0"/>
              <w:ind w:left="0" w:right="0" w:hanging="0"/>
              <w:rPr/>
            </w:pPr>
            <w:r>
              <w:rPr/>
              <w:t> </w:t>
            </w:r>
          </w:p>
        </w:tc>
        <w:tc>
          <w:tcPr>
            <w:tcW w:w="469"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8"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w:t>
            </w:r>
          </w:p>
        </w:tc>
        <w:tc>
          <w:tcPr>
            <w:tcW w:w="19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w:t>
            </w:r>
          </w:p>
        </w:tc>
        <w:tc>
          <w:tcPr>
            <w:tcW w:w="19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Tax effect on 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Net gain on foreign currency revaluation</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Gains from derivative activities</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Other</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Selected Items Impacting Comparability of Net Income attributable to Plains</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w:t>
            </w:r>
          </w:p>
        </w:tc>
        <w:tc>
          <w:tcPr>
            <w:tcW w:w="192"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19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r>
      <w:tr>
        <w:trPr/>
        <w:tc>
          <w:tcPr>
            <w:tcW w:w="278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278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Excluding Selected Items Impacting Comparability</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Segment Profit</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Transportation </w:t>
            </w:r>
          </w:p>
        </w:tc>
        <w:tc>
          <w:tcPr>
            <w:tcW w:w="104" w:type="dxa"/>
            <w:tcBorders/>
            <w:shd w:fill="auto" w:val="clear"/>
            <w:vAlign w:val="bottom"/>
          </w:tcPr>
          <w:p>
            <w:pPr>
              <w:pStyle w:val="TableContents"/>
              <w:spacing w:before="0" w:after="0"/>
              <w:ind w:left="0" w:right="0" w:hanging="0"/>
              <w:rPr/>
            </w:pPr>
            <w:r>
              <w:rPr/>
              <w:t> </w:t>
            </w:r>
          </w:p>
        </w:tc>
        <w:tc>
          <w:tcPr>
            <w:tcW w:w="469"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175</w:t>
            </w:r>
          </w:p>
        </w:tc>
        <w:tc>
          <w:tcPr>
            <w:tcW w:w="19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180</w:t>
            </w:r>
          </w:p>
        </w:tc>
        <w:tc>
          <w:tcPr>
            <w:tcW w:w="198"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190</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440</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455</w:t>
            </w:r>
          </w:p>
        </w:tc>
        <w:tc>
          <w:tcPr>
            <w:tcW w:w="192"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795</w:t>
            </w:r>
          </w:p>
        </w:tc>
        <w:tc>
          <w:tcPr>
            <w:tcW w:w="195"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820</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Facilities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156</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135</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294</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309</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585</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610</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Supply and Logistics </w:t>
            </w:r>
          </w:p>
        </w:tc>
        <w:tc>
          <w:tcPr>
            <w:tcW w:w="104" w:type="dxa"/>
            <w:tcBorders/>
            <w:shd w:fill="auto" w:val="clear"/>
            <w:vAlign w:val="bottom"/>
          </w:tcPr>
          <w:p>
            <w:pPr>
              <w:pStyle w:val="TableContents"/>
              <w:spacing w:before="0" w:after="0"/>
              <w:ind w:left="0" w:right="0" w:hanging="0"/>
              <w:rPr/>
            </w:pPr>
            <w:r>
              <w:rPr/>
              <w:t> </w:t>
            </w:r>
          </w:p>
        </w:tc>
        <w:tc>
          <w:tcPr>
            <w:tcW w:w="112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407</w:t>
            </w:r>
          </w:p>
        </w:tc>
        <w:tc>
          <w:tcPr>
            <w:tcW w:w="192"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99</w:t>
            </w:r>
          </w:p>
        </w:tc>
        <w:tc>
          <w:tcPr>
            <w:tcW w:w="198" w:type="dxa"/>
            <w:tcBorders/>
            <w:shd w:fill="auto" w:val="clear"/>
            <w:vAlign w:val="bottom"/>
          </w:tcPr>
          <w:p>
            <w:pPr>
              <w:pStyle w:val="TableContents"/>
              <w:spacing w:before="0" w:after="0"/>
              <w:ind w:left="0" w:right="0" w:hanging="0"/>
              <w:rPr/>
            </w:pPr>
            <w:r>
              <w:rPr/>
              <w:t> </w:t>
            </w:r>
          </w:p>
        </w:tc>
        <w:tc>
          <w:tcPr>
            <w:tcW w:w="750"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219</w:t>
            </w:r>
          </w:p>
        </w:tc>
        <w:tc>
          <w:tcPr>
            <w:tcW w:w="195"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249</w:t>
            </w:r>
          </w:p>
        </w:tc>
        <w:tc>
          <w:tcPr>
            <w:tcW w:w="192"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725</w:t>
            </w:r>
          </w:p>
        </w:tc>
        <w:tc>
          <w:tcPr>
            <w:tcW w:w="195"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775</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Other income, net </w:t>
            </w:r>
          </w:p>
        </w:tc>
        <w:tc>
          <w:tcPr>
            <w:tcW w:w="104" w:type="dxa"/>
            <w:tcBorders/>
            <w:shd w:fill="CCEEFF" w:val="clear"/>
            <w:vAlign w:val="bottom"/>
          </w:tcPr>
          <w:p>
            <w:pPr>
              <w:pStyle w:val="TableContents"/>
              <w:spacing w:before="0" w:after="0"/>
              <w:ind w:left="0" w:right="0" w:hanging="0"/>
              <w:rPr/>
            </w:pPr>
            <w:r>
              <w:rPr/>
              <w:t> </w:t>
            </w:r>
          </w:p>
        </w:tc>
        <w:tc>
          <w:tcPr>
            <w:tcW w:w="11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8" w:type="dxa"/>
            <w:tcBorders/>
            <w:shd w:fill="CCEEFF" w:val="clear"/>
            <w:vAlign w:val="bottom"/>
          </w:tcPr>
          <w:p>
            <w:pPr>
              <w:pStyle w:val="TableContents"/>
              <w:spacing w:before="0" w:after="0"/>
              <w:ind w:left="0" w:right="0" w:hanging="0"/>
              <w:rPr/>
            </w:pPr>
            <w:r>
              <w:rPr/>
              <w:t> </w:t>
            </w:r>
          </w:p>
        </w:tc>
        <w:tc>
          <w:tcPr>
            <w:tcW w:w="7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5"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w:t>
            </w:r>
          </w:p>
        </w:tc>
        <w:tc>
          <w:tcPr>
            <w:tcW w:w="192"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195"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 xml:space="preserve">Adjusted EBITDA </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739</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415</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455</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956</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1,016</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2,110</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2,210</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Net Income Attributable to Plains</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524</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233</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288</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568</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643</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1,325</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1,455</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Basic Net Income Per Limited Partner Unit (b)</w:t>
            </w:r>
          </w:p>
        </w:tc>
        <w:tc>
          <w:tcPr>
            <w:tcW w:w="104" w:type="dxa"/>
            <w:tcBorders/>
            <w:shd w:fill="auto" w:val="clear"/>
            <w:vAlign w:val="bottom"/>
          </w:tcPr>
          <w:p>
            <w:pPr>
              <w:pStyle w:val="TableContents"/>
              <w:spacing w:before="0" w:after="0"/>
              <w:ind w:left="0" w:right="0" w:hanging="0"/>
              <w:rPr/>
            </w:pPr>
            <w:r>
              <w:rPr/>
              <w:t> </w:t>
            </w:r>
          </w:p>
        </w:tc>
        <w:tc>
          <w:tcPr>
            <w:tcW w:w="4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98"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0.57</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1.07</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1.28</w:t>
            </w:r>
          </w:p>
        </w:tc>
        <w:tc>
          <w:tcPr>
            <w:tcW w:w="192"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2.74</w:t>
            </w:r>
          </w:p>
        </w:tc>
        <w:tc>
          <w:tcPr>
            <w:tcW w:w="195" w:type="dxa"/>
            <w:tcBorders/>
            <w:shd w:fill="auto" w:val="clear"/>
            <w:vAlign w:val="bottom"/>
          </w:tcPr>
          <w:p>
            <w:pPr>
              <w:pStyle w:val="TableContents"/>
              <w:spacing w:before="0" w:after="0"/>
              <w:ind w:left="0" w:right="0" w:hanging="0"/>
              <w:rPr/>
            </w:pPr>
            <w:r>
              <w:rPr/>
              <w:t> </w:t>
            </w:r>
          </w:p>
        </w:tc>
        <w:tc>
          <w:tcPr>
            <w:tcW w:w="1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3.11</w:t>
            </w:r>
          </w:p>
        </w:tc>
        <w:tc>
          <w:tcPr>
            <w:tcW w:w="46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Adjusted Diluted Net Income Per Limited Partner Unit (b)</w:t>
            </w:r>
          </w:p>
        </w:tc>
        <w:tc>
          <w:tcPr>
            <w:tcW w:w="104" w:type="dxa"/>
            <w:tcBorders/>
            <w:shd w:fill="CCEEFF" w:val="clear"/>
            <w:vAlign w:val="bottom"/>
          </w:tcPr>
          <w:p>
            <w:pPr>
              <w:pStyle w:val="TableContents"/>
              <w:spacing w:before="0" w:after="0"/>
              <w:ind w:left="0" w:right="0" w:hanging="0"/>
              <w:rPr/>
            </w:pPr>
            <w:r>
              <w:rPr/>
              <w:t> </w:t>
            </w:r>
          </w:p>
        </w:tc>
        <w:tc>
          <w:tcPr>
            <w:tcW w:w="4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1.26</w:t>
            </w:r>
          </w:p>
        </w:tc>
        <w:tc>
          <w:tcPr>
            <w:tcW w:w="19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0.41</w:t>
            </w:r>
          </w:p>
        </w:tc>
        <w:tc>
          <w:tcPr>
            <w:tcW w:w="198"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0.56</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1.06</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w:t>
            </w:r>
          </w:p>
        </w:tc>
        <w:tc>
          <w:tcPr>
            <w:tcW w:w="192"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2.72</w:t>
            </w:r>
          </w:p>
        </w:tc>
        <w:tc>
          <w:tcPr>
            <w:tcW w:w="19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3.10</w:t>
            </w:r>
          </w:p>
        </w:tc>
        <w:tc>
          <w:tcPr>
            <w:tcW w:w="46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787"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46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07"/>
        <w:gridCol w:w="9598"/>
      </w:tblGrid>
      <w:tr>
        <w:trPr/>
        <w:tc>
          <w:tcPr>
            <w:tcW w:w="607" w:type="dxa"/>
            <w:tcBorders/>
            <w:shd w:fill="auto" w:val="clear"/>
          </w:tcPr>
          <w:p>
            <w:pPr>
              <w:pStyle w:val="TableContents"/>
              <w:spacing w:before="0" w:after="0"/>
              <w:ind w:left="0" w:right="0" w:hanging="0"/>
              <w:rPr>
                <w:rFonts w:ascii="Times New Roman" w:hAnsi="Times New Roman"/>
                <w:sz w:val="10"/>
              </w:rPr>
            </w:pPr>
            <w:r>
              <w:rPr>
                <w:rFonts w:ascii="Times New Roman" w:hAnsi="Times New Roman"/>
                <w:sz w:val="10"/>
              </w:rPr>
              <w:t>(a)</w:t>
            </w:r>
          </w:p>
        </w:tc>
        <w:tc>
          <w:tcPr>
            <w:tcW w:w="95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The projected average foreign exchange rate is $1.00 Canadian to $1.00 U.S. for the three-month period ending June 30, 2013 and the six-month period ending December 31, 2013. The rate as of May 3, 2013 was $1.00 Canadian to $0.99 U.S. A $0.05 change in the FX rate will impact annual adjusted EBITDA by approximately $14 million.</w:t>
            </w:r>
          </w:p>
        </w:tc>
      </w:tr>
      <w:tr>
        <w:trPr/>
        <w:tc>
          <w:tcPr>
            <w:tcW w:w="607" w:type="dxa"/>
            <w:tcBorders/>
            <w:shd w:fill="auto" w:val="clear"/>
          </w:tcPr>
          <w:p>
            <w:pPr>
              <w:pStyle w:val="TableContents"/>
              <w:spacing w:before="0" w:after="0"/>
              <w:ind w:left="0" w:right="0" w:hanging="0"/>
              <w:rPr>
                <w:rFonts w:ascii="Times New Roman" w:hAnsi="Times New Roman"/>
                <w:sz w:val="10"/>
              </w:rPr>
            </w:pPr>
            <w:r>
              <w:rPr>
                <w:rFonts w:ascii="Times New Roman" w:hAnsi="Times New Roman"/>
                <w:sz w:val="10"/>
              </w:rPr>
              <w:t>(b)</w:t>
            </w:r>
          </w:p>
        </w:tc>
        <w:tc>
          <w:tcPr>
            <w:tcW w:w="9598"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0258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57"/>
        <w:gridCol w:w="103"/>
        <w:gridCol w:w="8145"/>
      </w:tblGrid>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Distributable Cash Flow</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9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103" w:type="dxa"/>
            <w:tcBorders/>
            <w:shd w:fill="auto" w:val="clear"/>
            <w:vAlign w:val="bottom"/>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31451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500" w:type="pct"/>
        <w:jc w:val="left"/>
        <w:tblInd w:w="0" w:type="dxa"/>
        <w:tblCellMar>
          <w:top w:w="0" w:type="dxa"/>
          <w:left w:w="0" w:type="dxa"/>
          <w:bottom w:w="0" w:type="dxa"/>
          <w:right w:w="0" w:type="dxa"/>
        </w:tblCellMar>
      </w:tblPr>
      <w:tblGrid>
        <w:gridCol w:w="3142"/>
        <w:gridCol w:w="169"/>
        <w:gridCol w:w="213"/>
        <w:gridCol w:w="1090"/>
        <w:gridCol w:w="169"/>
        <w:gridCol w:w="213"/>
        <w:gridCol w:w="1090"/>
        <w:gridCol w:w="183"/>
        <w:gridCol w:w="199"/>
        <w:gridCol w:w="1049"/>
        <w:gridCol w:w="182"/>
        <w:gridCol w:w="227"/>
        <w:gridCol w:w="1130"/>
        <w:gridCol w:w="128"/>
      </w:tblGrid>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9" w:type="dxa"/>
            <w:tcBorders/>
            <w:shd w:fill="auto" w:val="clear"/>
            <w:vAlign w:val="bottom"/>
          </w:tcPr>
          <w:p>
            <w:pPr>
              <w:pStyle w:val="TableContents"/>
              <w:spacing w:before="0" w:after="0"/>
              <w:ind w:left="0" w:right="0" w:hanging="0"/>
              <w:jc w:val="center"/>
              <w:rPr/>
            </w:pPr>
            <w:r>
              <w:rPr/>
              <w:t> </w:t>
            </w:r>
          </w:p>
        </w:tc>
        <w:tc>
          <w:tcPr>
            <w:tcW w:w="427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5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2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2" w:type="dxa"/>
            <w:tcBorders/>
            <w:shd w:fill="auto" w:val="clear"/>
            <w:vAlign w:val="bottom"/>
          </w:tcPr>
          <w:p>
            <w:pPr>
              <w:pStyle w:val="TableContents"/>
              <w:spacing w:before="0" w:after="0"/>
              <w:ind w:left="0" w:right="0" w:hanging="0"/>
              <w:jc w:val="center"/>
              <w:rPr/>
            </w:pPr>
            <w:r>
              <w:rPr/>
              <w:t> </w:t>
            </w:r>
          </w:p>
        </w:tc>
        <w:tc>
          <w:tcPr>
            <w:tcW w:w="13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69"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83"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82" w:type="dxa"/>
            <w:tcBorders/>
            <w:shd w:fill="auto" w:val="clear"/>
            <w:vAlign w:val="bottom"/>
          </w:tcPr>
          <w:p>
            <w:pPr>
              <w:pStyle w:val="TableContents"/>
              <w:spacing w:before="0" w:after="0"/>
              <w:ind w:left="0" w:right="0" w:hanging="0"/>
              <w:jc w:val="center"/>
              <w:rPr/>
            </w:pPr>
            <w:r>
              <w:rPr/>
              <w:t> </w:t>
            </w:r>
          </w:p>
        </w:tc>
        <w:tc>
          <w:tcPr>
            <w:tcW w:w="13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28" w:type="dxa"/>
            <w:tcBorders/>
            <w:shd w:fill="auto" w:val="clear"/>
            <w:vAlign w:val="bottom"/>
          </w:tcPr>
          <w:p>
            <w:pPr>
              <w:pStyle w:val="TableContents"/>
              <w:spacing w:before="0" w:after="0"/>
              <w:ind w:left="0" w:right="0" w:hanging="0"/>
              <w:jc w:val="center"/>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(MBbls/d)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 Refined Products Pipelines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Basin/Mesa</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710</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574</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868</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3,545</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3,641</w:t>
            </w:r>
          </w:p>
        </w:tc>
        <w:tc>
          <w:tcPr>
            <w:tcW w:w="169" w:type="dxa"/>
            <w:tcBorders/>
            <w:shd w:fill="auto" w:val="clear"/>
            <w:vAlign w:val="bottom"/>
          </w:tcPr>
          <w:p>
            <w:pPr>
              <w:pStyle w:val="TableContents"/>
              <w:spacing w:before="0" w:after="0"/>
              <w:ind w:left="0" w:right="0" w:hanging="0"/>
              <w:rPr/>
            </w:pPr>
            <w:r>
              <w:rPr/>
              <w:t> </w:t>
            </w:r>
          </w:p>
        </w:tc>
        <w:tc>
          <w:tcPr>
            <w:tcW w:w="130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3,680</w:t>
            </w:r>
          </w:p>
        </w:tc>
        <w:tc>
          <w:tcPr>
            <w:tcW w:w="183" w:type="dxa"/>
            <w:tcBorders/>
            <w:shd w:fill="auto" w:val="clear"/>
            <w:vAlign w:val="bottom"/>
          </w:tcPr>
          <w:p>
            <w:pPr>
              <w:pStyle w:val="TableContents"/>
              <w:spacing w:before="0" w:after="0"/>
              <w:ind w:left="0" w:right="0" w:hanging="0"/>
              <w:rPr/>
            </w:pPr>
            <w:r>
              <w:rPr/>
              <w:t> </w:t>
            </w:r>
          </w:p>
        </w:tc>
        <w:tc>
          <w:tcPr>
            <w:tcW w:w="12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3,820</w:t>
            </w:r>
          </w:p>
        </w:tc>
        <w:tc>
          <w:tcPr>
            <w:tcW w:w="182" w:type="dxa"/>
            <w:tcBorders/>
            <w:shd w:fill="auto" w:val="clear"/>
            <w:vAlign w:val="bottom"/>
          </w:tcPr>
          <w:p>
            <w:pPr>
              <w:pStyle w:val="TableContents"/>
              <w:spacing w:before="0" w:after="0"/>
              <w:ind w:left="0" w:right="0" w:hanging="0"/>
              <w:rPr/>
            </w:pPr>
            <w:r>
              <w:rPr/>
              <w:t> </w:t>
            </w:r>
          </w:p>
        </w:tc>
        <w:tc>
          <w:tcPr>
            <w:tcW w:w="135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3,741</w:t>
            </w:r>
          </w:p>
        </w:tc>
        <w:tc>
          <w:tcPr>
            <w:tcW w:w="128" w:type="dxa"/>
            <w:tcBorders/>
            <w:shd w:fill="auto" w:val="clear"/>
            <w:vAlign w:val="bottom"/>
          </w:tcPr>
          <w:p>
            <w:pPr>
              <w:pStyle w:val="TableContents"/>
              <w:spacing w:before="0" w:after="0"/>
              <w:ind w:left="0" w:right="0" w:hanging="0"/>
              <w:rPr/>
            </w:pPr>
            <w:r>
              <w:rPr/>
              <w:t> </w:t>
            </w:r>
          </w:p>
        </w:tc>
      </w:tr>
      <w:tr>
        <w:trPr/>
        <w:tc>
          <w:tcPr>
            <w:tcW w:w="3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5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9"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169"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83"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18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12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14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jc w:val="center"/>
        <w:rPr/>
      </w:pPr>
      <w:r>
        <w:rPr/>
        <w:t> </w:t>
      </w:r>
    </w:p>
    <w:tbl>
      <w:tblPr>
        <w:tblW w:w="4500" w:type="pct"/>
        <w:jc w:val="left"/>
        <w:tblInd w:w="0" w:type="dxa"/>
        <w:tblCellMar>
          <w:top w:w="0" w:type="dxa"/>
          <w:left w:w="0" w:type="dxa"/>
          <w:bottom w:w="0" w:type="dxa"/>
          <w:right w:w="0" w:type="dxa"/>
        </w:tblCellMar>
      </w:tblPr>
      <w:tblGrid>
        <w:gridCol w:w="3116"/>
        <w:gridCol w:w="169"/>
        <w:gridCol w:w="215"/>
        <w:gridCol w:w="1094"/>
        <w:gridCol w:w="169"/>
        <w:gridCol w:w="215"/>
        <w:gridCol w:w="1094"/>
        <w:gridCol w:w="183"/>
        <w:gridCol w:w="201"/>
        <w:gridCol w:w="1052"/>
        <w:gridCol w:w="183"/>
        <w:gridCol w:w="229"/>
        <w:gridCol w:w="1134"/>
        <w:gridCol w:w="130"/>
      </w:tblGrid>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9" w:type="dxa"/>
            <w:tcBorders/>
            <w:shd w:fill="auto" w:val="clear"/>
            <w:vAlign w:val="bottom"/>
          </w:tcPr>
          <w:p>
            <w:pPr>
              <w:pStyle w:val="TableContents"/>
              <w:spacing w:before="0" w:after="0"/>
              <w:ind w:left="0" w:right="0" w:hanging="0"/>
              <w:jc w:val="center"/>
              <w:rPr/>
            </w:pPr>
            <w:r>
              <w:rPr/>
              <w:t> </w:t>
            </w:r>
          </w:p>
        </w:tc>
        <w:tc>
          <w:tcPr>
            <w:tcW w:w="429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6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2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83" w:type="dxa"/>
            <w:tcBorders/>
            <w:shd w:fill="auto" w:val="clear"/>
            <w:vAlign w:val="bottom"/>
          </w:tcPr>
          <w:p>
            <w:pPr>
              <w:pStyle w:val="TableContents"/>
              <w:spacing w:before="0" w:after="0"/>
              <w:ind w:left="0" w:right="0" w:hanging="0"/>
              <w:jc w:val="center"/>
              <w:rPr/>
            </w:pPr>
            <w:r>
              <w:rPr/>
              <w:t> </w:t>
            </w:r>
          </w:p>
        </w:tc>
        <w:tc>
          <w:tcPr>
            <w:tcW w:w="13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6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83" w:type="dxa"/>
            <w:tcBorders/>
            <w:shd w:fill="auto" w:val="clear"/>
            <w:vAlign w:val="bottom"/>
          </w:tcPr>
          <w:p>
            <w:pPr>
              <w:pStyle w:val="TableContents"/>
              <w:spacing w:before="0" w:after="0"/>
              <w:ind w:left="0" w:right="0" w:hanging="0"/>
              <w:jc w:val="center"/>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83" w:type="dxa"/>
            <w:tcBorders/>
            <w:shd w:fill="auto" w:val="clear"/>
            <w:vAlign w:val="bottom"/>
          </w:tcPr>
          <w:p>
            <w:pPr>
              <w:pStyle w:val="TableContents"/>
              <w:spacing w:before="0" w:after="0"/>
              <w:ind w:left="0" w:right="0" w:hanging="0"/>
              <w:jc w:val="center"/>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30" w:type="dxa"/>
            <w:tcBorders/>
            <w:shd w:fill="auto" w:val="clear"/>
            <w:vAlign w:val="bottom"/>
          </w:tcPr>
          <w:p>
            <w:pPr>
              <w:pStyle w:val="TableContents"/>
              <w:spacing w:before="0" w:after="0"/>
              <w:ind w:left="0" w:right="0" w:hanging="0"/>
              <w:jc w:val="center"/>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Terminalling and Storage (MMBbls/Mo.)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Rail Unload / Load Volumes (MBbl/d)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(MBbls/d)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Activities Total</w:t>
              <w:br/>
              <w:t xml:space="preserve">Avg. Capacity (MMBbls/Mo.) ¹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31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jc w:val="right"/>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53"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31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6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6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8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8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w:t>
            </w:r>
          </w:p>
        </w:tc>
        <w:tc>
          <w:tcPr>
            <w:tcW w:w="13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11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 xml:space="preserve">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32224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convert to monthly volumes in millions; and (iv) NGL fractionation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merchant-related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various delivery points, including but not limited to refineries, connecting carriers and fractionation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June 30, 2013 reflect the current market structure and for the six-month period ending December 31, 2013 reflect the seasonal, weather-related variations in NGL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3900" w:type="pct"/>
        <w:jc w:val="left"/>
        <w:tblInd w:w="0" w:type="dxa"/>
        <w:tblCellMar>
          <w:top w:w="0" w:type="dxa"/>
          <w:left w:w="0" w:type="dxa"/>
          <w:bottom w:w="0" w:type="dxa"/>
          <w:right w:w="0" w:type="dxa"/>
        </w:tblCellMar>
      </w:tblPr>
      <w:tblGrid>
        <w:gridCol w:w="2307"/>
        <w:gridCol w:w="175"/>
        <w:gridCol w:w="213"/>
        <w:gridCol w:w="988"/>
        <w:gridCol w:w="175"/>
        <w:gridCol w:w="213"/>
        <w:gridCol w:w="988"/>
        <w:gridCol w:w="192"/>
        <w:gridCol w:w="197"/>
        <w:gridCol w:w="941"/>
        <w:gridCol w:w="192"/>
        <w:gridCol w:w="228"/>
        <w:gridCol w:w="1034"/>
        <w:gridCol w:w="116"/>
      </w:tblGrid>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5" w:type="dxa"/>
            <w:tcBorders/>
            <w:shd w:fill="auto" w:val="clear"/>
            <w:vAlign w:val="bottom"/>
          </w:tcPr>
          <w:p>
            <w:pPr>
              <w:pStyle w:val="TableContents"/>
              <w:spacing w:before="0" w:after="0"/>
              <w:ind w:left="0" w:right="0" w:hanging="0"/>
              <w:jc w:val="center"/>
              <w:rPr/>
            </w:pPr>
            <w:r>
              <w:rPr/>
              <w:t> </w:t>
            </w:r>
          </w:p>
        </w:tc>
        <w:tc>
          <w:tcPr>
            <w:tcW w:w="398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2" w:type="dxa"/>
            <w:tcBorders/>
            <w:shd w:fill="auto" w:val="clear"/>
            <w:vAlign w:val="bottom"/>
          </w:tcPr>
          <w:p>
            <w:pPr>
              <w:pStyle w:val="TableContents"/>
              <w:spacing w:before="0" w:after="0"/>
              <w:ind w:left="0" w:right="0" w:hanging="0"/>
              <w:jc w:val="center"/>
              <w:rPr/>
            </w:pPr>
            <w:r>
              <w:rPr/>
              <w:t> </w:t>
            </w:r>
          </w:p>
        </w:tc>
        <w:tc>
          <w:tcPr>
            <w:tcW w:w="11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2"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2013</w:t>
            </w:r>
          </w:p>
        </w:tc>
        <w:tc>
          <w:tcPr>
            <w:tcW w:w="175"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2013</w:t>
            </w:r>
          </w:p>
        </w:tc>
        <w:tc>
          <w:tcPr>
            <w:tcW w:w="192" w:type="dxa"/>
            <w:tcBorders/>
            <w:shd w:fill="auto" w:val="clear"/>
            <w:vAlign w:val="bottom"/>
          </w:tcPr>
          <w:p>
            <w:pPr>
              <w:pStyle w:val="TableContents"/>
              <w:spacing w:before="0" w:after="0"/>
              <w:ind w:left="0" w:right="0" w:hanging="0"/>
              <w:jc w:val="center"/>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92"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116" w:type="dxa"/>
            <w:tcBorders/>
            <w:shd w:fill="auto" w:val="clear"/>
            <w:vAlign w:val="bottom"/>
          </w:tcPr>
          <w:p>
            <w:pPr>
              <w:pStyle w:val="TableContents"/>
              <w:spacing w:before="0" w:after="0"/>
              <w:ind w:left="0" w:right="0" w:hanging="0"/>
              <w:jc w:val="center"/>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1,120</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1,099</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75"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138"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23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138"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3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75"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175"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9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0.76</w:t>
            </w:r>
          </w:p>
        </w:tc>
        <w:tc>
          <w:tcPr>
            <w:tcW w:w="19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1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30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due to gains and losses on intermittent sales of assets, asset retirement obligations, asset impairments or foreign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33158_3020"/>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 xml:space="preserve">Although acquisitions constitute a key element of our growth strategy, the forecasted results and associated estimates do not include any forecasts for acquisitions that we may commit to after the date hereof. We forecast capital expenditures during calendar 2013 to be approximately $1.4 billion for expansion projects with an additional $170 to $190 million for maintenance capital projects.  During the first three months of 2013, we spent $358 million and $44 million for expansion and maintenance projects, respectively.  The following are some of the more notable projects and forecasted expenditures for the year ending December 31, 2013:  </w:t>
      </w:r>
    </w:p>
    <w:p>
      <w:pPr>
        <w:pStyle w:val="TextBody"/>
        <w:spacing w:before="0" w:after="0"/>
        <w:ind w:left="0" w:right="0" w:hanging="0"/>
        <w:jc w:val="center"/>
        <w:rPr/>
      </w:pPr>
      <w:r>
        <w:rPr/>
        <w:t> </w:t>
      </w:r>
    </w:p>
    <w:tbl>
      <w:tblPr>
        <w:tblW w:w="3650" w:type="pct"/>
        <w:jc w:val="left"/>
        <w:tblInd w:w="0" w:type="dxa"/>
        <w:tblCellMar>
          <w:top w:w="0" w:type="dxa"/>
          <w:left w:w="0" w:type="dxa"/>
          <w:bottom w:w="0" w:type="dxa"/>
          <w:right w:w="0" w:type="dxa"/>
        </w:tblCellMar>
      </w:tblPr>
      <w:tblGrid>
        <w:gridCol w:w="5625"/>
        <w:gridCol w:w="227"/>
        <w:gridCol w:w="1521"/>
        <w:gridCol w:w="76"/>
      </w:tblGrid>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2013</w:t>
            </w:r>
          </w:p>
        </w:tc>
        <w:tc>
          <w:tcPr>
            <w:tcW w:w="76" w:type="dxa"/>
            <w:tcBorders/>
            <w:shd w:fill="auto" w:val="clear"/>
            <w:vAlign w:val="bottom"/>
          </w:tcPr>
          <w:p>
            <w:pPr>
              <w:pStyle w:val="TableContents"/>
              <w:spacing w:before="0" w:after="0"/>
              <w:ind w:left="0" w:right="0" w:hanging="0"/>
              <w:jc w:val="center"/>
              <w:rPr/>
            </w:pPr>
            <w:r>
              <w:rPr/>
              <w:t> </w:t>
            </w:r>
          </w:p>
        </w:tc>
      </w:tr>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jc w:val="center"/>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76" w:type="dxa"/>
            <w:tcBorders/>
            <w:shd w:fill="auto" w:val="clear"/>
            <w:vAlign w:val="bottom"/>
          </w:tcPr>
          <w:p>
            <w:pPr>
              <w:pStyle w:val="TableContents"/>
              <w:spacing w:before="0" w:after="0"/>
              <w:ind w:left="0" w:right="0" w:hanging="0"/>
              <w:jc w:val="center"/>
              <w:rPr/>
            </w:pPr>
            <w:r>
              <w:rPr/>
              <w:t> </w:t>
            </w:r>
          </w:p>
        </w:tc>
      </w:tr>
      <w:tr>
        <w:trPr/>
        <w:tc>
          <w:tcPr>
            <w:tcW w:w="56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pPr>
            <w:r>
              <w:rPr/>
              <w:t> </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Mississippian Lime Pipeline</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JV Project</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Rail Terminal Projects</w:t>
            </w:r>
            <w:r>
              <w:rPr/>
              <w:t xml:space="preserve"> </w:t>
            </w:r>
            <w:r>
              <w:rPr>
                <w:sz w:val="11"/>
              </w:rPr>
              <w:t>(1)</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White Cliffs Expansion</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Gulf Coast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Yorktown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Eagle Ford Area Pipeline Projects</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Cactus Pipeline</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Western Oklahoma Extension</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Cushing Terminal Projects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(2)</w:t>
            </w:r>
          </w:p>
        </w:tc>
        <w:tc>
          <w:tcPr>
            <w:tcW w:w="227" w:type="dxa"/>
            <w:tcBorders/>
            <w:shd w:fill="CCEEFF" w:val="clear"/>
            <w:vAlign w:val="bottom"/>
          </w:tcPr>
          <w:p>
            <w:pPr>
              <w:pStyle w:val="TableContents"/>
              <w:spacing w:before="0" w:after="0"/>
              <w:ind w:left="0" w:right="0" w:hanging="0"/>
              <w:rPr/>
            </w:pPr>
            <w:r>
              <w:rPr/>
              <w:t> </w:t>
            </w:r>
          </w:p>
        </w:tc>
        <w:tc>
          <w:tcPr>
            <w:tcW w:w="1521"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298</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pPr>
            <w:r>
              <w:rPr/>
              <w:t> </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(3)</w:t>
            </w:r>
          </w:p>
        </w:tc>
        <w:tc>
          <w:tcPr>
            <w:tcW w:w="227" w:type="dxa"/>
            <w:tcBorders/>
            <w:shd w:fill="CCEEFF" w:val="clear"/>
            <w:vAlign w:val="bottom"/>
          </w:tcPr>
          <w:p>
            <w:pPr>
              <w:pStyle w:val="TableContents"/>
              <w:spacing w:before="0" w:after="0"/>
              <w:ind w:left="0" w:right="0" w:hanging="0"/>
              <w:rPr/>
            </w:pPr>
            <w:r>
              <w:rPr/>
              <w:t> </w:t>
            </w:r>
          </w:p>
        </w:tc>
        <w:tc>
          <w:tcPr>
            <w:tcW w:w="1521"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$150</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27" w:type="dxa"/>
            <w:tcBorders/>
            <w:shd w:fill="auto" w:val="clear"/>
            <w:vAlign w:val="bottom"/>
          </w:tcPr>
          <w:p>
            <w:pPr>
              <w:pStyle w:val="TableContents"/>
              <w:spacing w:before="0" w:after="0"/>
              <w:ind w:left="0" w:right="0" w:hanging="0"/>
              <w:rPr/>
            </w:pPr>
            <w:r>
              <w:rPr/>
              <w:t> </w:t>
            </w:r>
          </w:p>
        </w:tc>
        <w:tc>
          <w:tcPr>
            <w:tcW w:w="1521" w:type="dxa"/>
            <w:tcBorders>
              <w:bottom w:val="doub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$1,350   -   $1,550</w:t>
            </w:r>
          </w:p>
        </w:tc>
        <w:tc>
          <w:tcPr>
            <w:tcW w:w="76" w:type="dxa"/>
            <w:tcBorders/>
            <w:shd w:fill="auto" w:val="clear"/>
            <w:vAlign w:val="bottom"/>
          </w:tcPr>
          <w:p>
            <w:pPr>
              <w:pStyle w:val="TableContents"/>
              <w:spacing w:before="0" w:after="0"/>
              <w:ind w:left="0" w:right="0" w:hanging="0"/>
              <w:rPr/>
            </w:pPr>
            <w:r>
              <w:rPr/>
              <w:t> </w:t>
            </w:r>
          </w:p>
        </w:tc>
      </w:tr>
      <w:tr>
        <w:trPr/>
        <w:tc>
          <w:tcPr>
            <w:tcW w:w="5625" w:type="dxa"/>
            <w:tcBorders/>
            <w:shd w:fill="CCEEFF" w:val="clear"/>
            <w:vAlign w:val="bottom"/>
          </w:tcPr>
          <w:p>
            <w:pPr>
              <w:pStyle w:val="TableContents"/>
              <w:spacing w:before="0" w:after="0"/>
              <w:ind w:left="0" w:right="0" w:hanging="0"/>
              <w:rPr/>
            </w:pPr>
            <w:r>
              <w:rPr/>
              <w:t> </w:t>
            </w:r>
          </w:p>
        </w:tc>
        <w:tc>
          <w:tcPr>
            <w:tcW w:w="227" w:type="dxa"/>
            <w:tcBorders/>
            <w:shd w:fill="CCEEFF" w:val="clear"/>
            <w:vAlign w:val="bottom"/>
          </w:tcPr>
          <w:p>
            <w:pPr>
              <w:pStyle w:val="TableContents"/>
              <w:spacing w:before="0" w:after="0"/>
              <w:ind w:left="0" w:right="0" w:hanging="0"/>
              <w:rPr/>
            </w:pPr>
            <w:r>
              <w:rPr/>
              <w:t> </w:t>
            </w:r>
          </w:p>
        </w:tc>
        <w:tc>
          <w:tcPr>
            <w:tcW w:w="1521" w:type="dxa"/>
            <w:tcBorders/>
            <w:shd w:fill="CCEEFF" w:val="clear"/>
            <w:vAlign w:val="bottom"/>
          </w:tcPr>
          <w:p>
            <w:pPr>
              <w:pStyle w:val="TableContents"/>
              <w:spacing w:before="0" w:after="0"/>
              <w:ind w:left="0" w:right="0" w:hanging="0"/>
              <w:jc w:val="center"/>
              <w:rPr/>
            </w:pPr>
            <w:r>
              <w:rPr/>
              <w:t> </w:t>
            </w:r>
          </w:p>
        </w:tc>
        <w:tc>
          <w:tcPr>
            <w:tcW w:w="76" w:type="dxa"/>
            <w:tcBorders/>
            <w:shd w:fill="CCEEFF" w:val="clear"/>
            <w:vAlign w:val="bottom"/>
          </w:tcPr>
          <w:p>
            <w:pPr>
              <w:pStyle w:val="TableContents"/>
              <w:spacing w:before="0" w:after="0"/>
              <w:ind w:left="0" w:right="0" w:hanging="0"/>
              <w:rPr/>
            </w:pPr>
            <w:r>
              <w:rPr/>
              <w:t> </w:t>
            </w:r>
          </w:p>
        </w:tc>
      </w:tr>
      <w:tr>
        <w:trPr/>
        <w:tc>
          <w:tcPr>
            <w:tcW w:w="56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27" w:type="dxa"/>
            <w:tcBorders/>
            <w:shd w:fill="auto" w:val="clear"/>
            <w:vAlign w:val="bottom"/>
          </w:tcPr>
          <w:p>
            <w:pPr>
              <w:pStyle w:val="TableContents"/>
              <w:spacing w:before="0" w:after="0"/>
              <w:ind w:left="0" w:right="0" w:hanging="0"/>
              <w:rPr/>
            </w:pPr>
            <w:r>
              <w:rPr/>
              <w:t> </w:t>
            </w:r>
          </w:p>
        </w:tc>
        <w:tc>
          <w:tcPr>
            <w:tcW w:w="1521"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$170     -     $190</w:t>
            </w:r>
          </w:p>
        </w:tc>
        <w:tc>
          <w:tcPr>
            <w:tcW w:w="7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Carr, CO and Van Hook, ND.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March 31, 2013 and adjusted for estimated equity issuances under our continuous offering program.  Also assumed in our guidance is that we expect to repay our $250 million 5.625% senior notes that mature December 15, 2013 with short-term borrowings from our credit facility as a result of prefunding during 2012 (equity and retained cash flow), accordingly these notes are classified as short-term on our balance sheet at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April.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hedged inventory borrowings as carrying costs of crude oil and NGL and include it in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34403_7748"/>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our Canadian income tax expense to be approximately $5 million and $78 million for the three-month period ending June 30, 2013 and twelve-month period ending December 31, 2013, of which approximately $(1) million and $49 million, respectively, is classified as current income tax expense (benefit).  For the twelve-month period ending December 31, 2013 we expect to have a deferred tax expense of $29 million.  All or part of the income tax expense of $78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May 5, 2013, estimated vesting dates range from May 2013 to August 2019 and annualized benchmark distribution levels range from $1.925 to $2.85.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8, 2013, we declared an annualized distribution of $2.30 payable on May 15, 2013 to our unitholders of record as of May 3, 2013. For the purposes of guidance, we have made the assessment that a $2.50 distribution level is probable of occurring, and accordingly, guidance includes an accrual over the applicable service period at an assumed market price of $56.00 per unit as well as an accrual associated with awards that will vest on a certain date. The actual amount of equity compensation expense in any given period will be directly influenced by (i) our unit price at the end of each reporting period, (ii) our unit price on the vesting date, (iii) the probability assessment regarding distributions, and (iv) new equity compensation award grants. For example, a $2.00 change in the unit price would change the second-quarter and full-year equity compensation expense by approximately $6 million and $7 million, respectively.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EBITDA and Adjusted EBITDA.</w:t>
      </w:r>
      <w:r>
        <w:rPr>
          <w:rFonts w:ascii="Times New Roman" w:hAnsi="Times New Roman"/>
        </w:rPr>
        <w:t xml:space="preserve"> </w:t>
      </w:r>
      <w:r>
        <w:rPr>
          <w:rFonts w:ascii="Times New Roman" w:hAnsi="Times New Roman"/>
          <w:sz w:val="17"/>
        </w:rPr>
        <w:t>The following table reconciles net income to EBIT, EBITDA and Adjusted EBITDA for the three-month period ending June 30, 2013 and the six and twelve-month periods ending December 31, 2013.</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2209"/>
        <w:gridCol w:w="160"/>
        <w:gridCol w:w="116"/>
        <w:gridCol w:w="699"/>
        <w:gridCol w:w="161"/>
        <w:gridCol w:w="116"/>
        <w:gridCol w:w="701"/>
        <w:gridCol w:w="160"/>
        <w:gridCol w:w="117"/>
        <w:gridCol w:w="700"/>
        <w:gridCol w:w="162"/>
        <w:gridCol w:w="117"/>
        <w:gridCol w:w="736"/>
        <w:gridCol w:w="160"/>
        <w:gridCol w:w="114"/>
        <w:gridCol w:w="748"/>
        <w:gridCol w:w="160"/>
        <w:gridCol w:w="114"/>
        <w:gridCol w:w="748"/>
        <w:gridCol w:w="578"/>
      </w:tblGrid>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5829"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7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2"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84"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7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60" w:type="dxa"/>
            <w:tcBorders/>
            <w:shd w:fill="auto" w:val="clear"/>
            <w:vAlign w:val="bottom"/>
          </w:tcPr>
          <w:p>
            <w:pPr>
              <w:pStyle w:val="TableContents"/>
              <w:spacing w:before="0" w:after="0"/>
              <w:ind w:left="0" w:right="0" w:hanging="0"/>
              <w:jc w:val="center"/>
              <w:rPr/>
            </w:pPr>
            <w:r>
              <w:rPr/>
              <w:t> </w:t>
            </w:r>
          </w:p>
        </w:tc>
        <w:tc>
          <w:tcPr>
            <w:tcW w:w="18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60" w:type="dxa"/>
            <w:tcBorders/>
            <w:shd w:fill="auto" w:val="clear"/>
            <w:vAlign w:val="bottom"/>
          </w:tcPr>
          <w:p>
            <w:pPr>
              <w:pStyle w:val="TableContents"/>
              <w:spacing w:before="0" w:after="0"/>
              <w:ind w:left="0" w:right="0" w:hanging="0"/>
              <w:jc w:val="center"/>
              <w:rPr/>
            </w:pPr>
            <w:r>
              <w:rPr/>
              <w:t> </w:t>
            </w:r>
          </w:p>
        </w:tc>
        <w:tc>
          <w:tcPr>
            <w:tcW w:w="18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0" w:type="dxa"/>
            <w:tcBorders/>
            <w:shd w:fill="auto" w:val="clear"/>
            <w:vAlign w:val="bottom"/>
          </w:tcPr>
          <w:p>
            <w:pPr>
              <w:pStyle w:val="TableContents"/>
              <w:spacing w:before="0" w:after="0"/>
              <w:ind w:left="0" w:right="0" w:hanging="0"/>
              <w:jc w:val="center"/>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0" w:type="dxa"/>
            <w:tcBorders/>
            <w:shd w:fill="auto" w:val="clear"/>
            <w:vAlign w:val="bottom"/>
          </w:tcPr>
          <w:p>
            <w:pPr>
              <w:pStyle w:val="TableContents"/>
              <w:spacing w:before="0" w:after="0"/>
              <w:ind w:left="0" w:right="0" w:hanging="0"/>
              <w:jc w:val="center"/>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578" w:type="dxa"/>
            <w:tcBorders/>
            <w:shd w:fill="auto" w:val="clear"/>
            <w:vAlign w:val="bottom"/>
          </w:tcPr>
          <w:p>
            <w:pPr>
              <w:pStyle w:val="TableContents"/>
              <w:spacing w:before="0" w:after="0"/>
              <w:ind w:left="0" w:right="0" w:hanging="0"/>
              <w:jc w:val="center"/>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pPr>
            <w:r>
              <w:rPr/>
              <w:t> </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pPr>
            <w:r>
              <w:rPr/>
              <w:t> </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6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224</w:t>
            </w:r>
          </w:p>
        </w:tc>
        <w:tc>
          <w:tcPr>
            <w:tcW w:w="161"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279</w:t>
            </w:r>
          </w:p>
        </w:tc>
        <w:tc>
          <w:tcPr>
            <w:tcW w:w="16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561</w:t>
            </w:r>
          </w:p>
        </w:tc>
        <w:tc>
          <w:tcPr>
            <w:tcW w:w="162"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636</w:t>
            </w:r>
          </w:p>
        </w:tc>
        <w:tc>
          <w:tcPr>
            <w:tcW w:w="160"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1,321</w:t>
            </w:r>
          </w:p>
        </w:tc>
        <w:tc>
          <w:tcPr>
            <w:tcW w:w="160"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1,451</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753</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1,732</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1,842</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6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6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60"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931</w:t>
            </w:r>
          </w:p>
        </w:tc>
        <w:tc>
          <w:tcPr>
            <w:tcW w:w="162"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w:t>
            </w:r>
          </w:p>
        </w:tc>
        <w:tc>
          <w:tcPr>
            <w:tcW w:w="160"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2,079</w:t>
            </w:r>
          </w:p>
        </w:tc>
        <w:tc>
          <w:tcPr>
            <w:tcW w:w="160"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2,179</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jc w:val="right"/>
              <w:rPr/>
            </w:pPr>
            <w:r>
              <w:rPr/>
              <w:t> </w:t>
            </w:r>
          </w:p>
        </w:tc>
        <w:tc>
          <w:tcPr>
            <w:tcW w:w="161"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853"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shd w:fill="auto" w:val="clear"/>
            <w:vAlign w:val="bottom"/>
          </w:tcPr>
          <w:p>
            <w:pPr>
              <w:pStyle w:val="TableContents"/>
              <w:spacing w:before="0" w:after="0"/>
              <w:ind w:left="0" w:right="0" w:hanging="0"/>
              <w:jc w:val="right"/>
              <w:rPr/>
            </w:pPr>
            <w:r>
              <w:rPr/>
              <w:t> </w:t>
            </w:r>
          </w:p>
        </w:tc>
        <w:tc>
          <w:tcPr>
            <w:tcW w:w="160" w:type="dxa"/>
            <w:tcBorders/>
            <w:shd w:fill="auto" w:val="clear"/>
            <w:vAlign w:val="bottom"/>
          </w:tcPr>
          <w:p>
            <w:pPr>
              <w:pStyle w:val="TableContents"/>
              <w:spacing w:before="0" w:after="0"/>
              <w:ind w:left="0" w:right="0" w:hanging="0"/>
              <w:rPr/>
            </w:pPr>
            <w:r>
              <w:rPr/>
              <w:t> </w:t>
            </w:r>
          </w:p>
        </w:tc>
        <w:tc>
          <w:tcPr>
            <w:tcW w:w="862" w:type="dxa"/>
            <w:gridSpan w:val="2"/>
            <w:tcBorders/>
            <w:shd w:fill="auto" w:val="clear"/>
            <w:vAlign w:val="bottom"/>
          </w:tcPr>
          <w:p>
            <w:pPr>
              <w:pStyle w:val="TableContents"/>
              <w:spacing w:before="0" w:after="0"/>
              <w:ind w:left="0" w:right="0" w:hanging="0"/>
              <w:jc w:val="right"/>
              <w:rPr/>
            </w:pPr>
            <w:r>
              <w:rPr/>
              <w:t> </w:t>
            </w:r>
          </w:p>
        </w:tc>
        <w:tc>
          <w:tcPr>
            <w:tcW w:w="578" w:type="dxa"/>
            <w:tcBorders/>
            <w:shd w:fill="auto" w:val="clear"/>
            <w:vAlign w:val="bottom"/>
          </w:tcPr>
          <w:p>
            <w:pPr>
              <w:pStyle w:val="TableContents"/>
              <w:spacing w:before="0" w:after="0"/>
              <w:ind w:left="0" w:right="0" w:hanging="0"/>
              <w:rPr/>
            </w:pPr>
            <w:r>
              <w:rPr/>
              <w:t> </w:t>
            </w:r>
          </w:p>
        </w:tc>
      </w:tr>
      <w:tr>
        <w:trPr/>
        <w:tc>
          <w:tcPr>
            <w:tcW w:w="2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60"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1"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0"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2" w:type="dxa"/>
            <w:tcBorders/>
            <w:shd w:fill="CCEEFF" w:val="clear"/>
            <w:vAlign w:val="bottom"/>
          </w:tcPr>
          <w:p>
            <w:pPr>
              <w:pStyle w:val="TableContents"/>
              <w:spacing w:before="0" w:after="0"/>
              <w:ind w:left="0" w:right="0" w:hanging="0"/>
              <w:rPr/>
            </w:pPr>
            <w:r>
              <w:rPr/>
              <w:t> </w:t>
            </w:r>
          </w:p>
        </w:tc>
        <w:tc>
          <w:tcPr>
            <w:tcW w:w="8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60" w:type="dxa"/>
            <w:tcBorders/>
            <w:shd w:fill="CCEEFF" w:val="clear"/>
            <w:vAlign w:val="bottom"/>
          </w:tcPr>
          <w:p>
            <w:pPr>
              <w:pStyle w:val="TableContents"/>
              <w:spacing w:before="0" w:after="0"/>
              <w:ind w:left="0" w:right="0" w:hanging="0"/>
              <w:rPr/>
            </w:pPr>
            <w:r>
              <w:rPr/>
              <w:t> </w:t>
            </w:r>
          </w:p>
        </w:tc>
        <w:tc>
          <w:tcPr>
            <w:tcW w:w="8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578" w:type="dxa"/>
            <w:tcBorders/>
            <w:shd w:fill="CCEEFF" w:val="clear"/>
            <w:vAlign w:val="bottom"/>
          </w:tcPr>
          <w:p>
            <w:pPr>
              <w:pStyle w:val="TableContents"/>
              <w:spacing w:before="0" w:after="0"/>
              <w:ind w:left="0" w:right="0" w:hanging="0"/>
              <w:rPr/>
            </w:pPr>
            <w:r>
              <w:rPr/>
              <w:t> </w:t>
            </w:r>
          </w:p>
        </w:tc>
      </w:tr>
      <w:tr>
        <w:trPr/>
        <w:tc>
          <w:tcPr>
            <w:tcW w:w="220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160"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415</w:t>
            </w:r>
          </w:p>
        </w:tc>
        <w:tc>
          <w:tcPr>
            <w:tcW w:w="161"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455</w:t>
            </w:r>
          </w:p>
        </w:tc>
        <w:tc>
          <w:tcPr>
            <w:tcW w:w="160"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956</w:t>
            </w:r>
          </w:p>
        </w:tc>
        <w:tc>
          <w:tcPr>
            <w:tcW w:w="162"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1,016</w:t>
            </w:r>
          </w:p>
        </w:tc>
        <w:tc>
          <w:tcPr>
            <w:tcW w:w="160"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b/>
                <w:sz w:val="17"/>
              </w:rPr>
              <w:t>2,110</w:t>
            </w:r>
          </w:p>
        </w:tc>
        <w:tc>
          <w:tcPr>
            <w:tcW w:w="160"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b/>
                <w:sz w:val="17"/>
              </w:rPr>
              <w:t>2,210</w:t>
            </w:r>
          </w:p>
        </w:tc>
        <w:tc>
          <w:tcPr>
            <w:tcW w:w="57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10.  </w:t>
      </w:r>
      <w:r>
        <w:rPr>
          <w:rFonts w:ascii="Times New Roman" w:hAnsi="Times New Roman"/>
          <w:i/>
          <w:sz w:val="17"/>
        </w:rPr>
        <w:t>Implied DCF.</w:t>
      </w:r>
      <w:r>
        <w:rPr>
          <w:rFonts w:ascii="Times New Roman" w:hAnsi="Times New Roman"/>
        </w:rPr>
        <w:t xml:space="preserve"> </w:t>
      </w:r>
      <w:r>
        <w:rPr>
          <w:rFonts w:ascii="Times New Roman" w:hAnsi="Times New Roman"/>
          <w:sz w:val="17"/>
        </w:rPr>
        <w:t>The following table reconciles the mid-point of adjusted EBITDA to implied DCF for the three-month period ending June 30, 2013 and the six and twelve-month periods ending December 31, 2013.</w:t>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2568"/>
        <w:gridCol w:w="172"/>
        <w:gridCol w:w="242"/>
        <w:gridCol w:w="1098"/>
        <w:gridCol w:w="190"/>
        <w:gridCol w:w="311"/>
        <w:gridCol w:w="1279"/>
        <w:gridCol w:w="190"/>
        <w:gridCol w:w="242"/>
        <w:gridCol w:w="1347"/>
        <w:gridCol w:w="116"/>
      </w:tblGrid>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489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5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0" w:type="dxa"/>
            <w:tcBorders/>
            <w:shd w:fill="auto" w:val="clear"/>
            <w:vAlign w:val="bottom"/>
          </w:tcPr>
          <w:p>
            <w:pPr>
              <w:pStyle w:val="TableContents"/>
              <w:spacing w:before="0" w:after="0"/>
              <w:ind w:left="0" w:right="0" w:hanging="0"/>
              <w:jc w:val="center"/>
              <w:rPr/>
            </w:pPr>
            <w:r>
              <w:rPr/>
              <w:t> </w:t>
            </w:r>
          </w:p>
        </w:tc>
        <w:tc>
          <w:tcPr>
            <w:tcW w:w="15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2013</w:t>
            </w:r>
          </w:p>
        </w:tc>
        <w:tc>
          <w:tcPr>
            <w:tcW w:w="190" w:type="dxa"/>
            <w:tcBorders/>
            <w:shd w:fill="auto" w:val="clear"/>
            <w:vAlign w:val="bottom"/>
          </w:tcPr>
          <w:p>
            <w:pPr>
              <w:pStyle w:val="TableContents"/>
              <w:spacing w:before="0" w:after="0"/>
              <w:ind w:left="0" w:right="0" w:hanging="0"/>
              <w:jc w:val="center"/>
              <w:rPr/>
            </w:pPr>
            <w:r>
              <w:rPr/>
              <w:t> </w:t>
            </w:r>
          </w:p>
        </w:tc>
        <w:tc>
          <w:tcPr>
            <w:tcW w:w="15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0" w:type="dxa"/>
            <w:tcBorders/>
            <w:shd w:fill="auto" w:val="clear"/>
            <w:vAlign w:val="bottom"/>
          </w:tcPr>
          <w:p>
            <w:pPr>
              <w:pStyle w:val="TableContents"/>
              <w:spacing w:before="0" w:after="0"/>
              <w:ind w:left="0" w:right="0" w:hanging="0"/>
              <w:jc w:val="center"/>
              <w:rPr/>
            </w:pPr>
            <w:r>
              <w:rPr/>
              <w:t> </w:t>
            </w:r>
          </w:p>
        </w:tc>
        <w:tc>
          <w:tcPr>
            <w:tcW w:w="15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489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6" w:type="dxa"/>
            <w:tcBorders/>
            <w:shd w:fill="auto" w:val="clear"/>
            <w:vAlign w:val="bottom"/>
          </w:tcPr>
          <w:p>
            <w:pPr>
              <w:pStyle w:val="TableContents"/>
              <w:spacing w:before="0" w:after="0"/>
              <w:ind w:left="0" w:right="0" w:hanging="0"/>
              <w:jc w:val="center"/>
              <w:rPr/>
            </w:pPr>
            <w:r>
              <w:rPr/>
              <w:t> </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72"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190" w:type="dxa"/>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986</w:t>
            </w:r>
          </w:p>
        </w:tc>
        <w:tc>
          <w:tcPr>
            <w:tcW w:w="190" w:type="dxa"/>
            <w:tcBorders/>
            <w:shd w:fill="CCEEFF" w:val="clear"/>
            <w:vAlign w:val="bottom"/>
          </w:tcPr>
          <w:p>
            <w:pPr>
              <w:pStyle w:val="TableContents"/>
              <w:spacing w:before="0" w:after="0"/>
              <w:ind w:left="0" w:right="0" w:hanging="0"/>
              <w:rPr/>
            </w:pPr>
            <w:r>
              <w:rPr/>
              <w:t> </w:t>
            </w:r>
          </w:p>
        </w:tc>
        <w:tc>
          <w:tcPr>
            <w:tcW w:w="2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2,160</w:t>
            </w:r>
          </w:p>
        </w:tc>
        <w:tc>
          <w:tcPr>
            <w:tcW w:w="116" w:type="dxa"/>
            <w:tcBorders/>
            <w:shd w:fill="CCEEFF" w:val="clear"/>
            <w:vAlign w:val="bottom"/>
          </w:tcPr>
          <w:p>
            <w:pPr>
              <w:pStyle w:val="TableContents"/>
              <w:spacing w:before="0" w:after="0"/>
              <w:ind w:left="0" w:right="0" w:hanging="0"/>
              <w:rPr/>
            </w:pPr>
            <w:r>
              <w:rPr/>
              <w:t> </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72"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benefit (expense) </w:t>
            </w:r>
          </w:p>
        </w:tc>
        <w:tc>
          <w:tcPr>
            <w:tcW w:w="172" w:type="dxa"/>
            <w:tcBorders/>
            <w:shd w:fill="CCEEFF" w:val="clear"/>
            <w:vAlign w:val="bottom"/>
          </w:tcPr>
          <w:p>
            <w:pPr>
              <w:pStyle w:val="TableContents"/>
              <w:spacing w:before="0" w:after="0"/>
              <w:ind w:left="0" w:right="0" w:hanging="0"/>
              <w:rPr/>
            </w:pPr>
            <w:r>
              <w:rPr/>
              <w:t> </w:t>
            </w:r>
          </w:p>
        </w:tc>
        <w:tc>
          <w:tcPr>
            <w:tcW w:w="13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15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72"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72" w:type="dxa"/>
            <w:tcBorders/>
            <w:shd w:fill="CCEEFF" w:val="clear"/>
            <w:vAlign w:val="bottom"/>
          </w:tcPr>
          <w:p>
            <w:pPr>
              <w:pStyle w:val="TableContents"/>
              <w:spacing w:before="0" w:after="0"/>
              <w:ind w:left="0" w:right="0" w:hanging="0"/>
              <w:rPr/>
            </w:pPr>
            <w:r>
              <w:rPr/>
              <w:t> </w:t>
            </w:r>
          </w:p>
        </w:tc>
        <w:tc>
          <w:tcPr>
            <w:tcW w:w="13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72"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90" w:type="dxa"/>
            <w:tcBorders/>
            <w:shd w:fill="auto" w:val="clear"/>
            <w:vAlign w:val="bottom"/>
          </w:tcPr>
          <w:p>
            <w:pPr>
              <w:pStyle w:val="TableContents"/>
              <w:spacing w:before="0" w:after="0"/>
              <w:ind w:left="0" w:right="0" w:hanging="0"/>
              <w:rPr/>
            </w:pPr>
            <w:r>
              <w:rPr/>
              <w:t> </w:t>
            </w:r>
          </w:p>
        </w:tc>
        <w:tc>
          <w:tcPr>
            <w:tcW w:w="3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190" w:type="dxa"/>
            <w:tcBorders/>
            <w:shd w:fill="auto" w:val="clear"/>
            <w:vAlign w:val="bottom"/>
          </w:tcPr>
          <w:p>
            <w:pPr>
              <w:pStyle w:val="TableContents"/>
              <w:spacing w:before="0" w:after="0"/>
              <w:ind w:left="0" w:right="0" w:hanging="0"/>
              <w:rPr/>
            </w:pPr>
            <w:r>
              <w:rPr/>
              <w:t> </w:t>
            </w:r>
          </w:p>
        </w:tc>
        <w:tc>
          <w:tcPr>
            <w:tcW w:w="2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1,557</w:t>
            </w:r>
          </w:p>
        </w:tc>
        <w:tc>
          <w:tcPr>
            <w:tcW w:w="11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34805_141"/>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34825_7608"/>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34859_814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3"/>
        <w:gridCol w:w="415"/>
        <w:gridCol w:w="625"/>
        <w:gridCol w:w="4062"/>
      </w:tblGrid>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062"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6, 2013</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62"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03"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6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35011_709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3-11224_1ex99d1.htm"/>
      <w:bookmarkStart w:id="13" w:name="ksa1311224_1ex99d1"/>
      <w:bookmarkEnd w:id="12"/>
      <w:bookmarkEnd w:id="13"/>
      <w:r>
        <w:rPr>
          <w:rFonts w:ascii="Times New Roman" w:hAnsi="Times New Roman"/>
          <w:b/>
          <w:sz w:val="17"/>
        </w:rPr>
        <w:t>Exhibit 99.1</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68580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1811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Strong First-Quarter 2013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May 6, 2013) Plains All American Pipeline, L.P. (NYSE: PAA) reported strong first-quarter 2013 results as summarized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Financial Information</w:t>
      </w:r>
      <w:r>
        <w:rPr>
          <w:rFonts w:ascii="Times New Roman" w:hAnsi="Times New Roman"/>
        </w:rPr>
        <w:t>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63"/>
        <w:gridCol w:w="211"/>
        <w:gridCol w:w="145"/>
        <w:gridCol w:w="1109"/>
        <w:gridCol w:w="218"/>
        <w:gridCol w:w="145"/>
        <w:gridCol w:w="1111"/>
        <w:gridCol w:w="211"/>
        <w:gridCol w:w="1370"/>
        <w:gridCol w:w="122"/>
      </w:tblGrid>
      <w:tr>
        <w:trPr/>
        <w:tc>
          <w:tcPr>
            <w:tcW w:w="556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72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211" w:type="dxa"/>
            <w:tcBorders/>
            <w:shd w:fill="auto" w:val="clear"/>
            <w:vAlign w:val="bottom"/>
          </w:tcPr>
          <w:p>
            <w:pPr>
              <w:pStyle w:val="TableContents"/>
              <w:spacing w:before="0" w:after="0"/>
              <w:ind w:left="0" w:right="0" w:hanging="0"/>
              <w:jc w:val="center"/>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556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1" w:type="dxa"/>
            <w:tcBorders/>
            <w:shd w:fill="auto" w:val="clear"/>
            <w:vAlign w:val="bottom"/>
          </w:tcPr>
          <w:p>
            <w:pPr>
              <w:pStyle w:val="TableContents"/>
              <w:spacing w:before="0" w:after="0"/>
              <w:ind w:left="0" w:right="0" w:hanging="0"/>
              <w:jc w:val="center"/>
              <w:rPr/>
            </w:pPr>
            <w:r>
              <w:rPr/>
              <w:t> </w:t>
            </w:r>
          </w:p>
        </w:tc>
        <w:tc>
          <w:tcPr>
            <w:tcW w:w="137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Change</w:t>
            </w:r>
          </w:p>
        </w:tc>
        <w:tc>
          <w:tcPr>
            <w:tcW w:w="122" w:type="dxa"/>
            <w:tcBorders/>
            <w:shd w:fill="auto" w:val="clear"/>
            <w:vAlign w:val="bottom"/>
          </w:tcPr>
          <w:p>
            <w:pPr>
              <w:pStyle w:val="TableContents"/>
              <w:spacing w:before="0" w:after="0"/>
              <w:ind w:left="0" w:right="0" w:hanging="0"/>
              <w:jc w:val="center"/>
              <w:rPr/>
            </w:pPr>
            <w:r>
              <w:rPr/>
              <w:t> </w:t>
            </w:r>
          </w:p>
        </w:tc>
      </w:tr>
      <w:tr>
        <w:trPr/>
        <w:tc>
          <w:tcPr>
            <w:tcW w:w="5563" w:type="dxa"/>
            <w:tcBorders/>
            <w:shd w:fill="FFFFFF" w:val="clear"/>
            <w:vAlign w:val="center"/>
          </w:tcPr>
          <w:p>
            <w:pPr>
              <w:pStyle w:val="TableContents"/>
              <w:spacing w:before="0" w:after="0"/>
              <w:ind w:left="0" w:right="0" w:hanging="0"/>
              <w:rPr/>
            </w:pPr>
            <w:r>
              <w:rPr/>
              <w:t> </w:t>
            </w:r>
          </w:p>
        </w:tc>
        <w:tc>
          <w:tcPr>
            <w:tcW w:w="211" w:type="dxa"/>
            <w:tcBorders/>
            <w:shd w:fill="FFFFFF" w:val="clear"/>
            <w:vAlign w:val="bottom"/>
          </w:tcPr>
          <w:p>
            <w:pPr>
              <w:pStyle w:val="TableContents"/>
              <w:spacing w:before="0" w:after="0"/>
              <w:ind w:left="0" w:right="0" w:hanging="0"/>
              <w:rPr/>
            </w:pPr>
            <w:r>
              <w:rPr/>
              <w:t> </w:t>
            </w:r>
          </w:p>
        </w:tc>
        <w:tc>
          <w:tcPr>
            <w:tcW w:w="145" w:type="dxa"/>
            <w:tcBorders/>
            <w:shd w:fill="FFFFFF" w:val="clear"/>
            <w:vAlign w:val="bottom"/>
          </w:tcPr>
          <w:p>
            <w:pPr>
              <w:pStyle w:val="TableContents"/>
              <w:spacing w:before="0" w:after="0"/>
              <w:ind w:left="0" w:right="0" w:hanging="0"/>
              <w:rPr/>
            </w:pPr>
            <w:r>
              <w:rPr/>
              <w:t> </w:t>
            </w:r>
          </w:p>
        </w:tc>
        <w:tc>
          <w:tcPr>
            <w:tcW w:w="11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8" w:type="dxa"/>
            <w:tcBorders/>
            <w:shd w:fill="FFFFFF" w:val="clear"/>
            <w:vAlign w:val="bottom"/>
          </w:tcPr>
          <w:p>
            <w:pPr>
              <w:pStyle w:val="TableContents"/>
              <w:spacing w:before="0" w:after="0"/>
              <w:ind w:left="0" w:right="0" w:hanging="0"/>
              <w:rPr/>
            </w:pPr>
            <w:r>
              <w:rPr/>
              <w:t> </w:t>
            </w:r>
          </w:p>
        </w:tc>
        <w:tc>
          <w:tcPr>
            <w:tcW w:w="145" w:type="dxa"/>
            <w:tcBorders/>
            <w:shd w:fill="FFFFFF" w:val="clear"/>
            <w:vAlign w:val="bottom"/>
          </w:tcPr>
          <w:p>
            <w:pPr>
              <w:pStyle w:val="TableContents"/>
              <w:spacing w:before="0" w:after="0"/>
              <w:ind w:left="0" w:right="0" w:hanging="0"/>
              <w:rPr/>
            </w:pPr>
            <w:r>
              <w:rPr/>
              <w:t> </w:t>
            </w:r>
          </w:p>
        </w:tc>
        <w:tc>
          <w:tcPr>
            <w:tcW w:w="1111"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1" w:type="dxa"/>
            <w:tcBorders/>
            <w:shd w:fill="FFFFFF" w:val="clear"/>
            <w:vAlign w:val="bottom"/>
          </w:tcPr>
          <w:p>
            <w:pPr>
              <w:pStyle w:val="TableContents"/>
              <w:spacing w:before="0" w:after="0"/>
              <w:ind w:left="0" w:right="0" w:hanging="0"/>
              <w:rPr/>
            </w:pPr>
            <w:r>
              <w:rPr/>
              <w:t> </w:t>
            </w:r>
          </w:p>
        </w:tc>
        <w:tc>
          <w:tcPr>
            <w:tcW w:w="1370" w:type="dxa"/>
            <w:tcBorders/>
            <w:shd w:fill="FFFFFF" w:val="clear"/>
            <w:vAlign w:val="bottom"/>
          </w:tcPr>
          <w:p>
            <w:pPr>
              <w:pStyle w:val="TableContents"/>
              <w:spacing w:before="0" w:after="0"/>
              <w:ind w:left="0" w:right="0" w:hanging="0"/>
              <w:jc w:val="center"/>
              <w:rPr/>
            </w:pPr>
            <w:r>
              <w:rPr/>
              <w:t> </w:t>
            </w:r>
          </w:p>
        </w:tc>
        <w:tc>
          <w:tcPr>
            <w:tcW w:w="122" w:type="dxa"/>
            <w:tcBorders/>
            <w:shd w:fill="FFFFFF"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122" w:type="dxa"/>
            <w:tcBorders/>
            <w:shd w:fill="CCEEFF" w:val="clear"/>
            <w:vAlign w:val="bottom"/>
          </w:tcPr>
          <w:p>
            <w:pPr>
              <w:pStyle w:val="TableContents"/>
              <w:spacing w:before="0" w:after="0"/>
              <w:ind w:left="0" w:right="0" w:hanging="0"/>
              <w:rPr/>
            </w:pPr>
            <w:r>
              <w:rPr/>
              <w:t> </w:t>
            </w:r>
          </w:p>
        </w:tc>
      </w:tr>
      <w:tr>
        <w:trPr/>
        <w:tc>
          <w:tcPr>
            <w:tcW w:w="5563" w:type="dxa"/>
            <w:tcBorders/>
            <w:shd w:fill="auto" w:val="clear"/>
            <w:vAlign w:val="cente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149%</w:t>
            </w:r>
          </w:p>
        </w:tc>
        <w:tc>
          <w:tcPr>
            <w:tcW w:w="122" w:type="dxa"/>
            <w:tcBorders/>
            <w:shd w:fill="CCEEFF" w:val="clear"/>
            <w:vAlign w:val="bottom"/>
          </w:tcPr>
          <w:p>
            <w:pPr>
              <w:pStyle w:val="TableContents"/>
              <w:spacing w:before="0" w:after="0"/>
              <w:ind w:left="0" w:right="0" w:hanging="0"/>
              <w:rPr/>
            </w:pPr>
            <w:r>
              <w:rPr/>
              <w:t> </w:t>
            </w:r>
          </w:p>
        </w:tc>
      </w:tr>
      <w:tr>
        <w:trPr/>
        <w:tc>
          <w:tcPr>
            <w:tcW w:w="5563" w:type="dxa"/>
            <w:tcBorders/>
            <w:shd w:fill="auto" w:val="clear"/>
            <w:vAlign w:val="cente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70" w:type="dxa"/>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56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1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1" w:type="dxa"/>
            <w:tcBorders/>
            <w:shd w:fill="CCEEFF" w:val="clear"/>
            <w:vAlign w:val="bottom"/>
          </w:tcPr>
          <w:p>
            <w:pPr>
              <w:pStyle w:val="TableContents"/>
              <w:spacing w:before="0" w:after="0"/>
              <w:ind w:left="0" w:right="0" w:hanging="0"/>
              <w:rPr/>
            </w:pPr>
            <w:r>
              <w:rPr/>
              <w:t> </w:t>
            </w:r>
          </w:p>
        </w:tc>
        <w:tc>
          <w:tcPr>
            <w:tcW w:w="1370"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96%</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2"/>
        <w:gridCol w:w="212"/>
        <w:gridCol w:w="110"/>
        <w:gridCol w:w="1076"/>
        <w:gridCol w:w="212"/>
        <w:gridCol w:w="110"/>
        <w:gridCol w:w="1076"/>
        <w:gridCol w:w="212"/>
        <w:gridCol w:w="1293"/>
        <w:gridCol w:w="112"/>
      </w:tblGrid>
      <w:tr>
        <w:trPr/>
        <w:tc>
          <w:tcPr>
            <w:tcW w:w="57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212" w:type="dxa"/>
            <w:tcBorders/>
            <w:shd w:fill="auto" w:val="clear"/>
            <w:vAlign w:val="bottom"/>
          </w:tcPr>
          <w:p>
            <w:pPr>
              <w:pStyle w:val="TableContents"/>
              <w:spacing w:before="0" w:after="0"/>
              <w:ind w:left="0" w:right="0" w:hanging="0"/>
              <w:jc w:val="center"/>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29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Change</w:t>
            </w:r>
          </w:p>
        </w:tc>
        <w:tc>
          <w:tcPr>
            <w:tcW w:w="112" w:type="dxa"/>
            <w:tcBorders/>
            <w:shd w:fill="auto" w:val="clear"/>
            <w:vAlign w:val="bottom"/>
          </w:tcPr>
          <w:p>
            <w:pPr>
              <w:pStyle w:val="TableContents"/>
              <w:spacing w:before="0" w:after="0"/>
              <w:ind w:left="0" w:right="0" w:hanging="0"/>
              <w:jc w:val="center"/>
              <w:rPr/>
            </w:pPr>
            <w:r>
              <w:rPr/>
              <w:t> </w:t>
            </w:r>
          </w:p>
        </w:tc>
      </w:tr>
      <w:tr>
        <w:trPr/>
        <w:tc>
          <w:tcPr>
            <w:tcW w:w="5792" w:type="dxa"/>
            <w:tcBorders/>
            <w:shd w:fill="FFFFFF" w:val="clear"/>
            <w:vAlign w:val="center"/>
          </w:tcPr>
          <w:p>
            <w:pPr>
              <w:pStyle w:val="TableContents"/>
              <w:spacing w:before="0" w:after="0"/>
              <w:ind w:left="0" w:right="0" w:hanging="0"/>
              <w:rPr/>
            </w:pPr>
            <w:r>
              <w:rPr/>
              <w:t> </w:t>
            </w:r>
          </w:p>
        </w:tc>
        <w:tc>
          <w:tcPr>
            <w:tcW w:w="212" w:type="dxa"/>
            <w:tcBorders/>
            <w:shd w:fill="FFFFFF" w:val="clear"/>
            <w:vAlign w:val="bottom"/>
          </w:tcPr>
          <w:p>
            <w:pPr>
              <w:pStyle w:val="TableContents"/>
              <w:spacing w:before="0" w:after="0"/>
              <w:ind w:left="0" w:right="0" w:hanging="0"/>
              <w:rPr/>
            </w:pPr>
            <w:r>
              <w:rPr/>
              <w:t> </w:t>
            </w:r>
          </w:p>
        </w:tc>
        <w:tc>
          <w:tcPr>
            <w:tcW w:w="110" w:type="dxa"/>
            <w:tcBorders/>
            <w:shd w:fill="FFFFFF" w:val="clear"/>
            <w:vAlign w:val="bottom"/>
          </w:tcPr>
          <w:p>
            <w:pPr>
              <w:pStyle w:val="TableContents"/>
              <w:spacing w:before="0" w:after="0"/>
              <w:ind w:left="0" w:right="0" w:hanging="0"/>
              <w:rPr/>
            </w:pPr>
            <w:r>
              <w:rPr/>
              <w:t> </w:t>
            </w:r>
          </w:p>
        </w:tc>
        <w:tc>
          <w:tcPr>
            <w:tcW w:w="107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2" w:type="dxa"/>
            <w:tcBorders/>
            <w:shd w:fill="FFFFFF" w:val="clear"/>
            <w:vAlign w:val="bottom"/>
          </w:tcPr>
          <w:p>
            <w:pPr>
              <w:pStyle w:val="TableContents"/>
              <w:spacing w:before="0" w:after="0"/>
              <w:ind w:left="0" w:right="0" w:hanging="0"/>
              <w:rPr/>
            </w:pPr>
            <w:r>
              <w:rPr/>
              <w:t> </w:t>
            </w:r>
          </w:p>
        </w:tc>
        <w:tc>
          <w:tcPr>
            <w:tcW w:w="110" w:type="dxa"/>
            <w:tcBorders/>
            <w:shd w:fill="FFFFFF" w:val="clear"/>
            <w:vAlign w:val="bottom"/>
          </w:tcPr>
          <w:p>
            <w:pPr>
              <w:pStyle w:val="TableContents"/>
              <w:spacing w:before="0" w:after="0"/>
              <w:ind w:left="0" w:right="0" w:hanging="0"/>
              <w:rPr/>
            </w:pPr>
            <w:r>
              <w:rPr/>
              <w:t> </w:t>
            </w:r>
          </w:p>
        </w:tc>
        <w:tc>
          <w:tcPr>
            <w:tcW w:w="107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212" w:type="dxa"/>
            <w:tcBorders/>
            <w:shd w:fill="FFFFFF" w:val="clear"/>
            <w:vAlign w:val="bottom"/>
          </w:tcPr>
          <w:p>
            <w:pPr>
              <w:pStyle w:val="TableContents"/>
              <w:spacing w:before="0" w:after="0"/>
              <w:ind w:left="0" w:right="0" w:hanging="0"/>
              <w:rPr/>
            </w:pPr>
            <w:r>
              <w:rPr/>
              <w:t> </w:t>
            </w:r>
          </w:p>
        </w:tc>
        <w:tc>
          <w:tcPr>
            <w:tcW w:w="1293" w:type="dxa"/>
            <w:tcBorders/>
            <w:shd w:fill="FFFFFF" w:val="clear"/>
            <w:vAlign w:val="bottom"/>
          </w:tcPr>
          <w:p>
            <w:pPr>
              <w:pStyle w:val="TableContents"/>
              <w:spacing w:before="0" w:after="0"/>
              <w:ind w:left="0" w:right="0" w:hanging="0"/>
              <w:jc w:val="center"/>
              <w:rPr/>
            </w:pPr>
            <w:r>
              <w:rPr/>
              <w:t> </w:t>
            </w:r>
          </w:p>
        </w:tc>
        <w:tc>
          <w:tcPr>
            <w:tcW w:w="112" w:type="dxa"/>
            <w:tcBorders/>
            <w:shd w:fill="FFFFFF"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64%</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59%</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112"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76"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93"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Distribution declared for the period</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0.5750</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0.5225</w:t>
            </w:r>
          </w:p>
        </w:tc>
        <w:tc>
          <w:tcPr>
            <w:tcW w:w="212" w:type="dxa"/>
            <w:tcBorders/>
            <w:shd w:fill="CCEEFF" w:val="clear"/>
            <w:vAlign w:val="bottom"/>
          </w:tcPr>
          <w:p>
            <w:pPr>
              <w:pStyle w:val="TableContents"/>
              <w:spacing w:before="0" w:after="0"/>
              <w:ind w:left="0" w:right="0" w:hanging="0"/>
              <w:rPr/>
            </w:pPr>
            <w:r>
              <w:rPr/>
              <w:t> </w:t>
            </w:r>
          </w:p>
        </w:tc>
        <w:tc>
          <w:tcPr>
            <w:tcW w:w="1293"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4" w:name="PB_2_165734_5335"/>
      <w:bookmarkEnd w:id="1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PAA reported very strong first-quarter results, which meaningfully exceeded 2012s comparable results as well as our guidance, said Greg L. Armstrong, Chairman and CEO of Plains All American. This performance was underpinned by solid fee-based results in our Transportation and Facilities segments and outstanding execution in our margin-based Supply and Logistics segment.  We have increased our 2013 adjusted EBITDA guidance by $135 million, representing an approximate 7% increase over our guidance issued at the beginning of the year. This updated guidance incorporates the benefit of our strong first-quarter performance as well as a slightly improved outlook for the second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the distribution payable next week, PAA will have increased year-over-year distributions by 10%. PAA ended the quarter with solid distribution coverage, a strong balance sheet, credit metrics favorable to our targets and approximately $2.8 billion in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Looking forward, PAAs 2013 capital program and multi-billion dollar project portfolio provide visibility for continued distribution growth.  As a result of advancements in several attractive projects over the last few months, we are also increasing our 2013 capital program by $300 million to $1.4 billion.  These new projects include our recently announced Cactus pipeline that will connect our Permian Basin and Eagle Ford assets. Furthermore, we continue to make progress on a number of other projects across the US and Canada.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financial information by segment for the first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of Selected Financial Data by Segment</w:t>
      </w:r>
      <w:r>
        <w:rPr>
          <w:rFonts w:ascii="Times New Roman" w:hAnsi="Times New Roman"/>
        </w:rPr>
        <w:t>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5"/>
        <w:gridCol w:w="164"/>
        <w:gridCol w:w="262"/>
        <w:gridCol w:w="1009"/>
        <w:gridCol w:w="179"/>
        <w:gridCol w:w="181"/>
        <w:gridCol w:w="560"/>
        <w:gridCol w:w="179"/>
        <w:gridCol w:w="207"/>
        <w:gridCol w:w="746"/>
        <w:gridCol w:w="179"/>
        <w:gridCol w:w="262"/>
        <w:gridCol w:w="1009"/>
        <w:gridCol w:w="105"/>
        <w:gridCol w:w="180"/>
        <w:gridCol w:w="560"/>
        <w:gridCol w:w="105"/>
        <w:gridCol w:w="207"/>
        <w:gridCol w:w="746"/>
        <w:gridCol w:w="120"/>
      </w:tblGrid>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332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9" w:type="dxa"/>
            <w:tcBorders/>
            <w:shd w:fill="auto" w:val="clear"/>
            <w:vAlign w:val="bottom"/>
          </w:tcPr>
          <w:p>
            <w:pPr>
              <w:pStyle w:val="TableContents"/>
              <w:spacing w:before="0" w:after="0"/>
              <w:ind w:left="0" w:right="0" w:hanging="0"/>
              <w:jc w:val="center"/>
              <w:rPr/>
            </w:pPr>
            <w:r>
              <w:rPr/>
              <w:t> </w:t>
            </w:r>
          </w:p>
        </w:tc>
        <w:tc>
          <w:tcPr>
            <w:tcW w:w="31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332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79" w:type="dxa"/>
            <w:tcBorders/>
            <w:shd w:fill="auto" w:val="clear"/>
            <w:vAlign w:val="bottom"/>
          </w:tcPr>
          <w:p>
            <w:pPr>
              <w:pStyle w:val="TableContents"/>
              <w:spacing w:before="0" w:after="0"/>
              <w:ind w:left="0" w:right="0" w:hanging="0"/>
              <w:jc w:val="center"/>
              <w:rPr/>
            </w:pPr>
            <w:r>
              <w:rPr/>
              <w:t> </w:t>
            </w:r>
          </w:p>
        </w:tc>
        <w:tc>
          <w:tcPr>
            <w:tcW w:w="317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7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79"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05" w:type="dxa"/>
            <w:tcBorders/>
            <w:shd w:fill="auto" w:val="clear"/>
            <w:vAlign w:val="bottom"/>
          </w:tcPr>
          <w:p>
            <w:pPr>
              <w:pStyle w:val="TableContents"/>
              <w:spacing w:before="0" w:after="0"/>
              <w:ind w:left="0" w:right="0" w:hanging="0"/>
              <w:jc w:val="center"/>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05" w:type="dxa"/>
            <w:tcBorders/>
            <w:shd w:fill="auto" w:val="clear"/>
            <w:vAlign w:val="bottom"/>
          </w:tcPr>
          <w:p>
            <w:pPr>
              <w:pStyle w:val="TableContents"/>
              <w:spacing w:before="0" w:after="0"/>
              <w:ind w:left="0" w:right="0" w:hanging="0"/>
              <w:jc w:val="center"/>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120" w:type="dxa"/>
            <w:tcBorders/>
            <w:shd w:fill="auto" w:val="clear"/>
            <w:vAlign w:val="bottom"/>
          </w:tcPr>
          <w:p>
            <w:pPr>
              <w:pStyle w:val="TableContents"/>
              <w:spacing w:before="0" w:after="0"/>
              <w:ind w:left="0" w:right="0" w:hanging="0"/>
              <w:jc w:val="center"/>
              <w:rPr/>
            </w:pPr>
            <w:r>
              <w:rPr/>
              <w:t> </w:t>
            </w:r>
          </w:p>
        </w:tc>
      </w:tr>
      <w:tr>
        <w:trPr/>
        <w:tc>
          <w:tcPr>
            <w:tcW w:w="3245" w:type="dxa"/>
            <w:tcBorders/>
            <w:shd w:fill="FFFFFF" w:val="clear"/>
            <w:vAlign w:val="center"/>
          </w:tcPr>
          <w:p>
            <w:pPr>
              <w:pStyle w:val="TableContents"/>
              <w:spacing w:before="0" w:after="0"/>
              <w:ind w:left="0" w:right="0" w:hanging="0"/>
              <w:rPr/>
            </w:pPr>
            <w:r>
              <w:rPr/>
              <w:t> </w:t>
            </w:r>
          </w:p>
        </w:tc>
        <w:tc>
          <w:tcPr>
            <w:tcW w:w="164" w:type="dxa"/>
            <w:tcBorders/>
            <w:shd w:fill="FFFFFF" w:val="clear"/>
            <w:vAlign w:val="bottom"/>
          </w:tcPr>
          <w:p>
            <w:pPr>
              <w:pStyle w:val="TableContents"/>
              <w:spacing w:before="0" w:after="0"/>
              <w:ind w:left="0" w:right="0" w:hanging="0"/>
              <w:rPr/>
            </w:pPr>
            <w:r>
              <w:rPr/>
              <w:t> </w:t>
            </w:r>
          </w:p>
        </w:tc>
        <w:tc>
          <w:tcPr>
            <w:tcW w:w="262" w:type="dxa"/>
            <w:tcBorders/>
            <w:shd w:fill="FFFFFF" w:val="clear"/>
            <w:vAlign w:val="bottom"/>
          </w:tcPr>
          <w:p>
            <w:pPr>
              <w:pStyle w:val="TableContents"/>
              <w:spacing w:before="0" w:after="0"/>
              <w:ind w:left="0" w:right="0" w:hanging="0"/>
              <w:rPr/>
            </w:pPr>
            <w:r>
              <w:rPr/>
              <w:t> </w:t>
            </w:r>
          </w:p>
        </w:tc>
        <w:tc>
          <w:tcPr>
            <w:tcW w:w="10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181" w:type="dxa"/>
            <w:tcBorders/>
            <w:shd w:fill="FFFFFF" w:val="clear"/>
            <w:vAlign w:val="bottom"/>
          </w:tcPr>
          <w:p>
            <w:pPr>
              <w:pStyle w:val="TableContents"/>
              <w:spacing w:before="0" w:after="0"/>
              <w:ind w:left="0" w:right="0" w:hanging="0"/>
              <w:rPr/>
            </w:pPr>
            <w:r>
              <w:rPr/>
              <w:t> </w:t>
            </w:r>
          </w:p>
        </w:tc>
        <w:tc>
          <w:tcPr>
            <w:tcW w:w="560"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207" w:type="dxa"/>
            <w:tcBorders/>
            <w:shd w:fill="FFFFFF" w:val="clear"/>
            <w:vAlign w:val="bottom"/>
          </w:tcPr>
          <w:p>
            <w:pPr>
              <w:pStyle w:val="TableContents"/>
              <w:spacing w:before="0" w:after="0"/>
              <w:ind w:left="0" w:right="0" w:hanging="0"/>
              <w:rPr/>
            </w:pPr>
            <w:r>
              <w:rPr/>
              <w:t> </w:t>
            </w:r>
          </w:p>
        </w:tc>
        <w:tc>
          <w:tcPr>
            <w:tcW w:w="74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79" w:type="dxa"/>
            <w:tcBorders/>
            <w:shd w:fill="FFFFFF" w:val="clear"/>
            <w:vAlign w:val="bottom"/>
          </w:tcPr>
          <w:p>
            <w:pPr>
              <w:pStyle w:val="TableContents"/>
              <w:spacing w:before="0" w:after="0"/>
              <w:ind w:left="0" w:right="0" w:hanging="0"/>
              <w:rPr/>
            </w:pPr>
            <w:r>
              <w:rPr/>
              <w:t> </w:t>
            </w:r>
          </w:p>
        </w:tc>
        <w:tc>
          <w:tcPr>
            <w:tcW w:w="262" w:type="dxa"/>
            <w:tcBorders/>
            <w:shd w:fill="FFFFFF" w:val="clear"/>
            <w:vAlign w:val="bottom"/>
          </w:tcPr>
          <w:p>
            <w:pPr>
              <w:pStyle w:val="TableContents"/>
              <w:spacing w:before="0" w:after="0"/>
              <w:ind w:left="0" w:right="0" w:hanging="0"/>
              <w:rPr/>
            </w:pPr>
            <w:r>
              <w:rPr/>
              <w:t> </w:t>
            </w:r>
          </w:p>
        </w:tc>
        <w:tc>
          <w:tcPr>
            <w:tcW w:w="1009"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05" w:type="dxa"/>
            <w:tcBorders/>
            <w:shd w:fill="FFFFFF" w:val="clear"/>
            <w:vAlign w:val="bottom"/>
          </w:tcPr>
          <w:p>
            <w:pPr>
              <w:pStyle w:val="TableContents"/>
              <w:spacing w:before="0" w:after="0"/>
              <w:ind w:left="0" w:right="0" w:hanging="0"/>
              <w:rPr/>
            </w:pPr>
            <w:r>
              <w:rPr/>
              <w:t> </w:t>
            </w:r>
          </w:p>
        </w:tc>
        <w:tc>
          <w:tcPr>
            <w:tcW w:w="180" w:type="dxa"/>
            <w:tcBorders/>
            <w:shd w:fill="FFFFFF" w:val="clear"/>
            <w:vAlign w:val="bottom"/>
          </w:tcPr>
          <w:p>
            <w:pPr>
              <w:pStyle w:val="TableContents"/>
              <w:spacing w:before="0" w:after="0"/>
              <w:ind w:left="0" w:right="0" w:hanging="0"/>
              <w:rPr/>
            </w:pPr>
            <w:r>
              <w:rPr/>
              <w:t> </w:t>
            </w:r>
          </w:p>
        </w:tc>
        <w:tc>
          <w:tcPr>
            <w:tcW w:w="560"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05" w:type="dxa"/>
            <w:tcBorders/>
            <w:shd w:fill="FFFFFF" w:val="clear"/>
            <w:vAlign w:val="bottom"/>
          </w:tcPr>
          <w:p>
            <w:pPr>
              <w:pStyle w:val="TableContents"/>
              <w:spacing w:before="0" w:after="0"/>
              <w:ind w:left="0" w:right="0" w:hanging="0"/>
              <w:rPr/>
            </w:pPr>
            <w:r>
              <w:rPr/>
              <w:t> </w:t>
            </w:r>
          </w:p>
        </w:tc>
        <w:tc>
          <w:tcPr>
            <w:tcW w:w="207" w:type="dxa"/>
            <w:tcBorders/>
            <w:shd w:fill="FFFFFF" w:val="clear"/>
            <w:vAlign w:val="bottom"/>
          </w:tcPr>
          <w:p>
            <w:pPr>
              <w:pStyle w:val="TableContents"/>
              <w:spacing w:before="0" w:after="0"/>
              <w:ind w:left="0" w:right="0" w:hanging="0"/>
              <w:rPr/>
            </w:pPr>
            <w:r>
              <w:rPr/>
              <w:t> </w:t>
            </w:r>
          </w:p>
        </w:tc>
        <w:tc>
          <w:tcPr>
            <w:tcW w:w="746" w:type="dxa"/>
            <w:tcBorders>
              <w:top w:val="single" w:sz="8" w:space="0" w:color="000000"/>
            </w:tcBorders>
            <w:shd w:fill="FFFFFF" w:val="clear"/>
            <w:tcMar>
              <w:top w:w="28" w:type="dxa"/>
            </w:tcMar>
            <w:vAlign w:val="bottom"/>
          </w:tcPr>
          <w:p>
            <w:pPr>
              <w:pStyle w:val="TableContents"/>
              <w:spacing w:before="0" w:after="0"/>
              <w:ind w:left="0" w:right="0" w:hanging="0"/>
              <w:jc w:val="right"/>
              <w:rPr/>
            </w:pPr>
            <w:r>
              <w:rPr/>
              <w:t> </w:t>
            </w:r>
          </w:p>
        </w:tc>
        <w:tc>
          <w:tcPr>
            <w:tcW w:w="120" w:type="dxa"/>
            <w:tcBorders/>
            <w:shd w:fill="FFFFFF"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4"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7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79"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05"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05"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64" w:type="dxa"/>
            <w:tcBorders/>
            <w:shd w:fill="CCEEFF" w:val="clear"/>
            <w:vAlign w:val="bottom"/>
          </w:tcPr>
          <w:p>
            <w:pPr>
              <w:pStyle w:val="TableContents"/>
              <w:spacing w:before="0" w:after="0"/>
              <w:ind w:left="0" w:right="0" w:hanging="0"/>
              <w:rPr/>
            </w:pPr>
            <w:r>
              <w:rPr/>
              <w:t> </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7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CCEEFF" w:val="clear"/>
            <w:vAlign w:val="bottom"/>
          </w:tcPr>
          <w:p>
            <w:pPr>
              <w:pStyle w:val="TableContents"/>
              <w:spacing w:before="0" w:after="0"/>
              <w:ind w:left="0" w:right="0" w:hanging="0"/>
              <w:rPr/>
            </w:pPr>
            <w:r>
              <w:rPr/>
              <w:t> </w:t>
            </w:r>
          </w:p>
        </w:tc>
        <w:tc>
          <w:tcPr>
            <w:tcW w:w="9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5" w:type="dxa"/>
            <w:tcBorders/>
            <w:shd w:fill="CCEEFF" w:val="clear"/>
            <w:vAlign w:val="bottom"/>
          </w:tcPr>
          <w:p>
            <w:pPr>
              <w:pStyle w:val="TableContents"/>
              <w:spacing w:before="0" w:after="0"/>
              <w:ind w:left="0" w:right="0" w:hanging="0"/>
              <w:rPr/>
            </w:pPr>
            <w:r>
              <w:rPr/>
              <w:t> </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CCEEFF" w:val="clear"/>
            <w:vAlign w:val="bottom"/>
          </w:tcPr>
          <w:p>
            <w:pPr>
              <w:pStyle w:val="TableContents"/>
              <w:spacing w:before="0" w:after="0"/>
              <w:ind w:left="0" w:right="0" w:hanging="0"/>
              <w:rPr/>
            </w:pPr>
            <w:r>
              <w:rPr/>
              <w:t> </w:t>
            </w:r>
          </w:p>
        </w:tc>
        <w:tc>
          <w:tcPr>
            <w:tcW w:w="9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74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953"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95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64"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175</w:t>
            </w:r>
          </w:p>
        </w:tc>
        <w:tc>
          <w:tcPr>
            <w:tcW w:w="179"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5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156</w:t>
            </w:r>
          </w:p>
        </w:tc>
        <w:tc>
          <w:tcPr>
            <w:tcW w:w="179" w:type="dxa"/>
            <w:tcBorders/>
            <w:shd w:fill="CCEEFF" w:val="clear"/>
            <w:vAlign w:val="bottom"/>
          </w:tcPr>
          <w:p>
            <w:pPr>
              <w:pStyle w:val="TableContents"/>
              <w:spacing w:before="0" w:after="0"/>
              <w:ind w:left="0" w:right="0" w:hanging="0"/>
              <w:rPr/>
            </w:pPr>
            <w:r>
              <w:rPr/>
              <w:t> </w:t>
            </w:r>
          </w:p>
        </w:tc>
        <w:tc>
          <w:tcPr>
            <w:tcW w:w="20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407</w:t>
            </w:r>
          </w:p>
        </w:tc>
        <w:tc>
          <w:tcPr>
            <w:tcW w:w="179"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0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173</w:t>
            </w:r>
          </w:p>
        </w:tc>
        <w:tc>
          <w:tcPr>
            <w:tcW w:w="105"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5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100</w:t>
            </w:r>
          </w:p>
        </w:tc>
        <w:tc>
          <w:tcPr>
            <w:tcW w:w="105" w:type="dxa"/>
            <w:tcBorders/>
            <w:shd w:fill="CCEEFF" w:val="clear"/>
            <w:vAlign w:val="bottom"/>
          </w:tcPr>
          <w:p>
            <w:pPr>
              <w:pStyle w:val="TableContents"/>
              <w:spacing w:before="0" w:after="0"/>
              <w:ind w:left="0" w:right="0" w:hanging="0"/>
              <w:rPr/>
            </w:pPr>
            <w:r>
              <w:rPr/>
              <w:t> </w:t>
            </w:r>
          </w:p>
        </w:tc>
        <w:tc>
          <w:tcPr>
            <w:tcW w:w="20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197</w:t>
            </w:r>
          </w:p>
        </w:tc>
        <w:tc>
          <w:tcPr>
            <w:tcW w:w="120" w:type="dxa"/>
            <w:tcBorders/>
            <w:shd w:fill="CCEEFF" w:val="clear"/>
            <w:vAlign w:val="bottom"/>
          </w:tcPr>
          <w:p>
            <w:pPr>
              <w:pStyle w:val="TableContents"/>
              <w:spacing w:before="0" w:after="0"/>
              <w:ind w:left="0" w:right="0" w:hanging="0"/>
              <w:rPr/>
            </w:pPr>
            <w:r>
              <w:rPr/>
              <w:t> </w:t>
            </w:r>
          </w:p>
        </w:tc>
      </w:tr>
      <w:tr>
        <w:trPr/>
        <w:tc>
          <w:tcPr>
            <w:tcW w:w="3245" w:type="dxa"/>
            <w:tcBorders/>
            <w:shd w:fill="auto" w:val="clear"/>
            <w:vAlign w:val="center"/>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262" w:type="dxa"/>
            <w:tcBorders/>
            <w:shd w:fill="auto" w:val="clear"/>
            <w:vAlign w:val="bottom"/>
          </w:tcPr>
          <w:p>
            <w:pPr>
              <w:pStyle w:val="TableContents"/>
              <w:spacing w:before="0" w:after="0"/>
              <w:ind w:left="0" w:right="0" w:hanging="0"/>
              <w:rPr/>
            </w:pPr>
            <w:r>
              <w:rPr/>
              <w:t> </w:t>
            </w:r>
          </w:p>
        </w:tc>
        <w:tc>
          <w:tcPr>
            <w:tcW w:w="100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560"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46" w:type="dxa"/>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24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over 2012</w:t>
            </w:r>
          </w:p>
        </w:tc>
        <w:tc>
          <w:tcPr>
            <w:tcW w:w="164" w:type="dxa"/>
            <w:tcBorders/>
            <w:shd w:fill="CCEEFF" w:val="clear"/>
            <w:vAlign w:val="bottom"/>
          </w:tcPr>
          <w:p>
            <w:pPr>
              <w:pStyle w:val="TableContents"/>
              <w:spacing w:before="0" w:after="0"/>
              <w:ind w:left="0" w:right="0" w:hanging="0"/>
              <w:rPr/>
            </w:pPr>
            <w:r>
              <w:rPr/>
              <w:t> </w:t>
            </w:r>
          </w:p>
        </w:tc>
        <w:tc>
          <w:tcPr>
            <w:tcW w:w="12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4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56</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107</w:t>
            </w:r>
          </w:p>
        </w:tc>
        <w:tc>
          <w:tcPr>
            <w:tcW w:w="17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271"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95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Transportation adjusted segment profit increased 1% over comparable 2012 results.  This slight increase was primarily related to benefits from the BP NGL acquisition and increased pipeline volumes, which were largely offset by higher operating expenses related to response and remediation costs from two pipeline releases and costs incurred inspecting idled pipelines to determine if these pipelines could be placed into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Facilities adjusted segment profit increased 56% over comparable 2012 results.  This increase was primarily related to capacity additions from the BP NGL and rail terminal acquisitions and recently completed organic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First-quarter 2013 Supply and Logistics adjusted segment profit increased 107% over comparable 2012 results.  This increase was primarily related to solid execution during favorable crude oil market conditions, higher lease gathering volumes and margins and increased NGL sales volumes and margins.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5" w:name="PB_3_165734_5796"/>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on May 7, 2013 (see details below).  Prior to this conference call, the Partnership will furnish a current report on Form 8-K, which will include material in this news release as well as financial and operational guidance for the second quarter and full year of 2013.  A copy of the Form 8-K will be available on the Partnerships website at  www.paalp.com, where PAA routinely posts important information about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conference call will be held at 11:00 a.m. EDT on Tuesday, May 7, 2013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first-quarter 2013 performance;</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second quarter and full year of 2013; and</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 Access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of the conference call,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access to the live conference call is available by dialing toll free (800) 230-1059. International callers should dial (612) 234-9959. No password is required. The slide presentation accompanying the conference call will be available a few minutes prior to the call under the Conference Call Summaries portion of the Conference Calls tab of the Investor Relations section of the PAA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for international callers, (320) 365-3844), and enter replay access code 285955.  The replay will be available beginning Tuesday, May 7, 2013, at approximately 1:00 p.m. EDT and will continue until 12:59 a.m. EDT on June 8,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 and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We consider an understanding of these selected items impacting comparability to be material to our evaluation of our operating results and prospects.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6" w:name="PB_4_165734_2897"/>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EBITDA and other non-GAAP financial measures are reconciled to the most directly comparable GAAP measures for the periods presented in the tables attached to this release, and should be viewed in addition to, and not in lieu of, our condensed consolidated financial statements and notes thereto. In addition, the Partnership maintains on its website (www.paalp.com) a reconciliation of adjusted EBITDA and certain commonly used non-GAAP financial information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 shortages or cost increases of supplies, materials or labor; fluctuations in refinery capacity in areas supplied by our mainlines and other factors affecting demand for various grades of crude oil, refined products and natural gas and resulting changes in pricing conditions or transportation throughput requirements;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also owns and operates natural gas storage facilities. PAA is headquartered in Houston, Texas.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7" w:name="PB_5_073401_5335"/>
      <w:bookmarkEnd w:id="17"/>
    </w:p>
    <w:p>
      <w:pPr>
        <w:pStyle w:val="TextBody"/>
        <w:spacing w:before="0" w:after="0"/>
        <w:ind w:left="0" w:right="0" w:hanging="0"/>
        <w:jc w:val="center"/>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6"/>
        <w:gridCol w:w="210"/>
        <w:gridCol w:w="110"/>
        <w:gridCol w:w="1070"/>
        <w:gridCol w:w="211"/>
        <w:gridCol w:w="110"/>
        <w:gridCol w:w="1064"/>
        <w:gridCol w:w="114"/>
      </w:tblGrid>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6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4" w:type="dxa"/>
            <w:tcBorders/>
            <w:shd w:fill="auto" w:val="clear"/>
            <w:vAlign w:val="bottom"/>
          </w:tcPr>
          <w:p>
            <w:pPr>
              <w:pStyle w:val="TableContents"/>
              <w:spacing w:before="0" w:after="0"/>
              <w:ind w:left="0" w:right="0" w:hanging="0"/>
              <w:jc w:val="center"/>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10,620</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9,437</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9,965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14" w:type="dxa"/>
            <w:tcBorders/>
            <w:shd w:fill="CCEEFF" w:val="clear"/>
            <w:vAlign w:val="bottom"/>
          </w:tcPr>
          <w:p>
            <w:pPr>
              <w:pStyle w:val="TableContents"/>
              <w:spacing w:before="0" w:after="0"/>
              <w:ind w:left="0" w:right="0" w:hanging="0"/>
              <w:rPr/>
            </w:pPr>
            <w:r>
              <w:rPr/>
              <w:t> </w:t>
            </w:r>
          </w:p>
        </w:tc>
      </w:tr>
      <w:tr>
        <w:trPr/>
        <w:tc>
          <w:tcPr>
            <w:tcW w:w="73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31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ADJUSTED RESULTS: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40"/>
        <w:gridCol w:w="212"/>
        <w:gridCol w:w="146"/>
        <w:gridCol w:w="1110"/>
        <w:gridCol w:w="218"/>
        <w:gridCol w:w="146"/>
        <w:gridCol w:w="1111"/>
        <w:gridCol w:w="122"/>
      </w:tblGrid>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2" w:type="dxa"/>
            <w:tcBorders/>
            <w:shd w:fill="CCEEFF" w:val="clear"/>
            <w:vAlign w:val="bottom"/>
          </w:tcPr>
          <w:p>
            <w:pPr>
              <w:pStyle w:val="TableContents"/>
              <w:spacing w:before="0" w:after="0"/>
              <w:ind w:left="0" w:right="0" w:hanging="0"/>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2" w:type="dxa"/>
            <w:tcBorders/>
            <w:shd w:fill="CCEEFF" w:val="clear"/>
            <w:vAlign w:val="bottom"/>
          </w:tcPr>
          <w:p>
            <w:pPr>
              <w:pStyle w:val="TableContents"/>
              <w:spacing w:before="0" w:after="0"/>
              <w:ind w:left="0" w:right="0" w:hanging="0"/>
              <w:rPr/>
            </w:pPr>
            <w:r>
              <w:rPr/>
              <w:t> </w:t>
            </w:r>
          </w:p>
        </w:tc>
      </w:tr>
      <w:tr>
        <w:trPr/>
        <w:tc>
          <w:tcPr>
            <w:tcW w:w="7140"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12"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1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8" w:name="PB_6_073401_5796"/>
      <w:bookmarkEnd w:id="18"/>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5"/>
        <w:gridCol w:w="212"/>
        <w:gridCol w:w="130"/>
        <w:gridCol w:w="1126"/>
        <w:gridCol w:w="212"/>
        <w:gridCol w:w="138"/>
        <w:gridCol w:w="1163"/>
        <w:gridCol w:w="119"/>
      </w:tblGrid>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5,140</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9,883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2,520</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5,022</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11,951</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12,089</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6,985</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19,440</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DEBT CAPITALIZATION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2"/>
        <w:gridCol w:w="211"/>
        <w:gridCol w:w="139"/>
        <w:gridCol w:w="1149"/>
        <w:gridCol w:w="251"/>
        <w:gridCol w:w="150"/>
        <w:gridCol w:w="1200"/>
        <w:gridCol w:w="163"/>
      </w:tblGrid>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689</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6,331</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7,020</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6,331</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7,489</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13,820</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13,466</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14,509</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14,552</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35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9" w:name="PB_7_073826_2897"/>
      <w:bookmarkEnd w:id="19"/>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62"/>
        <w:gridCol w:w="163"/>
        <w:gridCol w:w="261"/>
        <w:gridCol w:w="1003"/>
        <w:gridCol w:w="179"/>
        <w:gridCol w:w="181"/>
        <w:gridCol w:w="792"/>
        <w:gridCol w:w="179"/>
        <w:gridCol w:w="153"/>
        <w:gridCol w:w="796"/>
        <w:gridCol w:w="179"/>
        <w:gridCol w:w="261"/>
        <w:gridCol w:w="1003"/>
        <w:gridCol w:w="179"/>
        <w:gridCol w:w="181"/>
        <w:gridCol w:w="674"/>
        <w:gridCol w:w="179"/>
        <w:gridCol w:w="168"/>
        <w:gridCol w:w="781"/>
        <w:gridCol w:w="131"/>
      </w:tblGrid>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354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9" w:type="dxa"/>
            <w:tcBorders/>
            <w:shd w:fill="auto" w:val="clear"/>
            <w:vAlign w:val="bottom"/>
          </w:tcPr>
          <w:p>
            <w:pPr>
              <w:pStyle w:val="TableContents"/>
              <w:spacing w:before="0" w:after="0"/>
              <w:ind w:left="0" w:right="0" w:hanging="0"/>
              <w:jc w:val="center"/>
              <w:rPr/>
            </w:pPr>
            <w:r>
              <w:rPr/>
              <w:t> </w:t>
            </w:r>
          </w:p>
        </w:tc>
        <w:tc>
          <w:tcPr>
            <w:tcW w:w="3426"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354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2013</w:t>
            </w:r>
          </w:p>
        </w:tc>
        <w:tc>
          <w:tcPr>
            <w:tcW w:w="179" w:type="dxa"/>
            <w:tcBorders/>
            <w:shd w:fill="auto" w:val="clear"/>
            <w:vAlign w:val="bottom"/>
          </w:tcPr>
          <w:p>
            <w:pPr>
              <w:pStyle w:val="TableContents"/>
              <w:spacing w:before="0" w:after="0"/>
              <w:ind w:left="0" w:right="0" w:hanging="0"/>
              <w:jc w:val="center"/>
              <w:rPr/>
            </w:pPr>
            <w:r>
              <w:rPr/>
              <w:t> </w:t>
            </w:r>
          </w:p>
        </w:tc>
        <w:tc>
          <w:tcPr>
            <w:tcW w:w="342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1264" w:type="dxa"/>
            <w:gridSpan w:val="2"/>
            <w:tcBorders/>
            <w:shd w:fill="auto" w:val="clear"/>
            <w:vAlign w:val="bottom"/>
          </w:tcPr>
          <w:p>
            <w:pPr>
              <w:pStyle w:val="TableContents"/>
              <w:spacing w:before="0" w:after="0"/>
              <w:ind w:left="0" w:right="0" w:hanging="0"/>
              <w:jc w:val="center"/>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9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79" w:type="dxa"/>
            <w:tcBorders/>
            <w:shd w:fill="auto" w:val="clear"/>
            <w:vAlign w:val="bottom"/>
          </w:tcPr>
          <w:p>
            <w:pPr>
              <w:pStyle w:val="TableContents"/>
              <w:spacing w:before="0" w:after="0"/>
              <w:ind w:left="0" w:right="0" w:hanging="0"/>
              <w:jc w:val="center"/>
              <w:rPr/>
            </w:pPr>
            <w:r>
              <w:rPr/>
              <w:t> </w:t>
            </w:r>
          </w:p>
        </w:tc>
        <w:tc>
          <w:tcPr>
            <w:tcW w:w="1264" w:type="dxa"/>
            <w:gridSpan w:val="2"/>
            <w:tcBorders/>
            <w:shd w:fill="auto" w:val="cle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9"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9" w:type="dxa"/>
            <w:tcBorders/>
            <w:shd w:fill="auto" w:val="clear"/>
            <w:vAlign w:val="bottom"/>
          </w:tcPr>
          <w:p>
            <w:pPr>
              <w:pStyle w:val="TableContents"/>
              <w:spacing w:before="0" w:after="0"/>
              <w:ind w:left="0" w:right="0" w:hanging="0"/>
              <w:jc w:val="center"/>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1" w:type="dxa"/>
            <w:tcBorders/>
            <w:shd w:fill="auto" w:val="clear"/>
            <w:vAlign w:val="bottom"/>
          </w:tcPr>
          <w:p>
            <w:pPr>
              <w:pStyle w:val="TableContents"/>
              <w:spacing w:before="0" w:after="0"/>
              <w:ind w:left="0" w:right="0" w:hanging="0"/>
              <w:jc w:val="center"/>
              <w:rPr/>
            </w:pPr>
            <w:r>
              <w:rPr/>
              <w:t> </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79"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10,225</w:t>
            </w:r>
          </w:p>
        </w:tc>
        <w:tc>
          <w:tcPr>
            <w:tcW w:w="179"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79"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(9,636</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(8,608</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3"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79"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79"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79"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1" w:type="dxa"/>
            <w:tcBorders/>
            <w:shd w:fill="auto" w:val="clear"/>
            <w:vAlign w:val="bottom"/>
          </w:tcPr>
          <w:p>
            <w:pPr>
              <w:pStyle w:val="TableContents"/>
              <w:spacing w:before="0" w:after="0"/>
              <w:ind w:left="0" w:right="0" w:hanging="0"/>
              <w:rPr/>
            </w:pPr>
            <w:r>
              <w:rPr/>
              <w:t> </w:t>
            </w:r>
          </w:p>
        </w:tc>
      </w:tr>
      <w:tr>
        <w:trPr/>
        <w:tc>
          <w:tcPr>
            <w:tcW w:w="2762"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7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9"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31" w:type="dxa"/>
            <w:tcBorders/>
            <w:shd w:fill="auto" w:val="clear"/>
            <w:vAlign w:val="bottom"/>
          </w:tcPr>
          <w:p>
            <w:pPr>
              <w:pStyle w:val="TableContents"/>
              <w:spacing w:before="0" w:after="0"/>
              <w:ind w:left="0" w:right="0" w:hanging="0"/>
              <w:rPr/>
            </w:pPr>
            <w:r>
              <w:rPr/>
              <w:t> </w:t>
            </w:r>
          </w:p>
        </w:tc>
      </w:tr>
      <w:tr>
        <w:trPr/>
        <w:tc>
          <w:tcPr>
            <w:tcW w:w="2762"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94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2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3"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9"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Certain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0" w:name="PB_8_074152_141"/>
      <w:bookmarkEnd w:id="20"/>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rPr>
        <w:t> </w:t>
      </w:r>
      <w:r>
        <w:rPr>
          <w:rFonts w:ascii="Times New Roman" w:hAnsi="Times New Roman"/>
          <w:b/>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21"/>
        <w:gridCol w:w="204"/>
        <w:gridCol w:w="1237"/>
        <w:gridCol w:w="204"/>
        <w:gridCol w:w="1237"/>
        <w:gridCol w:w="102"/>
      </w:tblGrid>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3,641</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3,166</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w:t>
              <w:br/>
              <w:t>(average monthly capacity in millions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unload/load volumes</w:t>
              <w:br/>
              <w:t>(average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w:t>
              <w:br/>
              <w:t>(average monthly capacity in billions of cubic feet)</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w:t>
              <w:br/>
              <w:t>(average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pPr>
            <w:r>
              <w:rPr>
                <w:rFonts w:ascii="Times New Roman" w:hAnsi="Times New Roman"/>
                <w:sz w:val="17"/>
              </w:rPr>
              <w:t>Facilities activities total</w:t>
              <w:br/>
              <w:t xml:space="preserve">(average monthly capacity in millions of barrels)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Volumes associated with acquisitions represent total volumes (attributable to our interest)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Facilities total is calculated as the sum of: (i) crude oil, refined products and NGL terminalling and storage capacity; (ii) rail load and unload volumes multipled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1" w:name="PB_9_074152_7608"/>
      <w:bookmarkEnd w:id="21"/>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27"/>
        <w:gridCol w:w="214"/>
        <w:gridCol w:w="141"/>
        <w:gridCol w:w="1113"/>
        <w:gridCol w:w="227"/>
        <w:gridCol w:w="141"/>
        <w:gridCol w:w="1114"/>
        <w:gridCol w:w="128"/>
      </w:tblGrid>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7"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8" w:type="dxa"/>
            <w:tcBorders/>
            <w:shd w:fill="auto" w:val="clear"/>
            <w:vAlign w:val="bottom"/>
          </w:tcPr>
          <w:p>
            <w:pPr>
              <w:pStyle w:val="TableContents"/>
              <w:spacing w:before="0" w:after="0"/>
              <w:ind w:left="0" w:right="0" w:hanging="0"/>
              <w:jc w:val="center"/>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7"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433</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7" w:type="dxa"/>
            <w:tcBorders/>
            <w:shd w:fill="CCEEFF" w:val="clear"/>
            <w:vAlign w:val="bottom"/>
          </w:tcPr>
          <w:p>
            <w:pPr>
              <w:pStyle w:val="TableContents"/>
              <w:spacing w:before="0" w:after="0"/>
              <w:ind w:left="0" w:right="0" w:hanging="0"/>
              <w:rPr/>
            </w:pPr>
            <w:r>
              <w:rPr/>
              <w:t> </w:t>
            </w:r>
          </w:p>
        </w:tc>
        <w:tc>
          <w:tcPr>
            <w:tcW w:w="125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28" w:type="dxa"/>
            <w:tcBorders/>
            <w:shd w:fill="CCEEFF" w:val="clear"/>
            <w:vAlign w:val="bottom"/>
          </w:tcPr>
          <w:p>
            <w:pPr>
              <w:pStyle w:val="TableContents"/>
              <w:spacing w:before="0" w:after="0"/>
              <w:ind w:left="0" w:right="0" w:hanging="0"/>
              <w:rPr/>
            </w:pPr>
            <w:r>
              <w:rPr/>
              <w:t> </w:t>
            </w:r>
          </w:p>
        </w:tc>
      </w:tr>
      <w:tr>
        <w:trPr/>
        <w:tc>
          <w:tcPr>
            <w:tcW w:w="7127"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55"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2" w:name="PB_10_074152_8146"/>
      <w:bookmarkEnd w:id="2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ITEMS IMPACTING COMPARABILITY</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89"/>
        <w:gridCol w:w="211"/>
        <w:gridCol w:w="133"/>
        <w:gridCol w:w="1087"/>
        <w:gridCol w:w="221"/>
        <w:gridCol w:w="133"/>
        <w:gridCol w:w="1107"/>
        <w:gridCol w:w="124"/>
      </w:tblGrid>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b/>
                <w:sz w:val="17"/>
              </w:rPr>
              <w:t>Selected Items Impacting Comparability - Income/(Loss)</w:t>
            </w:r>
            <w:r>
              <w:rPr/>
              <w:t xml:space="preserve"> </w:t>
            </w:r>
            <w:r>
              <w:rPr>
                <w:b/>
                <w:sz w:val="11"/>
              </w:rPr>
              <w:t>(1)</w:t>
            </w:r>
            <w:r>
              <w:rPr>
                <w:b/>
                <w:sz w:val="17"/>
              </w:rPr>
              <w:t>:</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pPr>
            <w:r>
              <w:rPr>
                <w:rFonts w:ascii="Times New Roman" w:hAnsi="Times New Roman"/>
                <w:sz w:val="17"/>
              </w:rPr>
              <w:t xml:space="preserve">Gains/(losses) from derivative activities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(3)</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gain on foreign currency revaluation </w:t>
            </w:r>
          </w:p>
        </w:tc>
        <w:tc>
          <w:tcPr>
            <w:tcW w:w="211"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shd w:fill="auto" w:val="clear"/>
            <w:vAlign w:val="bottom"/>
          </w:tcPr>
          <w:p>
            <w:pPr>
              <w:pStyle w:val="TableContents"/>
              <w:spacing w:before="0" w:after="0"/>
              <w:ind w:left="0" w:right="0" w:hanging="0"/>
              <w:rPr/>
            </w:pPr>
            <w:r>
              <w:rPr/>
              <w:t> </w:t>
            </w:r>
          </w:p>
        </w:tc>
      </w:tr>
      <w:tr>
        <w:trPr/>
        <w:tc>
          <w:tcPr>
            <w:tcW w:w="718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11"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1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2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22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Includes mark-to-market gains and losses resulting from derivative instruments that are related to underlying activities in future periods.</w:t>
      </w:r>
    </w:p>
    <w:p>
      <w:pPr>
        <w:pStyle w:val="TextBody"/>
        <w:spacing w:before="0" w:after="0"/>
        <w:ind w:left="0" w:right="0" w:hanging="0"/>
        <w:rPr>
          <w:rFonts w:ascii="Times New Roman" w:hAnsi="Times New Roman"/>
        </w:rPr>
      </w:pPr>
      <w:r>
        <w:rPr>
          <w:rFonts w:ascii="Times New Roman" w:hAnsi="Times New Roman"/>
          <w:sz w:val="11"/>
        </w:rPr>
        <w:t>(3) </w:t>
      </w:r>
      <w:r>
        <w:rPr>
          <w:rFonts w:ascii="Times New Roman" w:hAnsi="Times New Roman"/>
          <w:sz w:val="17"/>
        </w:rPr>
        <w:t>Equity compensation expense for the three months ended March 31, 2013 and 2012 excludes the portion of equity compensation expense represented by grants under LTIP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(4)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3" w:name="PB_11_074152_7091"/>
      <w:bookmarkEnd w:id="23"/>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ADJUSTED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10"/>
        <w:gridCol w:w="214"/>
        <w:gridCol w:w="145"/>
        <w:gridCol w:w="1116"/>
        <w:gridCol w:w="229"/>
        <w:gridCol w:w="145"/>
        <w:gridCol w:w="1117"/>
        <w:gridCol w:w="129"/>
      </w:tblGrid>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9"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9" w:type="dxa"/>
            <w:tcBorders/>
            <w:shd w:fill="auto" w:val="clear"/>
            <w:vAlign w:val="bottom"/>
          </w:tcPr>
          <w:p>
            <w:pPr>
              <w:pStyle w:val="TableContents"/>
              <w:spacing w:before="0" w:after="0"/>
              <w:ind w:left="0" w:right="0" w:hanging="0"/>
              <w:jc w:val="center"/>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9"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29"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29" w:type="dxa"/>
            <w:tcBorders/>
            <w:shd w:fill="CCEEFF" w:val="clear"/>
            <w:vAlign w:val="bottom"/>
          </w:tcPr>
          <w:p>
            <w:pPr>
              <w:pStyle w:val="TableContents"/>
              <w:spacing w:before="0" w:after="0"/>
              <w:ind w:left="0" w:right="0" w:hanging="0"/>
              <w:rPr/>
            </w:pPr>
            <w:r>
              <w:rPr/>
              <w:t> </w:t>
            </w:r>
          </w:p>
        </w:tc>
      </w:tr>
      <w:tr>
        <w:trPr/>
        <w:tc>
          <w:tcPr>
            <w:tcW w:w="711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7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29"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12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-more-</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4" w:name="PB_12_074152_455"/>
      <w:bookmarkEnd w:id="24"/>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93"/>
        <w:gridCol w:w="212"/>
        <w:gridCol w:w="158"/>
        <w:gridCol w:w="1112"/>
        <w:gridCol w:w="235"/>
        <w:gridCol w:w="158"/>
        <w:gridCol w:w="1113"/>
        <w:gridCol w:w="124"/>
      </w:tblGrid>
      <w:tr>
        <w:trPr/>
        <w:tc>
          <w:tcPr>
            <w:tcW w:w="709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7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March 31,</w:t>
            </w:r>
          </w:p>
        </w:tc>
        <w:tc>
          <w:tcPr>
            <w:tcW w:w="124" w:type="dxa"/>
            <w:tcBorders/>
            <w:shd w:fill="auto" w:val="clear"/>
            <w:vAlign w:val="bottom"/>
          </w:tcPr>
          <w:p>
            <w:pPr>
              <w:pStyle w:val="TableContents"/>
              <w:spacing w:before="0" w:after="0"/>
              <w:ind w:left="0" w:right="0" w:hanging="0"/>
              <w:jc w:val="center"/>
              <w:rPr/>
            </w:pPr>
            <w:r>
              <w:rPr/>
              <w:t> </w:t>
            </w:r>
          </w:p>
        </w:tc>
      </w:tr>
      <w:tr>
        <w:trPr/>
        <w:tc>
          <w:tcPr>
            <w:tcW w:w="709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5" w:type="dxa"/>
            <w:tcBorders/>
            <w:shd w:fill="auto" w:val="clear"/>
            <w:vAlign w:val="bottom"/>
          </w:tcPr>
          <w:p>
            <w:pPr>
              <w:pStyle w:val="TableContents"/>
              <w:spacing w:before="0" w:after="0"/>
              <w:ind w:left="0" w:right="0" w:hanging="0"/>
              <w:jc w:val="center"/>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3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12"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35" w:type="dxa"/>
            <w:tcBorders/>
            <w:shd w:fill="auto" w:val="clear"/>
            <w:vAlign w:val="bottom"/>
          </w:tcPr>
          <w:p>
            <w:pPr>
              <w:pStyle w:val="TableContents"/>
              <w:spacing w:before="0" w:after="0"/>
              <w:ind w:left="0" w:right="0" w:hanging="0"/>
              <w:rPr/>
            </w:pPr>
            <w:r>
              <w:rPr/>
              <w:t> </w:t>
            </w:r>
          </w:p>
        </w:tc>
        <w:tc>
          <w:tcPr>
            <w:tcW w:w="12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35" w:type="dxa"/>
            <w:tcBorders/>
            <w:shd w:fill="CCEEFF" w:val="clear"/>
            <w:vAlign w:val="bottom"/>
          </w:tcPr>
          <w:p>
            <w:pPr>
              <w:pStyle w:val="TableContents"/>
              <w:spacing w:before="0" w:after="0"/>
              <w:ind w:left="0" w:right="0" w:hanging="0"/>
              <w:rPr/>
            </w:pPr>
            <w:r>
              <w:rPr/>
              <w:t> </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2"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35"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4" w:type="dxa"/>
            <w:tcBorders/>
            <w:shd w:fill="auto" w:val="clear"/>
            <w:vAlign w:val="bottom"/>
          </w:tcPr>
          <w:p>
            <w:pPr>
              <w:pStyle w:val="TableContents"/>
              <w:spacing w:before="0" w:after="0"/>
              <w:ind w:left="0" w:right="0" w:hanging="0"/>
              <w:rPr/>
            </w:pPr>
            <w:r>
              <w:rPr/>
              <w:t> </w:t>
            </w:r>
          </w:p>
        </w:tc>
      </w:tr>
      <w:tr>
        <w:trPr/>
        <w:tc>
          <w:tcPr>
            <w:tcW w:w="7093"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24" w:type="dxa"/>
            <w:tcBorders/>
            <w:shd w:fill="CCEEFF" w:val="clear"/>
            <w:vAlign w:val="bottom"/>
          </w:tcPr>
          <w:p>
            <w:pPr>
              <w:pStyle w:val="TableContents"/>
              <w:spacing w:before="0" w:after="0"/>
              <w:ind w:left="0" w:right="0" w:hanging="0"/>
              <w:rPr/>
            </w:pPr>
            <w:r>
              <w:rPr/>
              <w:t> </w:t>
            </w:r>
          </w:p>
        </w:tc>
      </w:tr>
      <w:tr>
        <w:trPr/>
        <w:tc>
          <w:tcPr>
            <w:tcW w:w="70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2"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35"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4"/>
        <w:gridCol w:w="160"/>
        <w:gridCol w:w="1118"/>
        <w:gridCol w:w="236"/>
        <w:gridCol w:w="160"/>
        <w:gridCol w:w="1120"/>
        <w:gridCol w:w="133"/>
      </w:tblGrid>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top w:val="single" w:sz="8" w:space="0" w:color="000000"/>
            </w:tcBorders>
            <w:shd w:fill="CCEEFF" w:val="clear"/>
            <w:tcMar>
              <w:top w:w="28" w:type="dxa"/>
            </w:tcM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pPr>
            <w:r>
              <w:rPr>
                <w:rFonts w:ascii="Times New Roman" w:hAnsi="Times New Roman"/>
                <w:sz w:val="17"/>
              </w:rPr>
              <w:t>Distributions to noncontrolling interests</w:t>
            </w:r>
            <w:r>
              <w:rPr/>
              <w:t xml:space="preserve">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distributions that pertain to the current periods net income, which are paid in the subsequent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5"/>
        <w:gridCol w:w="214"/>
        <w:gridCol w:w="160"/>
        <w:gridCol w:w="1118"/>
        <w:gridCol w:w="236"/>
        <w:gridCol w:w="160"/>
        <w:gridCol w:w="1119"/>
        <w:gridCol w:w="133"/>
      </w:tblGrid>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3" w:type="dxa"/>
            <w:tcBorders/>
            <w:shd w:fill="auto" w:val="clear"/>
            <w:vAlign w:val="bottom"/>
          </w:tcPr>
          <w:p>
            <w:pPr>
              <w:pStyle w:val="TableContents"/>
              <w:spacing w:before="0" w:after="0"/>
              <w:ind w:left="0" w:right="0" w:hanging="0"/>
              <w:jc w:val="center"/>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33" w:type="dxa"/>
            <w:tcBorders/>
            <w:shd w:fill="auto" w:val="clear"/>
            <w:vAlign w:val="bottom"/>
          </w:tcPr>
          <w:p>
            <w:pPr>
              <w:pStyle w:val="TableContents"/>
              <w:spacing w:before="0" w:after="0"/>
              <w:ind w:left="0" w:right="0" w:hanging="0"/>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706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6"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3" w:type="dxa"/>
            <w:tcBorders/>
            <w:shd w:fill="CCEEFF" w:val="clear"/>
            <w:vAlign w:val="bottom"/>
          </w:tcPr>
          <w:p>
            <w:pPr>
              <w:pStyle w:val="TableContents"/>
              <w:spacing w:before="0" w:after="0"/>
              <w:ind w:left="0" w:right="0" w:hanging="0"/>
              <w:rPr/>
            </w:pPr>
            <w:r>
              <w:rPr/>
              <w:t> </w:t>
            </w:r>
          </w:p>
        </w:tc>
      </w:tr>
      <w:tr>
        <w:trPr/>
        <w:tc>
          <w:tcPr>
            <w:tcW w:w="706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979</w:t>
            </w:r>
          </w:p>
        </w:tc>
        <w:tc>
          <w:tcPr>
            <w:tcW w:w="236"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tbl>
      <w:tblPr>
        <w:tblW w:w="5000" w:type="pct"/>
        <w:jc w:val="left"/>
        <w:tblInd w:w="0" w:type="dxa"/>
        <w:tblCellMar>
          <w:top w:w="0" w:type="dxa"/>
          <w:left w:w="0" w:type="dxa"/>
          <w:bottom w:w="0" w:type="dxa"/>
          <w:right w:w="0" w:type="dxa"/>
        </w:tblCellMar>
      </w:tblPr>
      <w:tblGrid>
        <w:gridCol w:w="1666"/>
        <w:gridCol w:w="3540"/>
        <w:gridCol w:w="311"/>
        <w:gridCol w:w="4688"/>
      </w:tblGrid>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pPr>
            <w:r>
              <w:rPr/>
              <w:t> </w:t>
            </w:r>
          </w:p>
        </w:tc>
      </w:tr>
      <w:tr>
        <w:trPr/>
        <w:tc>
          <w:tcPr>
            <w:tcW w:w="1666" w:type="dxa"/>
            <w:tcBorders/>
            <w:shd w:fill="auto" w:val="clear"/>
          </w:tcPr>
          <w:p>
            <w:pPr>
              <w:pStyle w:val="TableContents"/>
              <w:spacing w:before="0" w:after="0"/>
              <w:ind w:left="0" w:right="0" w:hanging="0"/>
              <w:rPr/>
            </w:pPr>
            <w:r>
              <w:rPr/>
              <w:t> </w:t>
            </w:r>
          </w:p>
        </w:tc>
        <w:tc>
          <w:tcPr>
            <w:tcW w:w="3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311" w:type="dxa"/>
            <w:tcBorders/>
            <w:shd w:fill="auto" w:val="clear"/>
            <w:vAlign w:val="bottom"/>
          </w:tcPr>
          <w:p>
            <w:pPr>
              <w:pStyle w:val="TableContents"/>
              <w:spacing w:before="0" w:after="0"/>
              <w:ind w:left="0" w:right="0" w:hanging="0"/>
              <w:rPr/>
            </w:pPr>
            <w:r>
              <w:rPr/>
              <w:t> </w:t>
            </w:r>
          </w:p>
        </w:tc>
        <w:tc>
          <w:tcPr>
            <w:tcW w:w="4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3505"/>
        <w:gridCol w:w="2987"/>
        <w:gridCol w:w="3713"/>
      </w:tblGrid>
      <w:tr>
        <w:trPr/>
        <w:tc>
          <w:tcPr>
            <w:tcW w:w="10205" w:type="dxa"/>
            <w:gridSpan w:val="3"/>
            <w:tcBorders>
              <w:bottom w:val="single" w:sz="8" w:space="0" w:color="000000"/>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 #</w:t>
            </w:r>
          </w:p>
        </w:tc>
      </w:tr>
      <w:tr>
        <w:trPr/>
        <w:tc>
          <w:tcPr>
            <w:tcW w:w="3505" w:type="dxa"/>
            <w:tcBorders/>
            <w:shd w:fill="auto" w:val="clear"/>
            <w:tcMar>
              <w:bottom w:w="0" w:type="dxa"/>
            </w:tcMar>
          </w:tcPr>
          <w:p>
            <w:pPr>
              <w:pStyle w:val="TableContents"/>
              <w:spacing w:before="0" w:after="0"/>
              <w:ind w:left="0" w:right="0" w:hanging="0"/>
              <w:jc w:val="right"/>
              <w:rPr>
                <w:rFonts w:ascii="Times New Roman" w:hAnsi="Times New Roman"/>
                <w:b/>
                <w:sz w:val="17"/>
              </w:rPr>
            </w:pPr>
            <w:r>
              <w:rPr>
                <w:rFonts w:ascii="Times New Roman" w:hAnsi="Times New Roman"/>
                <w:b/>
                <w:sz w:val="17"/>
              </w:rPr>
              <w:t>333 Clay Street, Suite 1600</w:t>
            </w:r>
          </w:p>
        </w:tc>
        <w:tc>
          <w:tcPr>
            <w:tcW w:w="2987" w:type="dxa"/>
            <w:tcBorders/>
            <w:shd w:fill="auto" w:val="clear"/>
            <w:tcMar>
              <w:bottom w:w="0"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 77002</w:t>
            </w:r>
          </w:p>
        </w:tc>
        <w:tc>
          <w:tcPr>
            <w:tcW w:w="3713"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9753</Words>
  <CharactersWithSpaces>62641</CharactersWithSpaces>
  <Paragraphs>4320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