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020" w:right="2300" w:hanging="4012"/>
        <w:spacing w:after="0" w:line="282" w:lineRule="auto"/>
        <w:tabs>
          <w:tab w:leader="none" w:pos="3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1-36132</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48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4"/>
              </w:rPr>
              <w:t>Delaware</w:t>
            </w:r>
          </w:p>
        </w:tc>
        <w:tc>
          <w:tcPr>
            <w:tcW w:w="3540" w:type="dxa"/>
            <w:vAlign w:val="bottom"/>
          </w:tcPr>
          <w:p>
            <w:pPr>
              <w:jc w:val="right"/>
              <w:ind w:right="628"/>
              <w:spacing w:after="0"/>
              <w:rPr>
                <w:sz w:val="20"/>
                <w:szCs w:val="20"/>
                <w:color w:val="auto"/>
              </w:rPr>
            </w:pPr>
            <w:r>
              <w:rPr>
                <w:rFonts w:ascii="Arial" w:cs="Arial" w:eastAsia="Arial" w:hAnsi="Arial"/>
                <w:sz w:val="14"/>
                <w:szCs w:val="14"/>
                <w:b w:val="1"/>
                <w:bCs w:val="1"/>
                <w:color w:val="auto"/>
              </w:rPr>
              <w:t>90-1005472</w:t>
            </w:r>
          </w:p>
        </w:tc>
      </w:tr>
      <w:tr>
        <w:trPr>
          <w:trHeight w:val="270"/>
        </w:trPr>
        <w:tc>
          <w:tcPr>
            <w:tcW w:w="4880" w:type="dxa"/>
            <w:vAlign w:val="bottom"/>
          </w:tcPr>
          <w:p>
            <w:pPr>
              <w:jc w:val="center"/>
              <w:ind w:right="13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40" w:type="dxa"/>
            <w:vAlign w:val="bottom"/>
          </w:tcPr>
          <w:p>
            <w:pPr>
              <w:jc w:val="center"/>
              <w:ind w:left="1368"/>
              <w:spacing w:after="0"/>
              <w:rPr>
                <w:sz w:val="20"/>
                <w:szCs w:val="20"/>
                <w:color w:val="auto"/>
              </w:rPr>
            </w:pPr>
            <w:r>
              <w:rPr>
                <w:rFonts w:ascii="Arial" w:cs="Arial" w:eastAsia="Arial" w:hAnsi="Arial"/>
                <w:sz w:val="14"/>
                <w:szCs w:val="14"/>
                <w:color w:val="auto"/>
                <w:w w:val="97"/>
              </w:rPr>
              <w:t>(I.R.S. Employer Identification No.)</w:t>
            </w:r>
          </w:p>
        </w:tc>
      </w:tr>
      <w:tr>
        <w:trPr>
          <w:trHeight w:val="405"/>
        </w:trPr>
        <w:tc>
          <w:tcPr>
            <w:tcW w:w="4880" w:type="dxa"/>
            <w:vAlign w:val="bottom"/>
          </w:tcPr>
          <w:p>
            <w:pPr>
              <w:jc w:val="center"/>
              <w:ind w:right="1348"/>
              <w:spacing w:after="0"/>
              <w:rPr>
                <w:sz w:val="20"/>
                <w:szCs w:val="20"/>
                <w:color w:val="auto"/>
              </w:rPr>
            </w:pPr>
            <w:r>
              <w:rPr>
                <w:rFonts w:ascii="Arial" w:cs="Arial" w:eastAsia="Arial" w:hAnsi="Arial"/>
                <w:sz w:val="14"/>
                <w:szCs w:val="14"/>
                <w:color w:val="auto"/>
                <w:w w:val="91"/>
              </w:rPr>
              <w:t>333 Clay Street, Suite 1600, Houston, Texas</w:t>
            </w:r>
          </w:p>
        </w:tc>
        <w:tc>
          <w:tcPr>
            <w:tcW w:w="3540" w:type="dxa"/>
            <w:vAlign w:val="bottom"/>
          </w:tcPr>
          <w:p>
            <w:pPr>
              <w:jc w:val="right"/>
              <w:ind w:right="808"/>
              <w:spacing w:after="0"/>
              <w:rPr>
                <w:sz w:val="20"/>
                <w:szCs w:val="20"/>
                <w:color w:val="auto"/>
              </w:rPr>
            </w:pPr>
            <w:r>
              <w:rPr>
                <w:rFonts w:ascii="Arial" w:cs="Arial" w:eastAsia="Arial" w:hAnsi="Arial"/>
                <w:sz w:val="14"/>
                <w:szCs w:val="14"/>
                <w:color w:val="auto"/>
              </w:rPr>
              <w:t>77002</w:t>
            </w:r>
          </w:p>
        </w:tc>
      </w:tr>
      <w:tr>
        <w:trPr>
          <w:trHeight w:val="270"/>
        </w:trPr>
        <w:tc>
          <w:tcPr>
            <w:tcW w:w="4880" w:type="dxa"/>
            <w:vAlign w:val="bottom"/>
          </w:tcPr>
          <w:p>
            <w:pPr>
              <w:jc w:val="center"/>
              <w:ind w:right="1368"/>
              <w:spacing w:after="0"/>
              <w:rPr>
                <w:sz w:val="20"/>
                <w:szCs w:val="20"/>
                <w:color w:val="auto"/>
              </w:rPr>
            </w:pPr>
            <w:r>
              <w:rPr>
                <w:rFonts w:ascii="Arial" w:cs="Arial" w:eastAsia="Arial" w:hAnsi="Arial"/>
                <w:sz w:val="14"/>
                <w:szCs w:val="14"/>
                <w:color w:val="auto"/>
                <w:w w:val="95"/>
              </w:rPr>
              <w:t>(Address of principal executive offices)</w:t>
            </w:r>
          </w:p>
        </w:tc>
        <w:tc>
          <w:tcPr>
            <w:tcW w:w="3540" w:type="dxa"/>
            <w:vAlign w:val="bottom"/>
          </w:tcPr>
          <w:p>
            <w:pPr>
              <w:jc w:val="center"/>
              <w:ind w:left="1348"/>
              <w:spacing w:after="0"/>
              <w:rPr>
                <w:sz w:val="20"/>
                <w:szCs w:val="20"/>
                <w:color w:val="auto"/>
              </w:rPr>
            </w:pPr>
            <w:r>
              <w:rPr>
                <w:rFonts w:ascii="Arial" w:cs="Arial" w:eastAsia="Arial" w:hAnsi="Arial"/>
                <w:sz w:val="14"/>
                <w:szCs w:val="14"/>
                <w:color w:val="auto"/>
                <w:w w:val="96"/>
              </w:rPr>
              <w:t>(Zip Code)</w:t>
            </w:r>
          </w:p>
        </w:tc>
      </w:tr>
    </w:tbl>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7420" w:type="dxa"/>
            <w:vAlign w:val="bottom"/>
            <w:gridSpan w:val="4"/>
          </w:tcPr>
          <w:p>
            <w:pPr>
              <w:ind w:left="36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646-4100</w:t>
            </w:r>
          </w:p>
        </w:tc>
        <w:tc>
          <w:tcPr>
            <w:tcW w:w="0" w:type="dxa"/>
            <w:vAlign w:val="bottom"/>
          </w:tcPr>
          <w:p>
            <w:pPr>
              <w:spacing w:after="0"/>
              <w:rPr>
                <w:sz w:val="1"/>
                <w:szCs w:val="1"/>
                <w:color w:val="auto"/>
              </w:rPr>
            </w:pPr>
          </w:p>
        </w:tc>
      </w:tr>
      <w:tr>
        <w:trPr>
          <w:trHeight w:val="284"/>
        </w:trPr>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382"/>
        </w:trPr>
        <w:tc>
          <w:tcPr>
            <w:tcW w:w="3400" w:type="dxa"/>
            <w:vAlign w:val="bottom"/>
          </w:tcPr>
          <w:p>
            <w:pPr>
              <w:jc w:val="center"/>
              <w:ind w:left="1757"/>
              <w:spacing w:after="0"/>
              <w:rPr>
                <w:sz w:val="20"/>
                <w:szCs w:val="20"/>
                <w:color w:val="auto"/>
              </w:rPr>
            </w:pPr>
            <w:r>
              <w:rPr>
                <w:rFonts w:ascii="Arial" w:cs="Arial" w:eastAsia="Arial" w:hAnsi="Arial"/>
                <w:sz w:val="11"/>
                <w:szCs w:val="11"/>
                <w:b w:val="1"/>
                <w:bCs w:val="1"/>
                <w:color w:val="auto"/>
                <w:w w:val="87"/>
              </w:rPr>
              <w:t>Title of Each Class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1"/>
                <w:szCs w:val="11"/>
                <w:b w:val="1"/>
                <w:bCs w:val="1"/>
                <w:color w:val="auto"/>
                <w:w w:val="88"/>
              </w:rPr>
              <w:t>Name of Each Exchange on Which Registered</w:t>
            </w:r>
          </w:p>
        </w:tc>
        <w:tc>
          <w:tcPr>
            <w:tcW w:w="0" w:type="dxa"/>
            <w:vAlign w:val="bottom"/>
          </w:tcPr>
          <w:p>
            <w:pPr>
              <w:spacing w:after="0"/>
              <w:rPr>
                <w:sz w:val="1"/>
                <w:szCs w:val="1"/>
                <w:color w:val="auto"/>
              </w:rPr>
            </w:pPr>
          </w:p>
        </w:tc>
      </w:tr>
      <w:tr>
        <w:trPr>
          <w:trHeight w:val="22"/>
        </w:trPr>
        <w:tc>
          <w:tcPr>
            <w:tcW w:w="3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200" w:type="dxa"/>
            <w:vAlign w:val="bottom"/>
            <w:gridSpan w:val="2"/>
            <w:vMerge w:val="restart"/>
          </w:tcPr>
          <w:p>
            <w:pPr>
              <w:jc w:val="center"/>
              <w:ind w:left="937"/>
              <w:spacing w:after="0"/>
              <w:rPr>
                <w:sz w:val="20"/>
                <w:szCs w:val="20"/>
                <w:color w:val="auto"/>
              </w:rPr>
            </w:pPr>
            <w:r>
              <w:rPr>
                <w:rFonts w:ascii="Arial" w:cs="Arial" w:eastAsia="Arial" w:hAnsi="Arial"/>
                <w:sz w:val="14"/>
                <w:szCs w:val="14"/>
                <w:color w:val="auto"/>
                <w:w w:val="91"/>
              </w:rPr>
              <w:t>Class A Shares, Representing Limited Partner Interests</w:t>
            </w: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54"/>
        </w:trPr>
        <w:tc>
          <w:tcPr>
            <w:tcW w:w="420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1" w:lineRule="exact"/>
        <w:rPr>
          <w:sz w:val="24"/>
          <w:szCs w:val="24"/>
          <w:color w:val="auto"/>
        </w:rPr>
      </w:pPr>
    </w:p>
    <w:p>
      <w:pPr>
        <w:jc w:val="center"/>
        <w:ind w:left="3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91" w:lineRule="exact"/>
        <w:rPr>
          <w:sz w:val="24"/>
          <w:szCs w:val="24"/>
          <w:color w:val="auto"/>
        </w:rPr>
      </w:pPr>
    </w:p>
    <w:p>
      <w:pPr>
        <w:ind w:left="300" w:right="3520"/>
        <w:spacing w:after="0" w:line="371"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100" w:firstLine="284"/>
        <w:spacing w:after="0" w:line="29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 w:lineRule="exact"/>
        <w:rPr>
          <w:sz w:val="24"/>
          <w:szCs w:val="24"/>
          <w:color w:val="auto"/>
        </w:rPr>
      </w:pPr>
    </w:p>
    <w:p>
      <w:pPr>
        <w:ind w:right="100" w:firstLine="284"/>
        <w:spacing w:after="0" w:line="296"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 w:lineRule="exact"/>
        <w:rPr>
          <w:sz w:val="24"/>
          <w:szCs w:val="24"/>
          <w:color w:val="auto"/>
        </w:rPr>
      </w:pPr>
    </w:p>
    <w:p>
      <w:pPr>
        <w:ind w:right="360" w:firstLine="284"/>
        <w:spacing w:after="0" w:line="29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320" w:firstLine="28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19" w:lineRule="exact"/>
        <w:rPr>
          <w:sz w:val="24"/>
          <w:szCs w:val="24"/>
          <w:color w:val="auto"/>
        </w:rPr>
      </w:pPr>
    </w:p>
    <w:tbl>
      <w:tblPr>
        <w:tblLayout w:type="fixed"/>
        <w:tblInd w:w="1280" w:type="dxa"/>
        <w:tblCellMar>
          <w:top w:w="0" w:type="dxa"/>
          <w:left w:w="0" w:type="dxa"/>
          <w:bottom w:w="0" w:type="dxa"/>
          <w:right w:w="0" w:type="dxa"/>
        </w:tblCellMar>
      </w:tblPr>
      <w:tr>
        <w:trPr>
          <w:trHeight w:val="182"/>
        </w:trPr>
        <w:tc>
          <w:tcPr>
            <w:tcW w:w="4380" w:type="dxa"/>
            <w:vAlign w:val="bottom"/>
          </w:tcPr>
          <w:p>
            <w:pPr>
              <w:jc w:val="center"/>
              <w:ind w:right="1668"/>
              <w:spacing w:after="0"/>
              <w:rPr>
                <w:sz w:val="20"/>
                <w:szCs w:val="20"/>
                <w:color w:val="auto"/>
              </w:rPr>
            </w:pPr>
            <w:r>
              <w:rPr>
                <w:rFonts w:ascii="Arial" w:cs="Arial" w:eastAsia="Arial" w:hAnsi="Arial"/>
                <w:sz w:val="14"/>
                <w:szCs w:val="14"/>
                <w:color w:val="auto"/>
                <w:w w:val="93"/>
              </w:rPr>
              <w:t>Large accelerated filer x</w:t>
            </w:r>
          </w:p>
        </w:tc>
        <w:tc>
          <w:tcPr>
            <w:tcW w:w="3420" w:type="dxa"/>
            <w:vAlign w:val="bottom"/>
          </w:tcPr>
          <w:p>
            <w:pPr>
              <w:jc w:val="center"/>
              <w:ind w:left="1648"/>
              <w:spacing w:after="0"/>
              <w:rPr>
                <w:sz w:val="20"/>
                <w:szCs w:val="20"/>
                <w:color w:val="auto"/>
              </w:rPr>
            </w:pPr>
            <w:r>
              <w:rPr>
                <w:rFonts w:ascii="Arial" w:cs="Arial" w:eastAsia="Arial" w:hAnsi="Arial"/>
                <w:sz w:val="14"/>
                <w:szCs w:val="14"/>
                <w:color w:val="auto"/>
                <w:w w:val="94"/>
              </w:rPr>
              <w:t>Accelerated filer o</w:t>
            </w:r>
          </w:p>
        </w:tc>
      </w:tr>
      <w:tr>
        <w:trPr>
          <w:trHeight w:val="392"/>
        </w:trPr>
        <w:tc>
          <w:tcPr>
            <w:tcW w:w="4380" w:type="dxa"/>
            <w:vAlign w:val="bottom"/>
          </w:tcPr>
          <w:p>
            <w:pPr>
              <w:jc w:val="center"/>
              <w:ind w:right="1648"/>
              <w:spacing w:after="0"/>
              <w:rPr>
                <w:sz w:val="20"/>
                <w:szCs w:val="20"/>
                <w:color w:val="auto"/>
              </w:rPr>
            </w:pPr>
            <w:r>
              <w:rPr>
                <w:rFonts w:ascii="Arial" w:cs="Arial" w:eastAsia="Arial" w:hAnsi="Arial"/>
                <w:sz w:val="14"/>
                <w:szCs w:val="14"/>
                <w:color w:val="auto"/>
                <w:w w:val="95"/>
              </w:rPr>
              <w:t>Non-accelerated filer o</w:t>
            </w:r>
          </w:p>
        </w:tc>
        <w:tc>
          <w:tcPr>
            <w:tcW w:w="3420" w:type="dxa"/>
            <w:vAlign w:val="bottom"/>
          </w:tcPr>
          <w:p>
            <w:pPr>
              <w:jc w:val="center"/>
              <w:ind w:left="1668"/>
              <w:spacing w:after="0"/>
              <w:rPr>
                <w:sz w:val="20"/>
                <w:szCs w:val="20"/>
                <w:color w:val="auto"/>
              </w:rPr>
            </w:pPr>
            <w:r>
              <w:rPr>
                <w:rFonts w:ascii="Arial" w:cs="Arial" w:eastAsia="Arial" w:hAnsi="Arial"/>
                <w:sz w:val="14"/>
                <w:szCs w:val="14"/>
                <w:color w:val="auto"/>
                <w:w w:val="93"/>
              </w:rPr>
              <w:t>Smaller reporting company o</w:t>
            </w:r>
          </w:p>
        </w:tc>
      </w:tr>
      <w:tr>
        <w:trPr>
          <w:trHeight w:val="324"/>
        </w:trPr>
        <w:tc>
          <w:tcPr>
            <w:tcW w:w="4380" w:type="dxa"/>
            <w:vAlign w:val="bottom"/>
          </w:tcPr>
          <w:p>
            <w:pPr>
              <w:jc w:val="center"/>
              <w:ind w:right="1648"/>
              <w:spacing w:after="0"/>
              <w:rPr>
                <w:sz w:val="20"/>
                <w:szCs w:val="20"/>
                <w:color w:val="auto"/>
              </w:rPr>
            </w:pPr>
            <w:r>
              <w:rPr>
                <w:rFonts w:ascii="Arial" w:cs="Arial" w:eastAsia="Arial" w:hAnsi="Arial"/>
                <w:sz w:val="14"/>
                <w:szCs w:val="14"/>
                <w:color w:val="auto"/>
                <w:w w:val="94"/>
              </w:rPr>
              <w:t>(Do not check if a smaller reporting company)</w:t>
            </w:r>
          </w:p>
        </w:tc>
        <w:tc>
          <w:tcPr>
            <w:tcW w:w="3420" w:type="dxa"/>
            <w:vAlign w:val="bottom"/>
          </w:tcPr>
          <w:p>
            <w:pPr>
              <w:jc w:val="center"/>
              <w:ind w:left="1668"/>
              <w:spacing w:after="0"/>
              <w:rPr>
                <w:sz w:val="20"/>
                <w:szCs w:val="20"/>
                <w:color w:val="auto"/>
              </w:rPr>
            </w:pPr>
            <w:r>
              <w:rPr>
                <w:rFonts w:ascii="Arial" w:cs="Arial" w:eastAsia="Arial" w:hAnsi="Arial"/>
                <w:sz w:val="14"/>
                <w:szCs w:val="14"/>
                <w:color w:val="auto"/>
                <w:w w:val="94"/>
              </w:rPr>
              <w:t>Emerging growth company o</w:t>
            </w:r>
          </w:p>
        </w:tc>
      </w:tr>
    </w:tbl>
    <w:p>
      <w:pPr>
        <w:spacing w:after="0" w:line="193" w:lineRule="exact"/>
        <w:rPr>
          <w:sz w:val="24"/>
          <w:szCs w:val="24"/>
          <w:color w:val="auto"/>
        </w:rPr>
      </w:pPr>
    </w:p>
    <w:p>
      <w:pPr>
        <w:ind w:right="160" w:firstLine="324"/>
        <w:spacing w:after="0" w:line="26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55"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color w:val="auto"/>
        </w:rPr>
        <w:t>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$3.9 billion on June 30, 2017, based on a closing price of $26.16 per Class A share as reported on the New York Stock Exchange on such date. As of February 12, 2018, there were 157,011,139 Class A shares outstanding.</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4" w:lineRule="exact"/>
        <w:rPr>
          <w:sz w:val="24"/>
          <w:szCs w:val="24"/>
          <w:color w:val="auto"/>
        </w:rPr>
      </w:pPr>
    </w:p>
    <w:p>
      <w:pPr>
        <w:jc w:val="center"/>
        <w:ind w:left="260" w:right="100"/>
        <w:spacing w:after="0" w:line="278" w:lineRule="auto"/>
        <w:rPr>
          <w:sz w:val="20"/>
          <w:szCs w:val="20"/>
          <w:color w:val="auto"/>
        </w:rPr>
      </w:pPr>
      <w:r>
        <w:rPr>
          <w:rFonts w:ascii="Arial" w:cs="Arial" w:eastAsia="Arial" w:hAnsi="Arial"/>
          <w:sz w:val="14"/>
          <w:szCs w:val="14"/>
          <w:color w:val="auto"/>
        </w:rPr>
        <w:t>Portions of the registrant’s definitive Proxy Statement to be filed pursuant to Regulation 14A pertaining to the 2018 Annual Meeting of Class A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10-K—2017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220" w:type="dxa"/>
            <w:vAlign w:val="bottom"/>
            <w:gridSpan w:val="10"/>
            <w:vMerge w:val="restart"/>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0000EE"/>
            </w:tcBorders>
            <w:gridSpan w:val="2"/>
            <w:vMerge w:val="continue"/>
          </w:tcPr>
          <w:p>
            <w:pPr>
              <w:spacing w:after="0"/>
              <w:rPr>
                <w:sz w:val="15"/>
                <w:szCs w:val="15"/>
                <w:color w:val="auto"/>
              </w:rPr>
            </w:pPr>
          </w:p>
        </w:tc>
        <w:tc>
          <w:tcPr>
            <w:tcW w:w="4220" w:type="dxa"/>
            <w:vAlign w:val="bottom"/>
            <w:gridSpan w:val="10"/>
            <w:vMerge w:val="continue"/>
          </w:tcPr>
          <w:p>
            <w:pPr>
              <w:spacing w:after="0"/>
              <w:rPr>
                <w:sz w:val="15"/>
                <w:szCs w:val="15"/>
                <w:color w:val="auto"/>
              </w:rPr>
            </w:pPr>
          </w:p>
        </w:tc>
        <w:tc>
          <w:tcPr>
            <w:tcW w:w="900" w:type="dxa"/>
            <w:vAlign w:val="bottom"/>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88"/>
        </w:trPr>
        <w:tc>
          <w:tcPr>
            <w:tcW w:w="1020" w:type="dxa"/>
            <w:vAlign w:val="bottom"/>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Items 1 and 2.</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 and Properties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1A.</w:t>
              </w:r>
            </w:hyperlink>
          </w:p>
        </w:tc>
        <w:tc>
          <w:tcPr>
            <w:tcW w:w="38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280" w:type="dxa"/>
            <w:vAlign w:val="bottom"/>
            <w:gridSpan w:val="2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1B.</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000" w:type="dxa"/>
            <w:vAlign w:val="bottom"/>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3.</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6960" w:type="dxa"/>
            <w:vAlign w:val="bottom"/>
            <w:gridSpan w:val="19"/>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w:t>
              </w:r>
            </w:hyperlink>
          </w:p>
        </w:tc>
        <w:tc>
          <w:tcPr>
            <w:tcW w:w="9240" w:type="dxa"/>
            <w:vAlign w:val="bottom"/>
            <w:gridSpan w:val="28"/>
          </w:tcPr>
          <w:p>
            <w:pPr>
              <w:ind w:left="240"/>
              <w:spacing w:after="0"/>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90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w:t>
              </w:r>
            </w:hyperlink>
          </w:p>
        </w:tc>
        <w:tc>
          <w:tcPr>
            <w:tcW w:w="4180" w:type="dxa"/>
            <w:vAlign w:val="bottom"/>
            <w:gridSpan w:val="9"/>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750"/>
        </w:trPr>
        <w:tc>
          <w:tcPr>
            <w:tcW w:w="1240" w:type="dxa"/>
            <w:vAlign w:val="bottom"/>
            <w:gridSpan w:val="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5.</w:t>
              </w:r>
            </w:hyperlink>
          </w:p>
        </w:tc>
        <w:tc>
          <w:tcPr>
            <w:tcW w:w="9240" w:type="dxa"/>
            <w:vAlign w:val="bottom"/>
            <w:gridSpan w:val="28"/>
          </w:tcPr>
          <w:p>
            <w:pPr>
              <w:ind w:left="240"/>
              <w:spacing w:after="0"/>
              <w:rPr>
                <w:rFonts w:ascii="Arial" w:cs="Arial" w:eastAsia="Arial" w:hAnsi="Arial"/>
                <w:sz w:val="18"/>
                <w:szCs w:val="18"/>
                <w:color w:val="0000EE"/>
              </w:rPr>
            </w:pPr>
            <w:hyperlink w:anchor="page71">
              <w:r>
                <w:rPr>
                  <w:rFonts w:ascii="Arial" w:cs="Arial" w:eastAsia="Arial" w:hAnsi="Arial"/>
                  <w:sz w:val="18"/>
                  <w:szCs w:val="18"/>
                  <w:color w:val="0000EE"/>
                </w:rPr>
                <w:t>Market for Registrant’s Shares, Related Shareholder Matters and Issuer Purchases of Equity Securities</w:t>
              </w:r>
            </w:hyperlink>
          </w:p>
        </w:tc>
        <w:tc>
          <w:tcPr>
            <w:tcW w:w="90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6.</w:t>
              </w:r>
            </w:hyperlink>
          </w:p>
        </w:tc>
        <w:tc>
          <w:tcPr>
            <w:tcW w:w="9240" w:type="dxa"/>
            <w:vAlign w:val="bottom"/>
            <w:gridSpan w:val="28"/>
          </w:tcPr>
          <w:p>
            <w:pPr>
              <w:ind w:left="240"/>
              <w:spacing w:after="0"/>
              <w:rPr>
                <w:rFonts w:ascii="Arial" w:cs="Arial" w:eastAsia="Arial" w:hAnsi="Arial"/>
                <w:sz w:val="18"/>
                <w:szCs w:val="18"/>
                <w:color w:val="0000EE"/>
              </w:rPr>
            </w:pPr>
            <w:hyperlink w:anchor="page74">
              <w:r>
                <w:rPr>
                  <w:rFonts w:ascii="Arial" w:cs="Arial" w:eastAsia="Arial" w:hAnsi="Arial"/>
                  <w:sz w:val="18"/>
                  <w:szCs w:val="18"/>
                  <w:color w:val="0000EE"/>
                </w:rPr>
                <w:t>Selected Financial Data</w:t>
              </w:r>
            </w:hyperlink>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7.</w:t>
              </w:r>
            </w:hyperlink>
          </w:p>
        </w:tc>
        <w:tc>
          <w:tcPr>
            <w:tcW w:w="9240" w:type="dxa"/>
            <w:vAlign w:val="bottom"/>
            <w:gridSpan w:val="28"/>
          </w:tcPr>
          <w:p>
            <w:pPr>
              <w:ind w:left="240"/>
              <w:spacing w:after="0"/>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Item 7A.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Quantitative and Qualitative Disclosures About Market Risk</w:t>
              </w:r>
            </w:hyperlink>
          </w:p>
        </w:tc>
        <w:tc>
          <w:tcPr>
            <w:tcW w:w="4640" w:type="dxa"/>
            <w:vAlign w:val="bottom"/>
            <w:gridSpan w:val="11"/>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8.</w:t>
              </w:r>
            </w:hyperlink>
          </w:p>
        </w:tc>
        <w:tc>
          <w:tcPr>
            <w:tcW w:w="9240" w:type="dxa"/>
            <w:vAlign w:val="bottom"/>
            <w:gridSpan w:val="28"/>
          </w:tcPr>
          <w:p>
            <w:pPr>
              <w:ind w:left="240"/>
              <w:spacing w:after="0"/>
              <w:rPr>
                <w:rFonts w:ascii="Arial" w:cs="Arial" w:eastAsia="Arial" w:hAnsi="Arial"/>
                <w:sz w:val="18"/>
                <w:szCs w:val="18"/>
                <w:color w:val="0000EE"/>
              </w:rPr>
            </w:pPr>
            <w:hyperlink w:anchor="page108">
              <w:r>
                <w:rPr>
                  <w:rFonts w:ascii="Arial" w:cs="Arial" w:eastAsia="Arial" w:hAnsi="Arial"/>
                  <w:sz w:val="18"/>
                  <w:szCs w:val="18"/>
                  <w:color w:val="0000EE"/>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9.</w:t>
              </w:r>
            </w:hyperlink>
          </w:p>
        </w:tc>
        <w:tc>
          <w:tcPr>
            <w:tcW w:w="9240" w:type="dxa"/>
            <w:vAlign w:val="bottom"/>
            <w:gridSpan w:val="28"/>
          </w:tcPr>
          <w:p>
            <w:pPr>
              <w:ind w:left="240"/>
              <w:spacing w:after="0"/>
              <w:rPr>
                <w:rFonts w:ascii="Arial" w:cs="Arial" w:eastAsia="Arial" w:hAnsi="Arial"/>
                <w:sz w:val="18"/>
                <w:szCs w:val="18"/>
                <w:color w:val="0000EE"/>
              </w:rPr>
            </w:pPr>
            <w:hyperlink w:anchor="page108">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9A.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Controls and Procedures</w:t>
              </w:r>
            </w:hyperlink>
          </w:p>
        </w:tc>
        <w:tc>
          <w:tcPr>
            <w:tcW w:w="7220" w:type="dxa"/>
            <w:vAlign w:val="bottom"/>
            <w:gridSpan w:val="21"/>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9B.</w:t>
              </w:r>
            </w:hyperlink>
          </w:p>
        </w:tc>
        <w:tc>
          <w:tcPr>
            <w:tcW w:w="9240" w:type="dxa"/>
            <w:vAlign w:val="bottom"/>
            <w:gridSpan w:val="28"/>
          </w:tcPr>
          <w:p>
            <w:pPr>
              <w:ind w:left="240"/>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900" w:type="dxa"/>
            <w:vAlign w:val="bottom"/>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III</w:t>
              </w:r>
            </w:hyperlink>
          </w:p>
        </w:tc>
        <w:tc>
          <w:tcPr>
            <w:tcW w:w="4140" w:type="dxa"/>
            <w:vAlign w:val="bottom"/>
            <w:gridSpan w:val="7"/>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Item 10.</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Directors and Executive Officers of Our General Partner and Corporate Governance</w:t>
              </w:r>
            </w:hyperlink>
          </w:p>
        </w:tc>
        <w:tc>
          <w:tcPr>
            <w:tcW w:w="2940" w:type="dxa"/>
            <w:vAlign w:val="bottom"/>
            <w:gridSpan w:val="5"/>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11.</w:t>
              </w:r>
            </w:hyperlink>
          </w:p>
        </w:tc>
        <w:tc>
          <w:tcPr>
            <w:tcW w:w="9240" w:type="dxa"/>
            <w:vAlign w:val="bottom"/>
            <w:gridSpan w:val="28"/>
          </w:tcPr>
          <w:p>
            <w:pPr>
              <w:ind w:left="240"/>
              <w:spacing w:after="0"/>
              <w:rPr>
                <w:rFonts w:ascii="Arial" w:cs="Arial" w:eastAsia="Arial" w:hAnsi="Arial"/>
                <w:sz w:val="18"/>
                <w:szCs w:val="18"/>
                <w:color w:val="0000EE"/>
              </w:rPr>
            </w:pPr>
            <w:hyperlink w:anchor="page110">
              <w:r>
                <w:rPr>
                  <w:rFonts w:ascii="Arial" w:cs="Arial" w:eastAsia="Arial" w:hAnsi="Arial"/>
                  <w:sz w:val="18"/>
                  <w:szCs w:val="18"/>
                  <w:color w:val="0000EE"/>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Item 12.</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73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Security Ownership of Certain Beneficial Owners and Management and Related Shareholder Matters</w:t>
              </w:r>
            </w:hyperlink>
          </w:p>
        </w:tc>
        <w:tc>
          <w:tcPr>
            <w:tcW w:w="170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Item 13.</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Certain Relationships and Related Transactions, and Director Independence</w:t>
              </w:r>
            </w:hyperlink>
          </w:p>
        </w:tc>
        <w:tc>
          <w:tcPr>
            <w:tcW w:w="354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14.</w:t>
              </w:r>
            </w:hyperlink>
          </w:p>
        </w:tc>
        <w:tc>
          <w:tcPr>
            <w:tcW w:w="9240" w:type="dxa"/>
            <w:vAlign w:val="bottom"/>
            <w:gridSpan w:val="28"/>
          </w:tcPr>
          <w:p>
            <w:pPr>
              <w:ind w:left="240"/>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4"/>
          </w:tcPr>
          <w:p>
            <w:pPr>
              <w:jc w:val="center"/>
              <w:ind w:right="4160"/>
              <w:spacing w:after="0"/>
              <w:rPr>
                <w:rFonts w:ascii="Arial" w:cs="Arial" w:eastAsia="Arial" w:hAnsi="Arial"/>
                <w:sz w:val="18"/>
                <w:szCs w:val="18"/>
                <w:b w:val="1"/>
                <w:bCs w:val="1"/>
                <w:color w:val="0000EE"/>
                <w:w w:val="98"/>
              </w:rPr>
            </w:pPr>
            <w:hyperlink w:anchor="page112">
              <w:r>
                <w:rPr>
                  <w:rFonts w:ascii="Arial" w:cs="Arial" w:eastAsia="Arial" w:hAnsi="Arial"/>
                  <w:sz w:val="18"/>
                  <w:szCs w:val="18"/>
                  <w:b w:val="1"/>
                  <w:bCs w:val="1"/>
                  <w:color w:val="0000EE"/>
                  <w:w w:val="98"/>
                </w:rPr>
                <w:t>PART IV</w:t>
              </w:r>
            </w:hyperlink>
          </w:p>
        </w:tc>
        <w:tc>
          <w:tcPr>
            <w:tcW w:w="90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15.</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Exhibits and Financial Statement Schedules</w:t>
              </w:r>
            </w:hyperlink>
          </w:p>
        </w:tc>
        <w:tc>
          <w:tcPr>
            <w:tcW w:w="980" w:type="dxa"/>
            <w:vAlign w:val="bottom"/>
            <w:gridSpan w:val="3"/>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4160" w:type="dxa"/>
            <w:vAlign w:val="bottom"/>
            <w:gridSpan w:val="8"/>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Item 16.</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Form 10-K Summary</w:t>
              </w:r>
            </w:hyperlink>
          </w:p>
        </w:tc>
        <w:tc>
          <w:tcPr>
            <w:tcW w:w="7440" w:type="dxa"/>
            <w:vAlign w:val="bottom"/>
            <w:gridSpan w:val="2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72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7"/>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ectPr>
          <w:pgSz w:w="11900" w:h="16838" w:orient="portrait"/>
          <w:cols w:equalWidth="0" w:num="1">
            <w:col w:w="11400"/>
          </w:cols>
          <w:pgMar w:left="240" w:top="125" w:right="25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62"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December 31, 2017,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completed our initial public offering (“IPO”) in October 2013, and our Class A shares are publicly traded on the New York Stock Exchange under the ticker symbol “PAGP”. Immediately prior to completion of our IPO, certain owners of Plains AAP, L.P. (“AAP”) transferred a portion of their interests in AAP to us, resulting in our ownership of a limited partnership interest in AAP. As of December 31, 2017, we owned (i) a 100% managing member interest in Plains All American GP LLC (“GP LLC”), which has also elected to be taxed as a corporation for United States federal income tax purposes, and</w:t>
      </w:r>
    </w:p>
    <w:p>
      <w:pPr>
        <w:spacing w:after="0" w:line="2" w:lineRule="exact"/>
        <w:rPr>
          <w:sz w:val="20"/>
          <w:szCs w:val="20"/>
          <w:color w:val="auto"/>
        </w:rPr>
      </w:pPr>
    </w:p>
    <w:p>
      <w:pPr>
        <w:ind w:right="200" w:firstLine="8"/>
        <w:spacing w:after="0" w:line="254"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approximate 55% limited partner interest in AAP through our direct ownership of approximately 155.1 million Class A units of AAP (“AAP units”) and indirect ownership of approximately 1.0 million AAP units through GP LLC. As of such date, the remaining limited partner interests in AAP were held by a group of owners that included many of the owners of AAP immediately prior to our IPO and various current and former members of management (collectively, the “Legacy Owners”).</w:t>
      </w:r>
    </w:p>
    <w:p>
      <w:pPr>
        <w:spacing w:after="0" w:line="190"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GP LLC is a Delaware limited liability company that also holds the non-economic general partner interest in AAP. AAP is a Delaware limited partnership that, as of December 31, 2017, directly owned a limited partner interest in PAA through its ownership of approximately 284.0 million PAA common units (approximately 36% of PAA’s total outstanding common units and Series A preferred units combined (together, “PAA Common Unit Equivalents”)). AAP is the sole member of PAA GP LLC (“PAA GP”), a Delaware limited liability company that directly holds the non-economic general partner interest in PAA. Our non-economic general partner interest is held by PAA GP Holdings LLC (“PAGP GP”), a Delaware limited liability company.</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References to the “PAGP Entities” include PAGP GP, PAGP, GP LLC, AAP and PAA GP. References to the “Plains Entities” include the PAGP Entities and PAA and its subsidiaries.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general partner manages our operations and activities and is responsible for exercising on our behalf any rights we have as the sole and managing member of GP LLC. The PAGP GP Board has ultimate responsibility for managing the business and affairs of AAP, PAA and us. GP LLC employs all domestic officers and personnel involved in the operation and management of PAA. PAA’s Canadian officers and personnel are employed by Plains Midstream Canada ULC (“PMC”). Our general partner does not receive a management fee or other compensation in connection with its management of our business.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two diagrams below show our organizational structure and ownership as of December 31, 2017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17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445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380" w:hanging="652"/>
        <w:spacing w:after="0" w:line="22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We will hold annual meetings for the election of eligible directors beginning in May 2018. Through a “pass-through” voting right as a result of PAA’s ownership of our Class C shares, PAA’s common unitholders have the effective right to vote, pro rata with the holders of our Class A and Class B shares, for the election of eligible directors.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Represents percentage ownership of PAA Common Unit Equivalents.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Detailed Partnership Structure</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7126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1930" cy="712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652"/>
        <w:spacing w:after="0" w:line="227"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Represents the number of AAP units for which the outstanding Class B units of AAP (referred to herein as the “AAP Management Units”) will be exchangeable, assuming the conversion of all such units at a rate of approximately 0.941 AAP units for each AAP Management Unit.</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125"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Assumes conversion of all outstanding AAP Management Units into AAP units.</w:t>
      </w:r>
    </w:p>
    <w:p>
      <w:pPr>
        <w:spacing w:after="0" w:line="98" w:lineRule="exact"/>
        <w:rPr>
          <w:rFonts w:ascii="Arial" w:cs="Arial" w:eastAsia="Arial" w:hAnsi="Arial"/>
          <w:sz w:val="25"/>
          <w:szCs w:val="25"/>
          <w:color w:val="auto"/>
          <w:vertAlign w:val="superscript"/>
        </w:rPr>
      </w:pPr>
    </w:p>
    <w:p>
      <w:pPr>
        <w:ind w:left="660" w:right="40" w:hanging="652"/>
        <w:spacing w:after="0" w:line="225"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Each Class C share represents a non-economic limited partner interest in us. Through a “pass-through” voting right as a result of PAA’s ownership of our Class C shares, PAA’s common unitholders have the effective right to vote, pro rata with the holders of our Class A and Class B shares, for the election of eligible directors.</w:t>
      </w:r>
    </w:p>
    <w:p>
      <w:pPr>
        <w:spacing w:after="0" w:line="94" w:lineRule="exact"/>
        <w:rPr>
          <w:rFonts w:ascii="Arial" w:cs="Arial" w:eastAsia="Arial" w:hAnsi="Arial"/>
          <w:sz w:val="25"/>
          <w:szCs w:val="25"/>
          <w:color w:val="auto"/>
          <w:vertAlign w:val="superscript"/>
        </w:rPr>
      </w:pPr>
    </w:p>
    <w:p>
      <w:pPr>
        <w:ind w:left="660" w:right="160" w:hanging="652"/>
        <w:spacing w:after="0" w:line="227"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Amount does not include 792,074 PAA common units that will become issuable to AAP that relate to AAP Management Units that are outstanding but not earned. See Note 16 to our Consolidated Financial Statements for additional discussion of the AAP Management Units.</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Represents percentage ownership of PAA Common Unit Equivalents.</w:t>
      </w:r>
    </w:p>
    <w:p>
      <w:pPr>
        <w:spacing w:after="0" w:line="201" w:lineRule="exact"/>
        <w:rPr>
          <w:rFonts w:ascii="Arial" w:cs="Arial" w:eastAsia="Arial" w:hAnsi="Arial"/>
          <w:sz w:val="25"/>
          <w:szCs w:val="25"/>
          <w:color w:val="auto"/>
          <w:vertAlign w:val="superscript"/>
        </w:rPr>
      </w:pPr>
    </w:p>
    <w:p>
      <w:pPr>
        <w:ind w:left="660" w:right="14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PAA holds direct and indirect ownership interests in consolidated operating subsidiaries including, but not limited to, Plains Marketing, L.P., Plains Pipeline, L.P. and PMC.</w:t>
      </w:r>
    </w:p>
    <w:p>
      <w:pPr>
        <w:spacing w:after="0" w:line="95" w:lineRule="exact"/>
        <w:rPr>
          <w:rFonts w:ascii="Arial" w:cs="Arial" w:eastAsia="Arial" w:hAnsi="Arial"/>
          <w:sz w:val="25"/>
          <w:szCs w:val="25"/>
          <w:color w:val="auto"/>
          <w:vertAlign w:val="superscript"/>
        </w:rPr>
      </w:pPr>
    </w:p>
    <w:p>
      <w:pPr>
        <w:ind w:left="660" w:right="160" w:hanging="652"/>
        <w:spacing w:after="0" w:line="235"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PAA holds indirect equity interests in unconsolidated entities including Advantage Pipeline, L.L.C. (“Advantage”), BridgeTex Pipeline Company, LLC (“BridgeTex”), Caddo Pipeline LLC (“Caddo”), Cheyenne Pipeline LLC (“Cheyenne”), Diamond Pipeline LLC (“Diamond”), Eagle Ford Pipeline LLC (“Eagle Ford Pipeline”), Eagle Ford Terminals Corpus Christi LLC (“Eagle Ford Terminals”), Midway Pipeline LLC (“Midway Pipeline”), Saddlehorn Pipeline Company, LLC (“Saddlehorn”), Settoon Towing, LLC (“Settoon Towing”), STACK Pipeline LLC (“STACK”) and White Cliffs Pipeline, L.L.C. (“White Cliffs”).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December 31, 2017, our only cash-generating assets consisted of approximately 156.1 million AAP units, which represented an approximate 55% limited partner and economic interest in AAP. Of these AAP units, we directly own approximately 155.1 million, and we indirectly own the remaining 1.0 million AAP units through our 100% ownership in GP LLC. Unless we directly acquire and hold assets or businesses in the future, our cash flows will be generated solely from the cash distributions we receive on the AAP units. AAP currently receives all of its cash flows from distributions on common units it owns in PAA. As of December 31, 2017, AAP owned approximately 284.0 million common units in PAA.</w:t>
      </w:r>
    </w:p>
    <w:p>
      <w:pPr>
        <w:spacing w:after="0" w:line="17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have and will maintain a one-to-one relationship between our Class A shares and the underlying PAA common units in which we have an indirect economic interest through our ownership interests in AAP and GP LLC (referred to as “Economic Parity”), such that the number of our outstanding Class A shares equals the number of AAP units we directly and indirectly own, which in turn equals the number of PAA common units held by AAP attributable to our direct and indirect ownership in 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Business Strategy</w:t>
      </w:r>
    </w:p>
    <w:p>
      <w:pPr>
        <w:spacing w:after="0" w:line="121"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supply, logistics and distribution expertise. We believe PAA’s successful execution of this strategy will enable it to generate sustainable earnings and cash flow. PAA intends to manage and grow its business by:</w:t>
      </w:r>
    </w:p>
    <w:p>
      <w:pPr>
        <w:spacing w:after="0" w:line="64" w:lineRule="exact"/>
        <w:rPr>
          <w:sz w:val="20"/>
          <w:szCs w:val="20"/>
          <w:color w:val="auto"/>
        </w:rPr>
      </w:pPr>
    </w:p>
    <w:p>
      <w:pPr>
        <w:ind w:left="980" w:right="8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developing and implementing growth projects that (i) address evolving crude oil and NGL needs in the midstream transportation and infrastructure sector and (ii) are well positioned to benefit from long-term industry trends and opportunities;</w:t>
      </w:r>
    </w:p>
    <w:p>
      <w:pPr>
        <w:spacing w:after="0" w:line="38"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using its transportation, terminalling, storage, processing and fractionation assets in conjunction with its supply and logistics activities to provide flexibility for customers, capture market opportunities, address physical market imbalances, mitigate inherent risks and increase margin;</w:t>
      </w:r>
    </w:p>
    <w:p>
      <w:pPr>
        <w:spacing w:after="0" w:line="15" w:lineRule="exact"/>
        <w:rPr>
          <w:rFonts w:ascii="Arial" w:cs="Arial" w:eastAsia="Arial" w:hAnsi="Arial"/>
          <w:sz w:val="16"/>
          <w:szCs w:val="16"/>
          <w:color w:val="auto"/>
        </w:rPr>
      </w:pPr>
    </w:p>
    <w:p>
      <w:pPr>
        <w:ind w:left="980" w:right="2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running a safe, reliable, environmentally and socially responsible operation, which includes driving operational excellence, cost savings, asset optimization and improved efficiencies throughout the organization;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its existing asset base and distribution capabilities.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117" w:lineRule="exact"/>
        <w:rPr>
          <w:sz w:val="20"/>
          <w:szCs w:val="20"/>
          <w:color w:val="auto"/>
        </w:rPr>
      </w:pPr>
    </w:p>
    <w:p>
      <w:pPr>
        <w:ind w:left="980" w:right="60" w:hanging="324"/>
        <w:spacing w:after="0" w:line="291" w:lineRule="auto"/>
        <w:tabs>
          <w:tab w:leader="none" w:pos="9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Many of PAA’s assets are strategically located and operationally flexible. </w:t>
      </w:r>
      <w:r>
        <w:rPr>
          <w:rFonts w:ascii="Arial" w:cs="Arial" w:eastAsia="Arial" w:hAnsi="Arial"/>
          <w:sz w:val="16"/>
          <w:szCs w:val="16"/>
          <w:color w:val="auto"/>
        </w:rPr>
        <w:t>The majority of PAA’s primary Transportation segment assets are in</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service, are located in well-established crude oil producing regions (with PAA’s largest asset presence in the Permian Basin) and other transportation corridors and are connected, directly or indirectly, with PAA’s Facilities segment assets. The majority of PAA’s Facilities segment assets are located at major trading locations and premium markets that serve as gateways to major North American refinery and distribution markets where PAA has strong business relationships. In addition, PAA’s assets include pipeline, rail, barge, truck and storage assets, which provide PAA’s customers and PAA with significant flexibility and optionality to satisfy demand and balance markets, particularly during a dynamic period of changing product flows and recent developments with respect to rising crude oil exports.</w:t>
      </w:r>
    </w:p>
    <w:p>
      <w:pPr>
        <w:spacing w:after="0" w:line="221" w:lineRule="exact"/>
        <w:rPr>
          <w:rFonts w:ascii="Arial" w:cs="Arial" w:eastAsia="Arial" w:hAnsi="Arial"/>
          <w:sz w:val="16"/>
          <w:szCs w:val="16"/>
          <w:i w:val="1"/>
          <w:iCs w:val="1"/>
          <w:color w:val="auto"/>
        </w:rPr>
      </w:pPr>
    </w:p>
    <w:p>
      <w:pPr>
        <w:ind w:left="98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 possesses specialized crude oil and NGL market knowledge. </w:t>
      </w:r>
      <w:r>
        <w:rPr>
          <w:rFonts w:ascii="Arial" w:cs="Arial" w:eastAsia="Arial" w:hAnsi="Arial"/>
          <w:sz w:val="18"/>
          <w:szCs w:val="18"/>
          <w:color w:val="auto"/>
        </w:rPr>
        <w:t>We believe PAA’s business relationships with participants in various phases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crude oil and NGL distribution chain, from producers to refiners, as well as PAA’s own industry expertise (including PAA’s knowledge of North American crude oil and NGL flows), provide PAA with an extensive understanding of the North American physical crude oil and NGL markets.</w:t>
      </w:r>
    </w:p>
    <w:p>
      <w:pPr>
        <w:spacing w:after="0" w:line="294" w:lineRule="exact"/>
        <w:rPr>
          <w:rFonts w:ascii="Arial" w:cs="Arial" w:eastAsia="Arial" w:hAnsi="Arial"/>
          <w:sz w:val="18"/>
          <w:szCs w:val="18"/>
          <w:i w:val="1"/>
          <w:iCs w:val="1"/>
          <w:color w:val="auto"/>
        </w:rPr>
      </w:pPr>
    </w:p>
    <w:p>
      <w:pPr>
        <w:ind w:left="980" w:right="2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PAA’s supply and logistics activities typically generate a positive margin with the opportunity to realize incremental margins. </w:t>
      </w:r>
      <w:r>
        <w:rPr>
          <w:rFonts w:ascii="Arial" w:cs="Arial" w:eastAsia="Arial" w:hAnsi="Arial"/>
          <w:sz w:val="18"/>
          <w:szCs w:val="18"/>
          <w:color w:val="auto"/>
        </w:rPr>
        <w:t>We believe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activities executed within PAA’s Supply and Logistics segment in combination with PAA’s risk management strategies provides PAA with a low-risk opportunity to generate incremental margin, the amount of which may vary depending on market conditions (such as commodity price levels, differentials and certain competitive factors).</w:t>
      </w:r>
    </w:p>
    <w:p>
      <w:pPr>
        <w:spacing w:after="0" w:line="240" w:lineRule="exact"/>
        <w:rPr>
          <w:rFonts w:ascii="Arial" w:cs="Arial" w:eastAsia="Arial" w:hAnsi="Arial"/>
          <w:sz w:val="18"/>
          <w:szCs w:val="18"/>
          <w:i w:val="1"/>
          <w:iCs w:val="1"/>
          <w:color w:val="auto"/>
        </w:rPr>
      </w:pPr>
    </w:p>
    <w:p>
      <w:pPr>
        <w:ind w:left="980" w:right="160" w:hanging="324"/>
        <w:spacing w:after="0" w:line="293" w:lineRule="auto"/>
        <w:tabs>
          <w:tab w:leader="none" w:pos="9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PAA has the evaluation, integration and engineering skill sets and the financial flexibility to continue to pursue acquisition and expansion opportunities. </w:t>
      </w:r>
      <w:r>
        <w:rPr>
          <w:rFonts w:ascii="Arial" w:cs="Arial" w:eastAsia="Arial" w:hAnsi="Arial"/>
          <w:sz w:val="16"/>
          <w:szCs w:val="16"/>
          <w:color w:val="auto"/>
        </w:rPr>
        <w:t>Since 1998, PAA has completed and integrated over 90 acquisitions with an aggregate purchase price of approximately $13.2</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Since 1998, PAA has also implemented expansion capital projects totaling approximately $12.6 billion. In addition, considering PAA’s investment grade credit rating, liquidity and capital structure, we believe PAA has the financial resources and strength necessary to finance future strategic expansion and acquisition opportunities. As of December 31, 2017, PAA had approximately $3.0 billion of liquidity available, including cash and cash equivalents and availability under its committed credit facilities, subject to continued covenant compliance.</w:t>
      </w:r>
    </w:p>
    <w:p>
      <w:pPr>
        <w:spacing w:after="0" w:line="218" w:lineRule="exact"/>
        <w:rPr>
          <w:rFonts w:ascii="Arial" w:cs="Arial" w:eastAsia="Arial" w:hAnsi="Arial"/>
          <w:sz w:val="16"/>
          <w:szCs w:val="16"/>
          <w:i w:val="1"/>
          <w:iCs w:val="1"/>
          <w:color w:val="auto"/>
        </w:rPr>
      </w:pPr>
    </w:p>
    <w:p>
      <w:pPr>
        <w:ind w:left="980" w:right="2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 has an experienced management team whose interests are aligned with those of its unitholders. </w:t>
      </w:r>
      <w:r>
        <w:rPr>
          <w:rFonts w:ascii="Arial" w:cs="Arial" w:eastAsia="Arial" w:hAnsi="Arial"/>
          <w:sz w:val="18"/>
          <w:szCs w:val="18"/>
          <w:color w:val="auto"/>
        </w:rPr>
        <w:t>PAA’s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32 years of industry experience, and an average of 17 years with PAA or its predecessors and affiliates. In addition, through their ownership of PAA common units, grants of phantom units and interests in us, AAP units and AAP Management Units, PAA’s management team has a vested interest in PAA’s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financial strategy is designed to be complementary to PAA’s financial and business strategies. Our only cash-generating assets consist of our direct and indirect limited partner interests in AAP, which currently receives all of its cash flows from distributions on the PAA common units it owns.</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17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Accordingly, we intend to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Financial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targets a credit profile with the following attributes:</w:t>
      </w:r>
    </w:p>
    <w:p>
      <w:pPr>
        <w:spacing w:after="0" w:line="7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3.5x and 4.0x (adjusted EBITDA is earnings before interest, taxes, depreciation and amortization and further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first two of these four metrics include long-term debt as a critical measure. PAA also incurs short-term debt in connection with its supply and logistics activities that involve the simultaneous purchase and forward sale of crude oil and NGL. The crude oil and NGL purchased in these transactions are hedged. PAA does not consider the working capital borrowings associated with these activities to be part of its long-term capital structure. These borrowings are self-liquidating as they are repaid with sales proceeds. As part of PAA’s Leverage Reduction Plan (as discussed further below), PAA has reduced its levels of hedged inventory related borrowings. PAA also incurs short-term debt to fund New York Mercantile Exchange (“NYMEX”) and Intercontinental Exchange (“ICE”) margin requirements. In certain market conditions, these routine short-term debt levels may increase significantly above baseline levels. For example, PAA’s short-term debt levels at December 31, 2017 and 2016 included borrowings for $212 million and $410 million, respectively, of margin requirements, which were significantly elevated from historical levels primarily due to the increase in crude oil prices at the end of each year.</w:t>
      </w:r>
    </w:p>
    <w:p>
      <w:pPr>
        <w:spacing w:after="0" w:line="16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Typically, for PAA to maintain its targeted credit profile and achieve growth through acquisitions and expansion capital, PAA funds approximately 55% of the capital requirements associated with these activities with equity and cash flow in excess of distributions. From time to time, PAA may be outside the parameters of its targeted credit profile as, in certain cases, capital expenditures and acquisitions may be financed initially using debt or there may be delays in realizing anticipated synergies from acquisitions or contributions from expansion capital projects to adjusted EBITDA. As a result of a challenging environment and the impact of the gap in the timing between funding our capital program and the time the assets are placed in service and begin to generate cash flow, PAA expects its long-term debt-to-adjusted EBITDA to be above its target range for the near-term. PAA expects this leverage ratio will improve and return to targeted levels as PAA executes its Leverage Reduction Plan (discussed further below), and as the industry recovers and PAA realizes EBITDA growth from capital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Leverage Reduction Plan</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On August 25, 2017, PAA announced that it was implementing an action plan to strengthen its balance sheet, reduce leverage, enhance its distribution coverage, minimize new issuances of common equity and position PAA for future distribution growth. See Item 7. “Management’s Discussion and Analysis of Financial Condition and Results of Operations—Executive Summary” for a summary of this action plan and the status of PAA’s efforts to implement such plan.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Acquisitions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acquisition of midstream assets and businesses that are strategic and complementary to PAA’s existing operations constitutes an integral component of its business strategy and growth objectives. Such assets and businesses include crude oil and NGL logistics assets as well as other energy assets that have characteristics and provide opportunities similar to its existing business lines and enable PAA to leverage its assets, knowledge and skill 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acquisitions greater than $200 million that PAA has completed over the past five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center"/>
              <w:ind w:right="184"/>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2"/>
                <w:szCs w:val="12"/>
                <w:color w:val="auto"/>
              </w:rPr>
            </w:pPr>
          </w:p>
        </w:tc>
        <w:tc>
          <w:tcPr>
            <w:tcW w:w="468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 xml:space="preserve">Purchase Price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Feb-2017</w:t>
            </w: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Recently constructed gathering system located in the Northern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Delaware Basin</w:t>
            </w: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2"/>
              </w:rPr>
              <w:t>Spectra Energy Partners Western Canada NGL</w:t>
            </w:r>
          </w:p>
        </w:tc>
        <w:tc>
          <w:tcPr>
            <w:tcW w:w="1020" w:type="dxa"/>
            <w:vAlign w:val="bottom"/>
          </w:tcPr>
          <w:p>
            <w:pPr>
              <w:ind w:left="160"/>
              <w:spacing w:after="0"/>
              <w:rPr>
                <w:sz w:val="20"/>
                <w:szCs w:val="20"/>
                <w:color w:val="auto"/>
              </w:rPr>
            </w:pPr>
            <w:r>
              <w:rPr>
                <w:rFonts w:ascii="Arial" w:cs="Arial" w:eastAsia="Arial" w:hAnsi="Arial"/>
                <w:sz w:val="18"/>
                <w:szCs w:val="18"/>
                <w:color w:val="auto"/>
              </w:rPr>
              <w:t>Aug-2016</w:t>
            </w: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Integrated system of NGL assets located in Western Canada</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3520" w:type="dxa"/>
            <w:vAlign w:val="bottom"/>
          </w:tcPr>
          <w:p>
            <w:pPr>
              <w:ind w:left="160"/>
              <w:spacing w:after="0"/>
              <w:rPr>
                <w:sz w:val="20"/>
                <w:szCs w:val="20"/>
                <w:color w:val="auto"/>
              </w:rPr>
            </w:pPr>
            <w:r>
              <w:rPr>
                <w:rFonts w:ascii="Arial" w:cs="Arial" w:eastAsia="Arial" w:hAnsi="Arial"/>
                <w:sz w:val="18"/>
                <w:szCs w:val="18"/>
                <w:color w:val="auto"/>
              </w:rPr>
              <w:t>Assets</w:t>
            </w:r>
          </w:p>
        </w:tc>
        <w:tc>
          <w:tcPr>
            <w:tcW w:w="10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3520" w:type="dxa"/>
            <w:vAlign w:val="bottom"/>
          </w:tcPr>
          <w:p>
            <w:pPr>
              <w:spacing w:after="0"/>
              <w:rPr>
                <w:sz w:val="20"/>
                <w:szCs w:val="20"/>
                <w:color w:val="auto"/>
              </w:rPr>
            </w:pPr>
            <w:r>
              <w:rPr>
                <w:rFonts w:ascii="Arial" w:cs="Arial" w:eastAsia="Arial" w:hAnsi="Arial"/>
                <w:sz w:val="18"/>
                <w:szCs w:val="18"/>
                <w:color w:val="auto"/>
                <w:w w:val="96"/>
              </w:rPr>
              <w:t>50% Interest in BridgeTex Pipeline Company,</w:t>
            </w:r>
          </w:p>
        </w:tc>
        <w:tc>
          <w:tcPr>
            <w:tcW w:w="1020" w:type="dxa"/>
            <w:vAlign w:val="bottom"/>
          </w:tcPr>
          <w:p>
            <w:pPr>
              <w:ind w:left="160"/>
              <w:spacing w:after="0"/>
              <w:rPr>
                <w:sz w:val="20"/>
                <w:szCs w:val="20"/>
                <w:color w:val="auto"/>
              </w:rPr>
            </w:pPr>
            <w:r>
              <w:rPr>
                <w:rFonts w:ascii="Arial" w:cs="Arial" w:eastAsia="Arial" w:hAnsi="Arial"/>
                <w:sz w:val="18"/>
                <w:szCs w:val="18"/>
                <w:color w:val="auto"/>
              </w:rPr>
              <w:t>Nov-2014</w:t>
            </w:r>
          </w:p>
        </w:tc>
        <w:tc>
          <w:tcPr>
            <w:tcW w:w="4700" w:type="dxa"/>
            <w:vAlign w:val="bottom"/>
          </w:tcPr>
          <w:p>
            <w:pPr>
              <w:ind w:left="160"/>
              <w:spacing w:after="0"/>
              <w:rPr>
                <w:sz w:val="20"/>
                <w:szCs w:val="20"/>
                <w:color w:val="auto"/>
              </w:rPr>
            </w:pPr>
            <w:r>
              <w:rPr>
                <w:rFonts w:ascii="Arial" w:cs="Arial" w:eastAsia="Arial" w:hAnsi="Arial"/>
                <w:sz w:val="18"/>
                <w:szCs w:val="18"/>
                <w:color w:val="auto"/>
              </w:rPr>
              <w:t>BridgeTex owns a crude oil pipeline that extends from</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3520" w:type="dxa"/>
            <w:vAlign w:val="bottom"/>
          </w:tcPr>
          <w:p>
            <w:pPr>
              <w:ind w:left="160"/>
              <w:spacing w:after="0"/>
              <w:rPr>
                <w:sz w:val="20"/>
                <w:szCs w:val="20"/>
                <w:color w:val="auto"/>
              </w:rPr>
            </w:pPr>
            <w:r>
              <w:rPr>
                <w:rFonts w:ascii="Arial" w:cs="Arial" w:eastAsia="Arial" w:hAnsi="Arial"/>
                <w:sz w:val="18"/>
                <w:szCs w:val="18"/>
                <w:color w:val="auto"/>
              </w:rPr>
              <w:t>LLC (“BridgeTex”)</w:t>
            </w:r>
          </w:p>
        </w:tc>
        <w:tc>
          <w:tcPr>
            <w:tcW w:w="10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Colorado City, Texas to East Houston</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(3)</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511" w:lineRule="exact"/>
        <w:rPr>
          <w:sz w:val="20"/>
          <w:szCs w:val="20"/>
          <w:color w:val="auto"/>
        </w:rPr>
      </w:pPr>
    </w:p>
    <w:p>
      <w:pPr>
        <w:sectPr>
          <w:pgSz w:w="11900" w:h="16838" w:orient="portrait"/>
          <w:cols w:equalWidth="0" w:num="2">
            <w:col w:w="10980" w:space="120"/>
            <w:col w:w="320"/>
          </w:cols>
          <w:pgMar w:left="240" w:top="125" w:right="239" w:bottom="1440" w:gutter="0" w:footer="0" w:header="0"/>
          <w:type w:val="continuous"/>
        </w:sectPr>
      </w:pPr>
    </w:p>
    <w:p>
      <w:pPr>
        <w:spacing w:after="0" w:line="191" w:lineRule="exact"/>
        <w:rPr>
          <w:sz w:val="20"/>
          <w:szCs w:val="20"/>
          <w:color w:val="auto"/>
        </w:rPr>
      </w:pPr>
    </w:p>
    <w:p>
      <w:pPr>
        <w:ind w:left="660" w:right="100" w:hanging="652"/>
        <w:spacing w:after="0" w:line="245"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Excludes PAA’s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PAA issued approximately 14.7 million of its common units with a value of approximately $760 million.</w:t>
      </w:r>
    </w:p>
    <w:p>
      <w:pPr>
        <w:spacing w:after="0" w:line="46"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As applicable, the approximate purchase price includes total cash paid and debt assumed, including amounts for working capital and inventory.</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$180 million, net of cash, inventory and other working capital acquired.</w:t>
      </w:r>
    </w:p>
    <w:p>
      <w:pPr>
        <w:spacing w:after="0" w:line="98" w:lineRule="exact"/>
        <w:rPr>
          <w:rFonts w:ascii="Arial" w:cs="Arial" w:eastAsia="Arial" w:hAnsi="Arial"/>
          <w:sz w:val="25"/>
          <w:szCs w:val="25"/>
          <w:color w:val="auto"/>
          <w:vertAlign w:val="superscript"/>
        </w:rPr>
      </w:pPr>
    </w:p>
    <w:p>
      <w:pPr>
        <w:ind w:left="660" w:right="400" w:hanging="652"/>
        <w:spacing w:after="0" w:line="214"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$1.075 billion, net of working capital acquired. PAA accounts for its 50% interest in BridgeTex under the equity method of accounting.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Divestitures</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2016, PAA initiated a program to evaluate potential sales of non-core assets and/or sales of partial interests in assets to strategic joint venture partners to optimize its asset portfolio and strengthen its balance sheet and leverage metrics. Through December 31, 2017, PAA has completed asset sales totaling approximately $1.7 billion, of which approximately $0.6 billion closed in 2016 (net of amounts paid for the remaining interest in a pipeline that was subsequently sold) and approximately $1.1 billion closed in 2017. See Note 6 to our Consolidated Financial Statements for additional discussion of dispositions and divestitures.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Divestiture and Investment Activities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Consistent with its business strategy, PAA is continuously engaged in the evaluation of potential acquisitions, joint ventures and capital projects. As a part of these efforts, PAA often engages in discussions with potential sellers or other parties regarding the possible purchase of or investment in assets and operations that are strategic and complementary to PAA’s existing operations. In addition, PAA has in the past evaluated and pursued, and intends in the future to evaluate and pursue, the acquisition of or investment in other energy-related assets that have characteristics and opportunities similar to PAA’s existing business lines and enable PAA to leverage its assets, knowledge and skill sets. Such efforts may involve participation by PAA in processes that have been made public and involve a number of potential buyers or investors, commonly referred to as “auction” processes, as well as situations in which PAA believes it is the only party or one of a limited number of parties who are in negotiations with the potential seller or other party. These acquisition and investment efforts often involve assets which, if acquired or constructed, could have a material effect on PAA’s financial condition and results of operations.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time to time, PAA may also (i) sell assets that it regards as non-core or that it believes might be a better fit with the business or assets of a third-party buyer or (ii) sell partial interests in assets to strategic joint venture partners, in each case to optimize PAA’s asset portfolio and strengthen its balance sheet and leverage metrics. With respect to a potential divestiture, PAA may also conduct an auction process or may negotiate a transaction with one or a limited number of potential buyers.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PAA typically does not announce a transaction until after it has executed a definitive agreement. However, in certain cases in order to protect its business interests or for other reasons, PAA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PAA has entered into a definitive agreement may be subject to customary and other closing conditions, which may not ultimately be satisfied or waived. Accordingly, PAA can give no assurance that its current or future acquisition or investment efforts will be successful, or that its strategic asset divestitures will be completed. Although PAA expects the acquisitions and investments it makes to be accretive in the long term, PAA can provide no assurance that its expectations will ultimately be realized. See Item 1A. “Risk Factors—Risks Related to PAA’s Business—If PAA makes acquisitions that fail to perform as anticipated, its future growth may be limited” and “—Acquisitions and divestitures involve risks that may adversely affect PAA’s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Expansion Capital Projects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PAA’s extensive asset base and its relationships with customers provide it with opportunities for organic growth through the construction of additional assets that are complementary to, and expand or extend, its existing asset base. PAA’s 2018 expansion capital plan is representative of the diversity and balance of its overall project portfolio. The following expansion capital projects are included in PAA’s 2018 capital plan as of February 2018:</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3"/>
              </w:rPr>
              <w:t>Projected</w:t>
            </w:r>
          </w:p>
        </w:tc>
        <w:tc>
          <w:tcPr>
            <w:tcW w:w="22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2018 Plan</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Project</w:t>
            </w:r>
          </w:p>
        </w:tc>
        <w:tc>
          <w:tcPr>
            <w:tcW w:w="120" w:type="dxa"/>
            <w:vAlign w:val="bottom"/>
            <w:vMerge w:val="restart"/>
          </w:tcPr>
          <w:p>
            <w:pPr>
              <w:spacing w:after="0"/>
              <w:rPr>
                <w:sz w:val="12"/>
                <w:szCs w:val="12"/>
                <w:color w:val="auto"/>
              </w:rPr>
            </w:pPr>
          </w:p>
        </w:tc>
        <w:tc>
          <w:tcPr>
            <w:tcW w:w="536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 xml:space="preserve">Amount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In-Service Date</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w:t>
            </w: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Primarily includes (i) the Cactus II pipeline system project and (ii) the</w:t>
            </w:r>
          </w:p>
        </w:tc>
        <w:tc>
          <w:tcPr>
            <w:tcW w:w="14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1"/>
              </w:rPr>
              <w:t>Q1 2019 - Q3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Projects</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extension/looping of the Sunrise pipeline system</w:t>
            </w:r>
          </w:p>
        </w:tc>
        <w:tc>
          <w:tcPr>
            <w:tcW w:w="1460" w:type="dxa"/>
            <w:vAlign w:val="bottom"/>
            <w:tcBorders>
              <w:bottom w:val="single" w:sz="8" w:color="CCEEFF"/>
            </w:tcBorders>
            <w:shd w:val="clear" w:color="auto" w:fill="CCEEFF"/>
          </w:tcPr>
          <w:p>
            <w:pPr>
              <w:jc w:val="center"/>
              <w:ind w:right="14"/>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Multiple projects to support the Permian Basin takeaway pipeline</w:t>
            </w:r>
          </w:p>
        </w:tc>
        <w:tc>
          <w:tcPr>
            <w:tcW w:w="1460" w:type="dxa"/>
            <w:vAlign w:val="bottom"/>
          </w:tcPr>
          <w:p>
            <w:pPr>
              <w:jc w:val="center"/>
              <w:ind w:right="14"/>
              <w:spacing w:after="0"/>
              <w:rPr>
                <w:sz w:val="20"/>
                <w:szCs w:val="20"/>
                <w:color w:val="auto"/>
              </w:rPr>
            </w:pPr>
            <w:r>
              <w:rPr>
                <w:rFonts w:ascii="Arial" w:cs="Arial" w:eastAsia="Arial" w:hAnsi="Arial"/>
                <w:sz w:val="18"/>
                <w:szCs w:val="18"/>
                <w:color w:val="auto"/>
                <w:w w:val="91"/>
              </w:rPr>
              <w:t>Q1 2018 - Q4</w:t>
            </w:r>
          </w:p>
        </w:tc>
        <w:tc>
          <w:tcPr>
            <w:tcW w:w="22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Projects</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w w:val="94"/>
              </w:rPr>
              <w:t>projects, including additional terminalling and storage facilities and intra-</w:t>
            </w:r>
          </w:p>
        </w:tc>
        <w:tc>
          <w:tcPr>
            <w:tcW w:w="1460" w:type="dxa"/>
            <w:vAlign w:val="bottom"/>
          </w:tcPr>
          <w:p>
            <w:pPr>
              <w:jc w:val="center"/>
              <w:ind w:right="14"/>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basin and gathering pipelines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Selected Facilities</w:t>
            </w: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Includes projects at St. James, Fort Saskatchewan and other terminals</w:t>
            </w:r>
          </w:p>
        </w:tc>
        <w:tc>
          <w:tcPr>
            <w:tcW w:w="14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1"/>
              </w:rPr>
              <w:t>Q2 2018 - Q4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right="14"/>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5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right="14"/>
              <w:spacing w:after="0"/>
              <w:rPr>
                <w:sz w:val="20"/>
                <w:szCs w:val="20"/>
                <w:color w:val="auto"/>
              </w:rPr>
            </w:pPr>
            <w:r>
              <w:rPr>
                <w:rFonts w:ascii="Arial" w:cs="Arial" w:eastAsia="Arial" w:hAnsi="Arial"/>
                <w:sz w:val="18"/>
                <w:szCs w:val="18"/>
                <w:color w:val="auto"/>
                <w:w w:val="91"/>
              </w:rPr>
              <w:t>Q1 2018 - 2019+</w:t>
            </w: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Projected Expansion Capital</w:t>
            </w:r>
          </w:p>
        </w:tc>
        <w:tc>
          <w:tcPr>
            <w:tcW w:w="5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5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32"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 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 xml:space="preserve">The health of the global petroleum market is dependent on the relative supply and demand of hydrocarbons, including crude oil and NGL. These supply and demand economics are greatly influenced by the broader global economic climate, exposing the petroleum market to the challenges and volatility associated with global economic development. For the period from 2004 through 2013, global liquids production increased 7.8 million barrels per day while global liquids consumption increased 9.2 million barrels per day. For the period from 2013 through 2016, global production growth outpaced global consumption growth by 1.2 million barrels per day resulting in a cumulative imbalance of 1.0 million barrels per day. In 2017, the global supply/demand gap tightened as global liquids consumption increased 1.4 million barrels per day, the third consecutive year of above trend demand growth. The Organization of Petroleum Exporting Countries (“OPEC”) supply growth was limited as a result of the November 2016 OPEC production agreement that aimed to limit OPEC crude oil output to 32.5 million barrels per day. The table below depicts historical OPEC and non-OPEC liquids production and global liquids consumption and is derived from the U.S. Energy Information Administration (“EIA”) Short-Term Energy Outlook, January 2018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Annual Liquids Production / Consumption</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 from</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 from</w:t>
            </w:r>
          </w:p>
        </w:tc>
        <w:tc>
          <w:tcPr>
            <w:tcW w:w="1020" w:type="dxa"/>
            <w:vAlign w:val="bottom"/>
          </w:tcPr>
          <w:p>
            <w:pPr>
              <w:jc w:val="right"/>
              <w:ind w:right="255"/>
              <w:spacing w:after="0"/>
              <w:rPr>
                <w:sz w:val="20"/>
                <w:szCs w:val="20"/>
                <w:color w:val="auto"/>
              </w:rPr>
            </w:pPr>
            <w:r>
              <w:rPr>
                <w:rFonts w:ascii="Arial" w:cs="Arial" w:eastAsia="Arial" w:hAnsi="Arial"/>
                <w:sz w:val="14"/>
                <w:szCs w:val="14"/>
                <w:b w:val="1"/>
                <w:bCs w:val="1"/>
                <w:color w:val="auto"/>
              </w:rPr>
              <w:t>∆ from</w:t>
            </w: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2004-2013</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2013-2016</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2016-2017</w:t>
            </w:r>
          </w:p>
        </w:tc>
      </w:tr>
      <w:tr>
        <w:trPr>
          <w:trHeight w:val="250"/>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40" w:type="dxa"/>
            <w:vAlign w:val="bottom"/>
            <w:gridSpan w:val="8"/>
          </w:tcPr>
          <w:p>
            <w:pPr>
              <w:ind w:left="20"/>
              <w:spacing w:after="0"/>
              <w:rPr>
                <w:sz w:val="20"/>
                <w:szCs w:val="20"/>
                <w:color w:val="auto"/>
              </w:rPr>
            </w:pPr>
            <w:r>
              <w:rPr>
                <w:rFonts w:ascii="Arial" w:cs="Arial" w:eastAsia="Arial" w:hAnsi="Arial"/>
                <w:sz w:val="14"/>
                <w:szCs w:val="14"/>
                <w:b w:val="1"/>
                <w:bCs w:val="1"/>
                <w:color w:val="auto"/>
              </w:rPr>
              <w:t xml:space="preserve">(in millions of barrels per day) </w:t>
            </w:r>
            <w:r>
              <w:rPr>
                <w:rFonts w:ascii="Arial" w:cs="Arial" w:eastAsia="Arial" w:hAnsi="Arial"/>
                <w:sz w:val="8"/>
                <w:szCs w:val="8"/>
                <w:b w:val="1"/>
                <w:bCs w:val="1"/>
                <w:color w:val="auto"/>
              </w:rPr>
              <w:t>(1)</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(Supply)</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OPEC</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880" w:type="dxa"/>
            <w:vAlign w:val="bottom"/>
            <w:gridSpan w:val="3"/>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39.3</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color w:val="auto"/>
              </w:rPr>
              <w:t>0.1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Non-OPEC</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83.4</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91.3</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93.8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97.2</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98.0</w:t>
            </w:r>
          </w:p>
        </w:tc>
        <w:tc>
          <w:tcPr>
            <w:tcW w:w="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2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20" w:type="dxa"/>
            <w:vAlign w:val="bottom"/>
            <w:tcBorders>
              <w:right w:val="single" w:sz="8" w:color="auto"/>
            </w:tcBorders>
            <w:shd w:val="clear" w:color="auto" w:fill="CCEEFF"/>
          </w:tcPr>
          <w:p>
            <w:pPr>
              <w:spacing w:after="0"/>
              <w:rPr>
                <w:sz w:val="23"/>
                <w:szCs w:val="23"/>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Consumption (Demand)</w:t>
            </w: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83.0</w:t>
            </w: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b w:val="1"/>
                <w:bCs w:val="1"/>
                <w:color w:val="auto"/>
              </w:rPr>
              <w:t>92.2</w:t>
            </w:r>
          </w:p>
        </w:tc>
        <w:tc>
          <w:tcPr>
            <w:tcW w:w="1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93.6</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95.4</w:t>
            </w:r>
          </w:p>
        </w:tc>
        <w:tc>
          <w:tcPr>
            <w:tcW w:w="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97.0</w:t>
            </w: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b w:val="1"/>
                <w:bCs w:val="1"/>
                <w:color w:val="auto"/>
              </w:rPr>
              <w:t>98.4</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0"/>
        </w:trPr>
        <w:tc>
          <w:tcPr>
            <w:tcW w:w="32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20" w:type="dxa"/>
            <w:vAlign w:val="bottom"/>
            <w:tcBorders>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0" w:type="dxa"/>
            <w:vAlign w:val="bottom"/>
            <w:tcBorders>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20" w:type="dxa"/>
            <w:vAlign w:val="bottom"/>
            <w:tcBorders>
              <w:bottom w:val="single" w:sz="8" w:color="auto"/>
              <w:right w:val="single" w:sz="8" w:color="auto"/>
            </w:tcBorders>
            <w:shd w:val="clear" w:color="auto" w:fill="CCEEFF"/>
          </w:tcPr>
          <w:p>
            <w:pPr>
              <w:spacing w:after="0"/>
              <w:rPr>
                <w:sz w:val="23"/>
                <w:szCs w:val="23"/>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Global Supply / Demand Balance</w:t>
            </w: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November 2017, OPEC indicated a desire to continue managing crude oil production levels. Joined by certain non-OPEC countries such as Russia and Mexico, OPEC and non-OPEC producers agreed to manage market stability for the remainder of 2018. To the extent the production cut is executed, accumulated inventories should decline further, prices should remain firm and potentially rise, ultimately leading to increased activity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17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expansions, modifications and shut-downs; available transportation and storage capacity; and government mandates and related regulatory factors.</w:t>
      </w:r>
    </w:p>
    <w:p>
      <w:pPr>
        <w:spacing w:after="0" w:line="23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From 2011 through 2015,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 alternative service or reverse flows and expand the use of trucks, rail and barges for the movement of crude oil and condensate. Increased production came from mature producing areas such as the Rockies, the Permian Basin in West Texas and the Mid-Continent region, as well as from less mature, but rapidly growing areas such as the Eagle Ford Shale in South Texas and the Williston Basin in North Dakota. As a result, North American crude oil production increased 5.6 million barrels per day, or 33% between 2011 and 2015, with the increases coming primarily from Canada, the Eagle Ford Shale, the Permian Basin and the Williston Basin. Production increases in all of these regions strained existing transportation, terminalling and downstream infrastructure. The resulting opportunity for new crude oil infrastructure attracted significant investment in midstream oil assets, resulting in excess midstream capacity in the Permian, Eagle Ford, Williston, Midcontinent and Denver Julesburg basins. 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The meaningful decrease in crude oil price levels during the second half of 2014 and throughout 2015 relative to the levels experienced during 2013 and the first half of 2014 led many producers, including North American producers, to significantly scale back capital programs. As a result, during 2015, 2016 and part of 2017, the rate of growth of North American crude oil production slowed and production levels began to decrease in some areas. The combination of a slowdown in the rate of North American crude oil production growth and significant commitments for new infrastructure created an environment in which margins have compressed and differentials have tightened, reaching levels that are less than transportation cost in some cases. As the rate of production growth increases and pipeline utilizations increase, differentials should increase. The improvement is expected to occur on a regional basis based on the speed and extent of reductions in excess transportation capacity.</w:t>
      </w:r>
    </w:p>
    <w:p>
      <w:pPr>
        <w:spacing w:after="0" w:line="19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addition, significant shifts in the type and location of crude oil being produced in North America, relative to the types and location of crude oil being produced five years ago, have led to changes in the utilization of downstream infrastructure. From 2009 through 2015, refiners increased throughputs to take advantage of discounted domestic production, which led to lower use of imported crude oil by U.S. refineries. This decline in imports was a meaningful change in a multi-year trend whereby foreign imports of crude oil tripled over an approximately 23-year period from 1985 to 2007. In 2017, U.S. refinery inputs reached historically high levels fueled by price-driven demand growth and exports. U.S. petroleum consumption increased to 19.8 million barrels per day for the twelve-month period ended December 2017. The table below shows the overall domestic petroleum consumption projected through 2019 and is derived from the EIA Short-Term Energy Outlook, January 2018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8"/>
                <w:szCs w:val="8"/>
                <w:b w:val="1"/>
                <w:bCs w:val="1"/>
                <w:color w:val="auto"/>
              </w:rPr>
              <w:t>(1)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9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millions of barrels per day)</w:t>
            </w:r>
          </w:p>
        </w:tc>
        <w:tc>
          <w:tcPr>
            <w:tcW w:w="980" w:type="dxa"/>
            <w:vAlign w:val="bottom"/>
          </w:tcPr>
          <w:p>
            <w:pPr>
              <w:spacing w:after="0"/>
              <w:rPr>
                <w:sz w:val="21"/>
                <w:szCs w:val="21"/>
                <w:color w:val="auto"/>
              </w:rPr>
            </w:pPr>
          </w:p>
        </w:tc>
      </w:tr>
      <w:tr>
        <w:trPr>
          <w:trHeight w:val="209"/>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Supply</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rPr>
              <w:t>Domestic Crude Oil Production</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Imports - Crude Oil</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43"/>
        </w:trPr>
        <w:tc>
          <w:tcPr>
            <w:tcW w:w="40" w:type="dxa"/>
            <w:vAlign w:val="bottom"/>
          </w:tcPr>
          <w:p>
            <w:pPr>
              <w:spacing w:after="0"/>
              <w:rPr>
                <w:sz w:val="21"/>
                <w:szCs w:val="21"/>
                <w:color w:val="auto"/>
              </w:rPr>
            </w:pP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rPr>
              <w:t>Other (Supply Adjustment / Stock Change)</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Crude Oil Input to Domestic Refineries</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r>
      <w:tr>
        <w:trPr>
          <w:trHeight w:val="29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Product Imports / (Exports)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Supply from Renewable Sources</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rPr>
              <w:t>Other (NGL Production, Refinery Processing Gain)</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Domestic Petroleum Consumption</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Crude Oil Exports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The number of countries receiving exported U.S. crude oil has risen since the removal of restrictions on exporting U.S. crude oil in December 2015. U.S. crude oil exports have occurred despite uneconomic price spreads between international and domestic crude oil grades as global counterparties began to expand their sourcing options. U.S. crude oil exports averaged 1.0 million barrels per day in the first ten months of 2017, 0.45 (76%) million barrels per day more than the full-year 2016 and 0.58 (126%) million barrels per day more than full-year 2015. Continued increases in U.S. crude oil exports will likely depend on increases in U.S. crude oil production and wider price differences between domestic and international crude oil. The table below depicts historical U.S. crude oil exports and is derived from the EIA Monthly Energy Review, January 2018 (see EIA website at </w:t>
      </w:r>
      <w:r>
        <w:rPr>
          <w:rFonts w:ascii="Arial" w:cs="Arial" w:eastAsia="Arial" w:hAnsi="Arial"/>
          <w:sz w:val="16"/>
          <w:szCs w:val="16"/>
          <w:i w:val="1"/>
          <w:iCs w:val="1"/>
          <w:color w:val="auto"/>
        </w:rPr>
        <w:t>www.eia.doe.gov</w:t>
      </w:r>
      <w:r>
        <w:rPr>
          <w:rFonts w:ascii="Arial" w:cs="Arial" w:eastAsia="Arial" w:hAnsi="Arial"/>
          <w:sz w:val="16"/>
          <w:szCs w:val="16"/>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Annual U.S. Exports of Crude Oil</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 from</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 from</w:t>
            </w: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 from</w:t>
            </w:r>
          </w:p>
        </w:tc>
      </w:tr>
      <w:tr>
        <w:trPr>
          <w:trHeight w:val="264"/>
        </w:trPr>
        <w:tc>
          <w:tcPr>
            <w:tcW w:w="3440" w:type="dxa"/>
            <w:vAlign w:val="bottom"/>
          </w:tcPr>
          <w:p>
            <w:pPr>
              <w:spacing w:after="0"/>
              <w:rPr>
                <w:sz w:val="22"/>
                <w:szCs w:val="22"/>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2014-2015</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2015-2016</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2016-2017 </w:t>
            </w:r>
            <w:r>
              <w:rPr>
                <w:rFonts w:ascii="Arial" w:cs="Arial" w:eastAsia="Arial" w:hAnsi="Arial"/>
                <w:sz w:val="8"/>
                <w:szCs w:val="8"/>
                <w:b w:val="1"/>
                <w:bCs w:val="1"/>
                <w:color w:val="auto"/>
              </w:rPr>
              <w:t>(1)</w:t>
            </w:r>
          </w:p>
        </w:tc>
      </w:tr>
      <w:tr>
        <w:trPr>
          <w:trHeight w:val="190"/>
        </w:trPr>
        <w:tc>
          <w:tcPr>
            <w:tcW w:w="3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680"/>
              <w:spacing w:after="0"/>
              <w:rPr>
                <w:sz w:val="20"/>
                <w:szCs w:val="20"/>
                <w:color w:val="auto"/>
              </w:rPr>
            </w:pPr>
            <w:r>
              <w:rPr>
                <w:rFonts w:ascii="Arial" w:cs="Arial" w:eastAsia="Arial" w:hAnsi="Arial"/>
                <w:sz w:val="14"/>
                <w:szCs w:val="14"/>
                <w:b w:val="1"/>
                <w:bCs w:val="1"/>
                <w:color w:val="auto"/>
              </w:rPr>
              <w:t xml:space="preserve">(in millions of barrels per day) </w:t>
            </w:r>
            <w:r>
              <w:rPr>
                <w:rFonts w:ascii="Arial" w:cs="Arial" w:eastAsia="Arial" w:hAnsi="Arial"/>
                <w:sz w:val="8"/>
                <w:szCs w:val="8"/>
                <w:b w:val="1"/>
                <w:bCs w:val="1"/>
                <w:color w:val="auto"/>
              </w:rPr>
              <w:t>(2)</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3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1</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PADD 2</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0.19</w:t>
            </w:r>
          </w:p>
        </w:tc>
        <w:tc>
          <w:tcPr>
            <w:tcW w:w="1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0.02</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0.08</w:t>
            </w:r>
          </w:p>
        </w:tc>
      </w:tr>
      <w:tr>
        <w:trPr>
          <w:trHeight w:val="27"/>
        </w:trPr>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3</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0.52</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PADD 4</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5</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9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 U.S. Crude Oil Exports</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0.35</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0.46</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0.59</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1.04</w:t>
            </w:r>
          </w:p>
        </w:tc>
        <w:tc>
          <w:tcPr>
            <w:tcW w:w="140" w:type="dxa"/>
            <w:vAlign w:val="bottom"/>
            <w:tcBorders>
              <w:right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0.11</w:t>
            </w:r>
          </w:p>
        </w:tc>
        <w:tc>
          <w:tcPr>
            <w:tcW w:w="140" w:type="dxa"/>
            <w:vAlign w:val="bottom"/>
            <w:tcBorders>
              <w:right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0.13</w:t>
            </w:r>
          </w:p>
        </w:tc>
        <w:tc>
          <w:tcPr>
            <w:tcW w:w="12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Data reflects the first ten months of 2017.</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40" w:hanging="324"/>
        <w:spacing w:after="0" w:line="286" w:lineRule="auto"/>
        <w:tabs>
          <w:tab w:leader="none" w:pos="98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i w:val="1"/>
          <w:iCs w:val="1"/>
          <w:color w:val="auto"/>
        </w:rPr>
      </w:pPr>
    </w:p>
    <w:p>
      <w:pPr>
        <w:ind w:left="980" w:right="40" w:hanging="324"/>
        <w:spacing w:after="0" w:line="277"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i w:val="1"/>
          <w:iCs w:val="1"/>
          <w:color w:val="auto"/>
        </w:rPr>
      </w:pPr>
    </w:p>
    <w:p>
      <w:pPr>
        <w:ind w:left="980" w:right="100" w:hanging="324"/>
        <w:spacing w:after="0" w:line="286" w:lineRule="auto"/>
        <w:tabs>
          <w:tab w:leader="none" w:pos="98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i w:val="1"/>
          <w:iCs w:val="1"/>
          <w:color w:val="auto"/>
        </w:rPr>
      </w:pPr>
    </w:p>
    <w:p>
      <w:pPr>
        <w:ind w:left="980" w:hanging="324"/>
        <w:spacing w:after="0"/>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i w:val="1"/>
          <w:iCs w:val="1"/>
          <w:color w:val="auto"/>
        </w:rPr>
      </w:pPr>
    </w:p>
    <w:p>
      <w:pPr>
        <w:ind w:left="980" w:right="860" w:hanging="324"/>
        <w:spacing w:after="0" w:line="277"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125"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88%)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This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NGL products from refineries represent approximately 8%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4% of total supply). NGL (primarily propane and butane) is also exported from certain regions of the United States.</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production points and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 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4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growth of production in non-traditional producing regions has shifted regional basis relationships and created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3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While a low price environment may stunt production growth, we believe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pacing w:after="0" w:line="24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petro-chemical demand driven by the build-out or new builds of Ethylene Cracker capacity (ethane demand) and Propane Dehydrogenation facilities (propane demand);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export capacity for both ethane and propane;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weather related demand;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during high-demand periods and a warehouse for gas production in excess of daily demand during low-demand periods.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jc w:val="both"/>
        <w:ind w:right="360" w:firstLine="8"/>
        <w:spacing w:after="0" w:line="255"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supply disruptions from tropical weather and (iii) lower basis differentials in certain regions due to expansion and improved connectivity of natural gas transportation infrastructure.</w:t>
      </w:r>
    </w:p>
    <w:p>
      <w:pPr>
        <w:spacing w:after="0" w:line="15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 (ii) increased exports of natural gas to Mexico, (iii) construction of new gas-fired power plants, (iv) sustained fuel switching from coal to natural gas among existing power plants and (v) growth in base-level industrial demand.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three segments—Transportation, Facilities and Supply and Logistics. Accordingly, any references to “we,” “us,” “our,” and similar terms describing assets, business characteristics or other related matters are references to assets, business characteristics or other matters involving PAA’s assets and operations.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2017.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848985" cy="4570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entities that own the Advantage, BridgeTex, Caddo, Cheyenne, Diamond, Eagle Ford, Midway, Saddlehorn, STACK and White Cliffs pipeline systems, as well as Settoon Towing. We account for these investments under the equity method of accounting.</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2017,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18,700 miles of active crude oil and NGL pipelines and gathering systems;</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32 million barrels of active, above-ground tank capacity used primarily to facilitate pipeline throughput and help maintain product quality segregation;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810 trailers (primarily in Canada);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60 transport and storage barges and 30 transport tugs through our interest in Settoon Towing.</w:t>
      </w:r>
    </w:p>
    <w:p>
      <w:pPr>
        <w:spacing w:after="0" w:line="33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2017, grouped by geographic location:</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1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Ownership Percentage</w:t>
            </w:r>
          </w:p>
        </w:tc>
        <w:tc>
          <w:tcPr>
            <w:tcW w:w="2040" w:type="dxa"/>
            <w:vAlign w:val="bottom"/>
            <w:gridSpan w:val="2"/>
          </w:tcPr>
          <w:p>
            <w:pPr>
              <w:ind w:left="80"/>
              <w:spacing w:after="0"/>
              <w:rPr>
                <w:sz w:val="20"/>
                <w:szCs w:val="20"/>
                <w:color w:val="auto"/>
              </w:rPr>
            </w:pPr>
            <w:r>
              <w:rPr>
                <w:rFonts w:ascii="Arial" w:cs="Arial" w:eastAsia="Arial" w:hAnsi="Arial"/>
                <w:sz w:val="15"/>
                <w:szCs w:val="15"/>
                <w:b w:val="1"/>
                <w:bCs w:val="1"/>
                <w:color w:val="auto"/>
              </w:rPr>
              <w:t>Approximate System Miles</w:t>
            </w:r>
          </w:p>
        </w:tc>
        <w:tc>
          <w:tcPr>
            <w:tcW w:w="1920" w:type="dxa"/>
            <w:vAlign w:val="bottom"/>
          </w:tcPr>
          <w:p>
            <w:pPr>
              <w:jc w:val="center"/>
              <w:spacing w:after="0"/>
              <w:rPr>
                <w:sz w:val="20"/>
                <w:szCs w:val="20"/>
                <w:color w:val="auto"/>
              </w:rPr>
            </w:pPr>
            <w:r>
              <w:rPr>
                <w:rFonts w:ascii="Arial" w:cs="Arial" w:eastAsia="Arial" w:hAnsi="Arial"/>
                <w:sz w:val="15"/>
                <w:szCs w:val="15"/>
                <w:b w:val="1"/>
                <w:bCs w:val="1"/>
                <w:color w:val="auto"/>
                <w:w w:val="91"/>
              </w:rPr>
              <w:t>2017 Average Net</w:t>
            </w:r>
          </w:p>
        </w:tc>
        <w:tc>
          <w:tcPr>
            <w:tcW w:w="0" w:type="dxa"/>
            <w:vAlign w:val="bottom"/>
          </w:tcPr>
          <w:p>
            <w:pPr>
              <w:spacing w:after="0"/>
              <w:rPr>
                <w:sz w:val="1"/>
                <w:szCs w:val="1"/>
                <w:color w:val="auto"/>
              </w:rPr>
            </w:pPr>
          </w:p>
        </w:tc>
      </w:tr>
      <w:tr>
        <w:trPr>
          <w:trHeight w:val="203"/>
        </w:trPr>
        <w:tc>
          <w:tcPr>
            <w:tcW w:w="5460" w:type="dxa"/>
            <w:vAlign w:val="bottom"/>
            <w:gridSpan w:val="2"/>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920" w:type="dxa"/>
            <w:vAlign w:val="bottom"/>
          </w:tcPr>
          <w:p>
            <w:pPr>
              <w:jc w:val="right"/>
              <w:ind w:right="793"/>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6"/>
              </w:rPr>
              <w:t xml:space="preserve">Barrels per Day </w:t>
            </w:r>
            <w:r>
              <w:rPr>
                <w:rFonts w:ascii="Arial" w:cs="Arial" w:eastAsia="Arial" w:hAnsi="Arial"/>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58"/>
        </w:trPr>
        <w:tc>
          <w:tcPr>
            <w:tcW w:w="5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Pipelines:</w:t>
            </w: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Permian Basin:</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Gathering pipelines</w:t>
            </w:r>
          </w:p>
        </w:tc>
        <w:tc>
          <w:tcPr>
            <w:tcW w:w="1820" w:type="dxa"/>
            <w:vAlign w:val="bottom"/>
          </w:tcPr>
          <w:p>
            <w:pPr>
              <w:jc w:val="center"/>
              <w:ind w:left="27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Intra-basin pipelines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1"/>
              </w:rPr>
              <w:t>50% - 100%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70"/>
        </w:trPr>
        <w:tc>
          <w:tcPr>
            <w:tcW w:w="546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Export pipelines </w:t>
            </w:r>
            <w:r>
              <w:rPr>
                <w:rFonts w:ascii="Arial" w:cs="Arial" w:eastAsia="Arial" w:hAnsi="Arial"/>
                <w:sz w:val="25"/>
                <w:szCs w:val="25"/>
                <w:color w:val="auto"/>
                <w:vertAlign w:val="superscript"/>
              </w:rPr>
              <w:t>(3)</w:t>
            </w:r>
          </w:p>
        </w:tc>
        <w:tc>
          <w:tcPr>
            <w:tcW w:w="1820" w:type="dxa"/>
            <w:vAlign w:val="bottom"/>
            <w:tcBorders>
              <w:bottom w:val="single" w:sz="8" w:color="CCEEFF"/>
            </w:tcBorders>
          </w:tcPr>
          <w:p>
            <w:pPr>
              <w:jc w:val="center"/>
              <w:ind w:left="272"/>
              <w:spacing w:after="0"/>
              <w:rPr>
                <w:sz w:val="20"/>
                <w:szCs w:val="20"/>
                <w:color w:val="auto"/>
              </w:rPr>
            </w:pPr>
            <w:r>
              <w:rPr>
                <w:rFonts w:ascii="Arial" w:cs="Arial" w:eastAsia="Arial" w:hAnsi="Arial"/>
                <w:sz w:val="18"/>
                <w:szCs w:val="18"/>
                <w:color w:val="auto"/>
                <w:w w:val="91"/>
              </w:rPr>
              <w:t>50% - 100%</w:t>
            </w:r>
          </w:p>
        </w:tc>
        <w:tc>
          <w:tcPr>
            <w:tcW w:w="1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Texas/Eagle Ford</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50% - 100%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Central</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50% - 100%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Gulf Coast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1"/>
              </w:rPr>
              <w:t>54% - 100%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1"/>
              </w:rPr>
              <w:t>21% - 100%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3,980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Western</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Canada</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324"/>
        </w:trPr>
        <w:tc>
          <w:tcPr>
            <w:tcW w:w="5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Crude Oil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17,000</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4,915</w:t>
            </w:r>
          </w:p>
        </w:tc>
        <w:tc>
          <w:tcPr>
            <w:tcW w:w="0" w:type="dxa"/>
            <w:vAlign w:val="bottom"/>
          </w:tcPr>
          <w:p>
            <w:pPr>
              <w:spacing w:after="0"/>
              <w:rPr>
                <w:sz w:val="1"/>
                <w:szCs w:val="1"/>
                <w:color w:val="auto"/>
              </w:rPr>
            </w:pPr>
          </w:p>
        </w:tc>
      </w:tr>
      <w:tr>
        <w:trPr>
          <w:trHeight w:val="318"/>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Canadian NGL Pipelines</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21% - 100%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97"/>
        </w:trPr>
        <w:tc>
          <w:tcPr>
            <w:tcW w:w="5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Crude Oil and NGL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18,700</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5,085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total mileage from pipelines owned by unconsolidated entities.</w:t>
      </w:r>
    </w:p>
    <w:p>
      <w:pPr>
        <w:sectPr>
          <w:pgSz w:w="11900" w:h="16838" w:orient="portrait"/>
          <w:cols w:equalWidth="0" w:num="1">
            <w:col w:w="11400"/>
          </w:cols>
          <w:pgMar w:left="240" w:top="125" w:right="25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440" w:hanging="652"/>
        <w:spacing w:after="0" w:line="22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pipelines operated by a third party.</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significant portion of our pipeline assets are interconnected and are operated as a contiguous system. The following descriptions are organized by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portion of a pipeline system (i.e. two short-haul movements on a pipeline from point A to point B and another point B to point C would double the pipeline tariff volumes on a particular system versus a point A to point C movement). As a result, at times, our reported tariff barrel movements may exceed our total capacity.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18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are among the largest providers of crude oil midstream infrastructure and services in the Permian Basin located in west Texas and southeastern New Mexico. Our Permian Basin asset base represents an interconnected system that aggregates receipts from wellhead gathering lines and bulk truck injection locations into intra-basin trunk lines for transportation and delivery to a combination of owned and third-party mainline takeaway pipelines. Accordingly, our Permian Basin crude oil pipelines fall into one of three categories: Gathering, Intra-basin or Export.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Gathering Pipelines</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own and operate approximately 2,860 miles of gathering pipelines in the Permian Basin. Our gathering systems are in both the Midland Basin and the Delaware Basin and in aggregate represent approximately 2 million barrels per day of pipeline capacity. This gathering capacity includes pipeline capacity that delivers volumes to regional hubs and includes certain large diameter pipeline segments/systems. Approximately 75% of the capacity of our gathering systems is in the Delaware Basin. This total gathering capacity includes over 500,000 barrels per day of incremental capacity gained in 2017 through our acquisition of the Alpha Crude Connector (“ACC”) gathering system and the completion of various expansion projects.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Intra-basin Pipelines</w:t>
      </w:r>
    </w:p>
    <w:p>
      <w:pPr>
        <w:spacing w:after="0" w:line="1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operate an approximately 2 million barrel per day intra-basin Permian Basin pipeline system that connects gathering and truck injection volumes to our owned and operated as well as third-party mainline pipelines that transport crude oil to major market hubs. This interconnected pipeline system is designed to provide shippers flow assurance, flexibility and access to multiple markets.</w:t>
      </w:r>
    </w:p>
    <w:p>
      <w:pPr>
        <w:spacing w:after="0" w:line="181"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Two of our largest intra-basin pipelines are the Mesa and Sunrise Pipelines. The Mesa and Sunrise Pipelines extend from our Midland, Texas terminal to our Colorado City, Texas terminal where they have access to all of the Permian Basin takeaway pipelines that originate at Colorado City.</w:t>
      </w:r>
    </w:p>
    <w:p>
      <w:pPr>
        <w:spacing w:after="0" w:line="124" w:lineRule="exact"/>
        <w:rPr>
          <w:sz w:val="20"/>
          <w:szCs w:val="20"/>
          <w:color w:val="auto"/>
        </w:rPr>
      </w:pPr>
    </w:p>
    <w:p>
      <w:pPr>
        <w:ind w:left="980" w:right="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Texas to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refinery at Big Spring, Texas, and to connecting carriers at Colorado City, with capacity of up to 400,000 barrels per day (approximately 252,000 barrels per day attributable to our interest).</w:t>
      </w:r>
    </w:p>
    <w:p>
      <w:pPr>
        <w:spacing w:after="0" w:line="181" w:lineRule="exact"/>
        <w:rPr>
          <w:rFonts w:ascii="Arial" w:cs="Arial" w:eastAsia="Arial" w:hAnsi="Arial"/>
          <w:sz w:val="18"/>
          <w:szCs w:val="18"/>
          <w:color w:val="auto"/>
        </w:rPr>
      </w:pPr>
    </w:p>
    <w:p>
      <w:pPr>
        <w:ind w:left="980" w:right="160" w:hanging="324"/>
        <w:spacing w:after="0" w:line="27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Sunrise Pipeline. </w:t>
      </w:r>
      <w:r>
        <w:rPr>
          <w:rFonts w:ascii="Arial" w:cs="Arial" w:eastAsia="Arial" w:hAnsi="Arial"/>
          <w:sz w:val="17"/>
          <w:szCs w:val="17"/>
          <w:color w:val="auto"/>
        </w:rPr>
        <w:t>We own and operate the Sunrise Pipeline, which transports crude oil from Midland to connecting carriers at Colorado City,</w:t>
      </w:r>
      <w:r>
        <w:rPr>
          <w:rFonts w:ascii="Arial" w:cs="Arial" w:eastAsia="Arial" w:hAnsi="Arial"/>
          <w:sz w:val="17"/>
          <w:szCs w:val="17"/>
          <w:i w:val="1"/>
          <w:iCs w:val="1"/>
          <w:color w:val="auto"/>
        </w:rPr>
        <w:t xml:space="preserve"> </w:t>
      </w:r>
      <w:r>
        <w:rPr>
          <w:rFonts w:ascii="Arial" w:cs="Arial" w:eastAsia="Arial" w:hAnsi="Arial"/>
          <w:sz w:val="17"/>
          <w:szCs w:val="17"/>
          <w:color w:val="auto"/>
        </w:rPr>
        <w:t>with capacity of approximately 350,000 barrels per day. We have announced plans to loop the line from Midland to Colorado City (which will add an additional 550,000 barrels per day of capacity to Colorado City), and extend the line from Colorado City to Wichita Falls, Texas. In addition, in 2018 we sold 100,000 barrels per day of this new capacity from Midland to Wichita Falls to a refiner. These projects are underpinned by long-term shipper commitments and are expected to be placed into service in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Export Pipelines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own interests in three export Permian Basin pipeline systems that, on a combined basis, represent approximately 1 million barrels per day of takeaway capacity (net to our ownership interests) out of the Permian Basin.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Basin Pipeline (Permian to Cushing). </w:t>
      </w:r>
      <w:r>
        <w:rPr>
          <w:rFonts w:ascii="Arial" w:cs="Arial" w:eastAsia="Arial" w:hAnsi="Arial"/>
          <w:sz w:val="18"/>
          <w:szCs w:val="18"/>
          <w:color w:val="auto"/>
        </w:rPr>
        <w:t>We own an 87% undivided joint interest in and are the operator of Basin Pipeline. Basin Pipeline has two</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origination locations at Wink, Texas and Midland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86" w:lineRule="exact"/>
        <w:rPr>
          <w:rFonts w:ascii="Arial" w:cs="Arial" w:eastAsia="Arial" w:hAnsi="Arial"/>
          <w:sz w:val="18"/>
          <w:szCs w:val="18"/>
          <w:color w:val="auto"/>
        </w:rPr>
      </w:pPr>
    </w:p>
    <w:p>
      <w:pPr>
        <w:ind w:left="980" w:right="280" w:hanging="324"/>
        <w:spacing w:after="0" w:line="297"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BridgeTex Pipeline (Permian to Houston). </w:t>
      </w:r>
      <w:r>
        <w:rPr>
          <w:rFonts w:ascii="Arial" w:cs="Arial" w:eastAsia="Arial" w:hAnsi="Arial"/>
          <w:sz w:val="16"/>
          <w:szCs w:val="16"/>
          <w:color w:val="auto"/>
        </w:rPr>
        <w:t>We own a 50% interest in BridgeTex Pipeline Company, LLC, a joint venture with a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Magellan Midstream Partners, L.P. (“Magellan”). Such joint venture owns a crude oil pipeline (the “BridgeTex Pipeline”) that originates at Colorado City, receiving volumes from our Basin and Sunrise Pipelines, and extends to Houston, Texas. In 2017, the joint venture expanded BridgeTex Pipeline by 100,000 barrels per day to 400,000 barrels per day of total capacity and subsequently announced an open season for a potential additional 40,000 barrel per day expansion. The BridgeTex Pipeline is operated by Magellan.</w:t>
      </w:r>
    </w:p>
    <w:p>
      <w:pPr>
        <w:spacing w:after="0" w:line="158" w:lineRule="exact"/>
        <w:rPr>
          <w:rFonts w:ascii="Arial" w:cs="Arial" w:eastAsia="Arial" w:hAnsi="Arial"/>
          <w:sz w:val="16"/>
          <w:szCs w:val="16"/>
          <w:color w:val="auto"/>
        </w:rPr>
      </w:pPr>
    </w:p>
    <w:p>
      <w:pPr>
        <w:ind w:left="980" w:right="220" w:hanging="324"/>
        <w:spacing w:after="0" w:line="31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Cactus Pipeline (Permian to Corpus Christi). </w:t>
      </w:r>
      <w:r>
        <w:rPr>
          <w:rFonts w:ascii="Arial" w:cs="Arial" w:eastAsia="Arial" w:hAnsi="Arial"/>
          <w:sz w:val="16"/>
          <w:szCs w:val="16"/>
          <w:color w:val="auto"/>
        </w:rPr>
        <w:t>We own and operate the Cactus Pipeline, which originates at McCamey, Texas and extends to</w:t>
      </w:r>
      <w:r>
        <w:rPr>
          <w:rFonts w:ascii="Arial" w:cs="Arial" w:eastAsia="Arial" w:hAnsi="Arial"/>
          <w:sz w:val="16"/>
          <w:szCs w:val="16"/>
          <w:i w:val="1"/>
          <w:iCs w:val="1"/>
          <w:color w:val="auto"/>
        </w:rPr>
        <w:t xml:space="preserve"> </w:t>
      </w:r>
      <w:r>
        <w:rPr>
          <w:rFonts w:ascii="Arial" w:cs="Arial" w:eastAsia="Arial" w:hAnsi="Arial"/>
          <w:sz w:val="16"/>
          <w:szCs w:val="16"/>
          <w:color w:val="auto"/>
        </w:rPr>
        <w:t>Gardendale, Texas. Cactus Pipeline volumes are interconnected to the Corpus Christi market through a connection at Gardendale to our Eagle Ford joint venture pipeline system. In 2017, we expanded Cactus Pipeline to 390,000 barrels per day of total capacity.</w:t>
      </w:r>
    </w:p>
    <w:p>
      <w:pPr>
        <w:spacing w:after="0" w:line="146" w:lineRule="exact"/>
        <w:rPr>
          <w:rFonts w:ascii="Arial" w:cs="Arial" w:eastAsia="Arial" w:hAnsi="Arial"/>
          <w:sz w:val="16"/>
          <w:szCs w:val="16"/>
          <w:color w:val="auto"/>
        </w:rPr>
      </w:pPr>
    </w:p>
    <w:p>
      <w:pPr>
        <w:ind w:left="980" w:hanging="324"/>
        <w:spacing w:after="0" w:line="273"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Cactus II Pipeline (Permian to Corpus Christi). </w:t>
      </w:r>
      <w:r>
        <w:rPr>
          <w:rFonts w:ascii="Arial" w:cs="Arial" w:eastAsia="Arial" w:hAnsi="Arial"/>
          <w:sz w:val="17"/>
          <w:szCs w:val="17"/>
          <w:color w:val="auto"/>
        </w:rPr>
        <w:t>In January 2018, we announced that we had received sufficient binding commitments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open season launched mid-December, and would be proceeding with construction of a new Permian mainline system extending directly to the Corpus Christi market (the “Cactus II Pipeline”). Furthermore, in February 2018, we announced that Cactus II Pipeline is fully committed with long-term third-party contracts following the conclusion of a second binding open season. We expect that Cactus II Pipeline will be owned in a joint-venture structure, and that we will operate the pipeline and own a majority of the interest in the pipeline. Cactus II Pipeline will have initial capacity of 585,000 barrels per day and is expected to be placed into service in the second half of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own a 100% interest in and are the operator of gathering systems that feed into our Gardendale Station. Additionally, we own a 50% interest in Eagle Ford Pipeline LLC, a joint venture with a subsidiary of Enterprise Products Partners, L.P. (“Enterprise”). This joint venture owns a pipeline system, of which we serve as the operator, that has a total capacity of approximately 660,000 barrels per day and connects Permian and Eagle Ford area production to Corpus Christi refiners and terminals. Additionally, the joint venture system has connectivity to Houston via a connection with Enterprise’s pipeline at Lyssy, Texas.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6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own and operate gathering and mainline pipelines that source crude oil from Western and Central Oklahoma, Southwest Kansas and the Eastern Panhandle for transportation and delivery into our terminal facilities at Cushing, Oklahoma. In addition, we own and operate various pipeline systems that extend from our Cushing facility with interconnectivity to various demand locations, including the following systems:</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Diamond Pipeline (Cushing to Memphis). </w:t>
      </w:r>
      <w:r>
        <w:rPr>
          <w:rFonts w:ascii="Arial" w:cs="Arial" w:eastAsia="Arial" w:hAnsi="Arial"/>
          <w:sz w:val="17"/>
          <w:szCs w:val="17"/>
          <w:color w:val="auto"/>
        </w:rPr>
        <w:t>We own a 50% interest in Diamond Pipeline LLC, a joint venture with Valero Energy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(“Valero”). This joint venture owns, and we operate, the Diamond Pipeline, which was placed into service in late 2017 and which extends from our Cushing Terminal to Valero’s refinery in Memphis, Tennessee. The Diamond Pipeline is underpinned by a long-term minimum volume commitment and currently has a total capacity of 200,000 barrels per day, which is expandable by an additional 150,000 barrels per day as conditions warrant.</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The Red River Pipeline is an approximately 150,000 barrels per day capacity pipeline that extends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Cushing Terminal to Longview, Texas, where it connects with various pipelines, including the Caddo Pipeline. The Red River Pipeline is supported by long-term shipper commitments and was placed into service in December 2016. We serve as operator of the pipeline. In January 2017, we sold an undivided 40% interest in a segment of the Red River Pipeline to a subsidiary of Valero Energy Partners LP. The undivided interest conveyed represents 60,000 barrels per day on the segment of the pipeline extending from Cushing to Hewitt, Oklahoma near Valero’s refinery in Ardmore, Oklahoma (the “Hewitt Segment”). We retained an undivided 60% interest in the Hewitt Segment and a 100% interest in the remaining portion of the pipeline that extends from Ardmore to Longview.</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Caddo Pipeline</w:t>
      </w:r>
      <w:r>
        <w:rPr>
          <w:rFonts w:ascii="Arial" w:cs="Arial" w:eastAsia="Arial" w:hAnsi="Arial"/>
          <w:sz w:val="18"/>
          <w:szCs w:val="18"/>
          <w:color w:val="auto"/>
        </w:rPr>
        <w:t>. We own a 50% interest in Caddo Pipeline LLC, a joint venture with Delek Logistics Partners, LP (“Delek”). The joint venture owns,</w:t>
      </w:r>
      <w:r>
        <w:rPr>
          <w:rFonts w:ascii="Arial" w:cs="Arial" w:eastAsia="Arial" w:hAnsi="Arial"/>
          <w:sz w:val="18"/>
          <w:szCs w:val="18"/>
          <w:i w:val="1"/>
          <w:iCs w:val="1"/>
          <w:color w:val="auto"/>
        </w:rPr>
        <w:t xml:space="preserve"> </w:t>
      </w:r>
      <w:r>
        <w:rPr>
          <w:rFonts w:ascii="Arial" w:cs="Arial" w:eastAsia="Arial" w:hAnsi="Arial"/>
          <w:sz w:val="18"/>
          <w:szCs w:val="18"/>
          <w:color w:val="auto"/>
        </w:rPr>
        <w:t>and we operate, the Caddo Pipeline, which is an approximately 80,000 barrels per day capacity pipeline that originates in Longview at the terminus of the Red River Pipeline and serves refineries in Shreveport, Louisiana and El Dorado, Arkansas. The Caddo Pipeline was placed into service in December 2016 and is underpinned by shipper commitments.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STACK Pipeline</w:t>
      </w:r>
      <w:r>
        <w:rPr>
          <w:rFonts w:ascii="Arial" w:cs="Arial" w:eastAsia="Arial" w:hAnsi="Arial"/>
          <w:sz w:val="18"/>
          <w:szCs w:val="18"/>
          <w:color w:val="auto"/>
        </w:rPr>
        <w:t>. In 2017, we formed a 50/50 joint venture with Phillips 66 Partners, L.P., known as STACK Pipeline LLC. This joint venture owns</w:t>
      </w:r>
      <w:r>
        <w:rPr>
          <w:rFonts w:ascii="Arial" w:cs="Arial" w:eastAsia="Arial" w:hAnsi="Arial"/>
          <w:sz w:val="18"/>
          <w:szCs w:val="18"/>
          <w:i w:val="1"/>
          <w:iCs w:val="1"/>
          <w:color w:val="auto"/>
        </w:rPr>
        <w:t xml:space="preserve"> </w:t>
      </w:r>
      <w:r>
        <w:rPr>
          <w:rFonts w:ascii="Arial" w:cs="Arial" w:eastAsia="Arial" w:hAnsi="Arial"/>
          <w:sz w:val="18"/>
          <w:szCs w:val="18"/>
          <w:color w:val="auto"/>
        </w:rPr>
        <w:t>the STACK Pipeline, which serves producers in the STACK (Sooner Trend Anadarko Basin Canadian and Kingfisher Counties) resource play. We serve as operator of this joint-venture system and in 2017 expanded its capacity by 150,000 barrels per day to a total capacity of 250,000 barrels per day. The project is supported by producer commitments, which also warranted our extension of the system into the core areas of the STACK resource play. This extension was completed in late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own and/or operate pipelines in the Gulf Coast area with transportation and delivery into connecting carriers, terminal facilities and a refinery. This includes a 54% undivided joint interest in the Capline Pipeline system (“Capline”). Capline is an approximately 1.1 million barrel per day capacity mainline pipeline that is operated by Marathon Pipeline LLC and has historically facilitated a south-to-north movement from St. James, Louisiana to Patoka, Illinois. The Capline owners are assessing the commercial potential to reverse the pipeline direction within the next several years, potentially enabling it to transport Canadian crude oil to the U.S. Gulf Coast.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own and operate pipelines that provide gathering services in the Bakken and the Powder River Basin. We own a pipeline system that can move Bakken crude oil to the Enbridge mainline system at Regina, Saskatchewan. We own an undivided joint interest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40% interest in Saddlehorn Pipeline LLC (“SP LLC”), which owns 190,000 barrels per day of capacity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Saddlehorn Pipeline that extends from the Niobrara and DJ Basin to Cushing. Magellan serves as operator of the Saddlehorn Pipeline. Saddlehorn Pipeline was placed into service in 2016 and is supported by minimum volume commitments.</w:t>
      </w:r>
    </w:p>
    <w:p>
      <w:pPr>
        <w:spacing w:after="0" w:line="18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i w:val="1"/>
          <w:iCs w:val="1"/>
          <w:color w:val="auto"/>
        </w:rPr>
        <w:t xml:space="preserve">White Cliffs Pipeline. </w:t>
      </w:r>
      <w:r>
        <w:rPr>
          <w:rFonts w:ascii="Arial" w:cs="Arial" w:eastAsia="Arial" w:hAnsi="Arial"/>
          <w:sz w:val="17"/>
          <w:szCs w:val="17"/>
          <w:color w:val="auto"/>
        </w:rPr>
        <w:t>We own an approximate 36% interest in White Cliffs Pipeline LLC, which owns an approximately 215,000 barrel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pipeline that extends from the DJ Basin to Cushing. Rose Rock Midstream, L.P. serves as the operator of the pipeline.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and operate pipeline systems in our Western region including the following:</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i w:val="1"/>
          <w:iCs w:val="1"/>
          <w:color w:val="auto"/>
        </w:rPr>
        <w:t xml:space="preserve">Gathering. </w:t>
      </w:r>
      <w:r>
        <w:rPr>
          <w:rFonts w:ascii="Arial" w:cs="Arial" w:eastAsia="Arial" w:hAnsi="Arial"/>
          <w:sz w:val="17"/>
          <w:szCs w:val="17"/>
          <w:color w:val="auto"/>
        </w:rPr>
        <w:t>We own and operate gathering pipelines with aggregate capacity of over 150,000 barrels per day that source crude oil from the San</w:t>
      </w:r>
      <w:r>
        <w:rPr>
          <w:rFonts w:ascii="Arial" w:cs="Arial" w:eastAsia="Arial" w:hAnsi="Arial"/>
          <w:sz w:val="17"/>
          <w:szCs w:val="17"/>
          <w:i w:val="1"/>
          <w:iCs w:val="1"/>
          <w:color w:val="auto"/>
        </w:rPr>
        <w:t xml:space="preserve"> </w:t>
      </w:r>
      <w:r>
        <w:rPr>
          <w:rFonts w:ascii="Arial" w:cs="Arial" w:eastAsia="Arial" w:hAnsi="Arial"/>
          <w:sz w:val="17"/>
          <w:szCs w:val="17"/>
          <w:color w:val="auto"/>
        </w:rPr>
        <w:t>Joaquin Valley in California and connect to our Line 63 and Line 2000 pipelines, as well as other third-party pipelines and terminals.</w:t>
      </w:r>
    </w:p>
    <w:p>
      <w:pPr>
        <w:spacing w:after="0" w:line="14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Line 63 and Line 2000. </w:t>
      </w:r>
      <w:r>
        <w:rPr>
          <w:rFonts w:ascii="Arial" w:cs="Arial" w:eastAsia="Arial" w:hAnsi="Arial"/>
          <w:sz w:val="17"/>
          <w:szCs w:val="17"/>
          <w:color w:val="auto"/>
        </w:rPr>
        <w:t>We own and operate the Line 63 and Line 2000 pipelines, which have an approximately 60,000 barrels per day and 130,000</w:t>
      </w:r>
      <w:r>
        <w:rPr>
          <w:rFonts w:ascii="Arial" w:cs="Arial" w:eastAsia="Arial" w:hAnsi="Arial"/>
          <w:sz w:val="17"/>
          <w:szCs w:val="17"/>
          <w:i w:val="1"/>
          <w:iCs w:val="1"/>
          <w:color w:val="auto"/>
        </w:rPr>
        <w:t xml:space="preserve"> </w:t>
      </w:r>
      <w:r>
        <w:rPr>
          <w:rFonts w:ascii="Arial" w:cs="Arial" w:eastAsia="Arial" w:hAnsi="Arial"/>
          <w:sz w:val="17"/>
          <w:szCs w:val="17"/>
          <w:color w:val="auto"/>
        </w:rPr>
        <w:t>barrels per day of pipeline capacity, respectively, and transport crude oil from the San Joaquin Valley to refineries and terminal facilities in the Los Angeles Basin and in Bakersfield, California. Additionally, we have a distribution pipeline system in the Los Angeles Basin that connects our storage assets with all major refineries and third-party pipelines and marine terminals in the Los Angeles Basin.</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All American Pipeline. </w:t>
      </w:r>
      <w:r>
        <w:rPr>
          <w:rFonts w:ascii="Arial" w:cs="Arial" w:eastAsia="Arial" w:hAnsi="Arial"/>
          <w:sz w:val="18"/>
          <w:szCs w:val="18"/>
          <w:color w:val="auto"/>
        </w:rPr>
        <w:t>We own the All American Pipeline, which historically received crude oil from offshore oil producers at Las Flores,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and at Gaviota, California. The pipeline terminates at our Emidio Station. Between Gaviota and our Emidio Station, the All American Pipeline interconnects with our San Joaquin Valley Gathering System, Line 2000 and Line 63, as well as other third-party intrastate pipelines.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May 2015, we experienced a crude oil release on the segment of the All American Pipeline known as Line 901 that runs from Las Flores to Gaviota in Santa Barbara County, California. The segment of the pipeline upstream of our Pentland station has been shut down since this incident. We are currently evaluating a replacement of the pipeline, subject to receipt of shipper commitments and regulatory approvals. See Note 17 to our Consolidated Financial Statements for additional information regarding the Line 901 incident.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Rainbow Pipeline. </w:t>
      </w:r>
      <w:r>
        <w:rPr>
          <w:rFonts w:ascii="Arial" w:cs="Arial" w:eastAsia="Arial" w:hAnsi="Arial"/>
          <w:sz w:val="17"/>
          <w:szCs w:val="17"/>
          <w:color w:val="auto"/>
        </w:rPr>
        <w:t>We own and operate the Rainbow Pipeline, which is an approximately 185,000 barrel per day capacity pipeline that extends from</w:t>
      </w:r>
      <w:r>
        <w:rPr>
          <w:rFonts w:ascii="Arial" w:cs="Arial" w:eastAsia="Arial" w:hAnsi="Arial"/>
          <w:sz w:val="17"/>
          <w:szCs w:val="17"/>
          <w:i w:val="1"/>
          <w:iCs w:val="1"/>
          <w:color w:val="auto"/>
        </w:rPr>
        <w:t xml:space="preserve"> </w:t>
      </w:r>
      <w:r>
        <w:rPr>
          <w:rFonts w:ascii="Arial" w:cs="Arial" w:eastAsia="Arial" w:hAnsi="Arial"/>
          <w:sz w:val="17"/>
          <w:szCs w:val="17"/>
          <w:color w:val="auto"/>
        </w:rPr>
        <w:t>Zama, Alberta to Edmonton, Alberta. The pipeline transports both blended heavy and light crude oil and includes gathering and diluent pipelines.</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Rangeland Pipeline. </w:t>
      </w:r>
      <w:r>
        <w:rPr>
          <w:rFonts w:ascii="Arial" w:cs="Arial" w:eastAsia="Arial" w:hAnsi="Arial"/>
          <w:sz w:val="18"/>
          <w:szCs w:val="18"/>
          <w:color w:val="auto"/>
        </w:rPr>
        <w:t>We own and operate the Rangeland Pipeline system, which transports NGL mix, butane, condensate, light sweet crude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light sour crude oil either north to Edmonton or south to the U.S./Canadian border near Cutbank, Montana.</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South Saskatchewan Pipeline</w:t>
      </w:r>
      <w:r>
        <w:rPr>
          <w:rFonts w:ascii="Arial" w:cs="Arial" w:eastAsia="Arial" w:hAnsi="Arial"/>
          <w:sz w:val="18"/>
          <w:szCs w:val="18"/>
          <w:color w:val="auto"/>
        </w:rPr>
        <w:t>. We own and operate the South Saskatchewan system, which has approximately 65,000 barrels per day of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 heavy crude oil from gathering areas in southern Saskatchewan to the Enbridge mainline system at Regina.</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Manito Pipeline. </w:t>
      </w:r>
      <w:r>
        <w:rPr>
          <w:rFonts w:ascii="Arial" w:cs="Arial" w:eastAsia="Arial" w:hAnsi="Arial"/>
          <w:sz w:val="18"/>
          <w:szCs w:val="18"/>
          <w:color w:val="auto"/>
        </w:rPr>
        <w:t>We own and operate the Manito heavy oil system, which is connected to our Kerrobert Terminal, which in turn is connected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Enbridge mainline system. The Manito system includes blended crude oil lines with parallel diluent lines.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Canadian NGL Pipelines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Co-Ed NGL Pipeline. </w:t>
      </w:r>
      <w:r>
        <w:rPr>
          <w:rFonts w:ascii="Arial" w:cs="Arial" w:eastAsia="Arial" w:hAnsi="Arial"/>
          <w:sz w:val="18"/>
          <w:szCs w:val="18"/>
          <w:color w:val="auto"/>
        </w:rPr>
        <w:t>We own and operate the Co-Ed NGL pipeline, which has approximately 70,000 barrels per day of capacity to transport NGL</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gathers from approximately 27 field gas processing plants located in Alberta, including all of the NGL produced at the Cochrane Straddle Plant for delivery to our NGL facilities at Fort Saskatchewan.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PPTC Pipeline. </w:t>
      </w:r>
      <w:r>
        <w:rPr>
          <w:rFonts w:ascii="Arial" w:cs="Arial" w:eastAsia="Arial" w:hAnsi="Arial"/>
          <w:sz w:val="18"/>
          <w:szCs w:val="18"/>
          <w:color w:val="auto"/>
        </w:rPr>
        <w:t>We own and operate the Plains Petroleum Transmission Company Pipeline (the “PPTC Pipeline”), which has approximately 20,000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capacity to transport NGL from Empress, Alberta to the Fort Whyte Terminal in Winnipeg, Manitoba. The PPTC Pipeline also provides access to several truck terminals and rail loading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Revenues generated in this segment primarily include (i) fees that are generated from storage capacity agreements, (ii) terminal throughput fees that are generated when we receive liquids from one connecting source and deliver the applicable product to another connecting source, (iii) fees from NGL fractionation and isomerization services, (iv) fees from natural gas and condensate processing services, (v) fees associated with natural gas park and loan activities, interruptible storage services and wheeling and balancing services and (vi) loading and unloading fees at our rail terminals.</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2017, we owned, operated or employed a variety of long-term physical assets throughout the United States and Canada in this segment, including:</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77 million barrels of crude oil storage capacity primarily at our terminalling and storage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34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67 billion cubic feet (“Bcf”) of natural gas storage working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25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nine natural gas processing plants located throughout Canada and the Gulf Coast area of the United States;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211,000 barrels per day, and an isomerization and fractionation facility in California with an aggregate processing capacity of approximately 15,000 barrels per day;</w:t>
      </w:r>
    </w:p>
    <w:p>
      <w:pPr>
        <w:spacing w:after="0" w:line="73"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34 crude oil and NGL rail terminals located throughout the United States and Canada. See “Rail Facilities” below for an overview of various terminals and “Supply and Logistics” regarding our use of railcars;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1,000 miles of active pipelines that support our facilities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tabular presentation of our active Facilities segment storage and service assets in the United States and Canada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grouped by product and service type, with capacity and volume as indicated:</w:t>
      </w:r>
    </w:p>
    <w:p>
      <w:pPr>
        <w:sectPr>
          <w:pgSz w:w="11900" w:h="16838" w:orient="portrait"/>
          <w:cols w:equalWidth="0" w:num="1">
            <w:col w:w="11320"/>
          </w:cols>
          <w:pgMar w:left="240" w:top="125" w:right="339" w:bottom="1440" w:gutter="0" w:footer="0" w:header="0"/>
        </w:sect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Crude Oil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Cushing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LA Basin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Patoka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Mobile and Ten Mile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5"/>
          <w:szCs w:val="25"/>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NGL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Sarnia Area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Fort Saskatchewan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Empress Area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Bumstead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Salt Caverns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Total Gas</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(2)</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(3)</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United States Gulf Coast Area</w:t>
            </w: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Canada</w:t>
            </w:r>
          </w:p>
        </w:tc>
        <w:tc>
          <w:tcPr>
            <w:tcW w:w="1840" w:type="dxa"/>
            <w:vAlign w:val="bottom"/>
          </w:tcPr>
          <w:p>
            <w:pPr>
              <w:jc w:val="right"/>
              <w:spacing w:after="0"/>
              <w:rPr>
                <w:sz w:val="20"/>
                <w:szCs w:val="20"/>
                <w:color w:val="auto"/>
              </w:rPr>
            </w:pPr>
            <w:r>
              <w:rPr>
                <w:rFonts w:ascii="Arial" w:cs="Arial" w:eastAsia="Arial" w:hAnsi="Arial"/>
                <w:sz w:val="18"/>
                <w:szCs w:val="18"/>
                <w:color w:val="auto"/>
              </w:rPr>
              <w:t>50-100%</w:t>
            </w:r>
          </w:p>
        </w:tc>
        <w:tc>
          <w:tcPr>
            <w:tcW w:w="1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Condensate Stabilization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Gardendale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48895</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31750</wp:posOffset>
            </wp:positionV>
            <wp:extent cx="934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31750</wp:posOffset>
            </wp:positionV>
            <wp:extent cx="934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48895</wp:posOffset>
            </wp:positionV>
            <wp:extent cx="934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(Bcf)</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Gas</w:t>
      </w:r>
    </w:p>
    <w:p>
      <w:pPr>
        <w:ind w:left="60"/>
        <w:spacing w:after="0" w:line="226" w:lineRule="auto"/>
        <w:rPr>
          <w:sz w:val="20"/>
          <w:szCs w:val="20"/>
          <w:color w:val="auto"/>
        </w:rPr>
      </w:pPr>
      <w:r>
        <w:rPr>
          <w:rFonts w:ascii="Arial" w:cs="Arial" w:eastAsia="Arial" w:hAnsi="Arial"/>
          <w:sz w:val="14"/>
          <w:szCs w:val="14"/>
          <w:b w:val="1"/>
          <w:bCs w:val="1"/>
          <w:color w:val="auto"/>
        </w:rPr>
        <w:t>Processing</w:t>
      </w:r>
    </w:p>
    <w:p>
      <w:pPr>
        <w:ind w:left="100"/>
        <w:spacing w:after="0" w:line="222" w:lineRule="auto"/>
        <w:rPr>
          <w:sz w:val="20"/>
          <w:szCs w:val="20"/>
          <w:color w:val="auto"/>
        </w:rPr>
      </w:pPr>
      <w:r>
        <w:rPr>
          <w:rFonts w:ascii="Arial" w:cs="Arial" w:eastAsia="Arial" w:hAnsi="Arial"/>
          <w:sz w:val="14"/>
          <w:szCs w:val="14"/>
          <w:b w:val="1"/>
          <w:bCs w:val="1"/>
          <w:color w:val="auto"/>
        </w:rPr>
        <w:t>Capacity</w:t>
      </w:r>
    </w:p>
    <w:p>
      <w:pPr>
        <w:ind w:left="180"/>
        <w:spacing w:after="0"/>
        <w:rPr>
          <w:sz w:val="20"/>
          <w:szCs w:val="20"/>
          <w:color w:val="auto"/>
        </w:rPr>
      </w:pPr>
      <w:r>
        <w:rPr>
          <w:rFonts w:ascii="Arial" w:cs="Arial" w:eastAsia="Arial" w:hAnsi="Arial"/>
          <w:sz w:val="14"/>
          <w:szCs w:val="14"/>
          <w:b w:val="1"/>
          <w:bCs w:val="1"/>
          <w:color w:val="auto"/>
        </w:rPr>
        <w:t>(Bcf/d)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48895</wp:posOffset>
            </wp:positionV>
            <wp:extent cx="10033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120,000</w:t>
      </w:r>
    </w:p>
    <w:p>
      <w:pPr>
        <w:spacing w:after="0" w:line="200" w:lineRule="exact"/>
        <w:rPr>
          <w:sz w:val="20"/>
          <w:szCs w:val="20"/>
          <w:color w:val="auto"/>
        </w:rPr>
      </w:pPr>
    </w:p>
    <w:p>
      <w:pPr>
        <w:sectPr>
          <w:pgSz w:w="11900" w:h="16838" w:orient="portrait"/>
          <w:cols w:equalWidth="0" w:num="2">
            <w:col w:w="9740" w:space="500"/>
            <w:col w:w="1080"/>
          </w:cols>
          <w:pgMar w:left="240" w:top="125" w:right="339" w:bottom="1440" w:gutter="0" w:footer="0" w:header="0"/>
          <w:type w:val="continuous"/>
        </w:sect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20"/>
          </w:cols>
          <w:pgMar w:left="24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(3)</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Empress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Fort Saskatchewan</w:t>
            </w:r>
          </w:p>
        </w:tc>
        <w:tc>
          <w:tcPr>
            <w:tcW w:w="1840" w:type="dxa"/>
            <w:vAlign w:val="bottom"/>
          </w:tcPr>
          <w:p>
            <w:pPr>
              <w:jc w:val="right"/>
              <w:spacing w:after="0"/>
              <w:rPr>
                <w:sz w:val="20"/>
                <w:szCs w:val="20"/>
                <w:color w:val="auto"/>
              </w:rPr>
            </w:pPr>
            <w:r>
              <w:rPr>
                <w:rFonts w:ascii="Arial" w:cs="Arial" w:eastAsia="Arial" w:hAnsi="Arial"/>
                <w:sz w:val="18"/>
                <w:szCs w:val="18"/>
                <w:color w:val="auto"/>
              </w:rPr>
              <w:t>21-100%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35,100</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67,800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Sarnia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Shafter</w:t>
            </w: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125,800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226,100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Loading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Rail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Capacity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Crude Oil Rail Facilities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50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Ownership Interest</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Rack Spots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0" w:type="dxa"/>
            <w:vAlign w:val="bottom"/>
          </w:tcPr>
          <w:p>
            <w:pPr>
              <w:spacing w:after="0"/>
              <w:rPr>
                <w:sz w:val="1"/>
                <w:szCs w:val="1"/>
                <w:color w:val="auto"/>
              </w:rPr>
            </w:pPr>
          </w:p>
        </w:tc>
      </w:tr>
      <w:tr>
        <w:trPr>
          <w:trHeight w:val="270"/>
        </w:trPr>
        <w:tc>
          <w:tcPr>
            <w:tcW w:w="6180" w:type="dxa"/>
            <w:vAlign w:val="bottom"/>
            <w:tcBorders>
              <w:top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5"/>
                <w:szCs w:val="25"/>
                <w:color w:val="auto"/>
                <w:vertAlign w:val="superscript"/>
              </w:rPr>
              <w:t>(4)</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12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While natural gas processing volumes and capacity amounts are presented, they currently are not a significant driver of our segment results.</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Represents average volumes net to our share for the entire year.</w:t>
      </w:r>
    </w:p>
    <w:p>
      <w:pPr>
        <w:spacing w:after="0" w:line="98" w:lineRule="exact"/>
        <w:rPr>
          <w:rFonts w:ascii="Arial" w:cs="Arial" w:eastAsia="Arial" w:hAnsi="Arial"/>
          <w:sz w:val="25"/>
          <w:szCs w:val="25"/>
          <w:color w:val="auto"/>
          <w:vertAlign w:val="superscript"/>
        </w:rPr>
      </w:pPr>
    </w:p>
    <w:p>
      <w:pPr>
        <w:ind w:left="660" w:right="400" w:hanging="652"/>
        <w:spacing w:after="0" w:line="214"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Crude Oil Facilities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We are the largest provider of crude oil terminalling services in Cushing, Oklahoma, which is one of the largest physical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hubs in the United States and is the delivery point for crude oil futures contracts traded on the NYMEX. Our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multiple grades of foreign and domestic crude oil.</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Cushing Terminal is designed to serve the operational needs of refiners, with an emphasis on ensuring operational reliability and flexibility. Accordingly, we have access to all major inbound and outbound pipelines in Cushing and our facility is designed to handle multiple grades of crude oil while minimizing the interface and enabling deliveries to connecting carriers at their maximum rate. Since 1999, we have completed multiple expansions that have increased the capacity of our Cushing Terminal to over 25 million barrels, which includes approximately 2 million barrels of additional shell capacity that was completed in 2017. Additionally, our Cushing Terminal has 22 direct pipeline connections, both incoming and outgoing.</w:t>
      </w:r>
    </w:p>
    <w:p>
      <w:pPr>
        <w:spacing w:after="0" w:line="17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St. James Terminal. </w:t>
      </w:r>
      <w:r>
        <w:rPr>
          <w:rFonts w:ascii="Arial" w:cs="Arial" w:eastAsia="Arial" w:hAnsi="Arial"/>
          <w:sz w:val="16"/>
          <w:szCs w:val="16"/>
          <w:color w:val="auto"/>
        </w:rPr>
        <w:t>We have crude oil storage capacity at the St. James crude oil interchange in Louisiana, which is one of the three most liquid</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interchanges in the United States. Our 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deliver to, tankers and barges and is also connected to our rail unloading facility. See “Rail Facilities” below for further discussion.</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black oil storage facilities in the Los Angeles area with storage capacity in commercial service and a</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pipeline system of approximately 50 miles of pipeline in the Los Angeles Basin. We use the Los Angeles area storage and distribution system to service the storage and distribution needs of refining, pipeline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marine terminal facilities in the Los Angeles Basin. Our Los Angeles area system’s pipeline distribution assets connect our storage assets with major refineries and third-party pipelines and marine terminals in the Los Angeles Basin.</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Patoka Terminal. </w:t>
      </w:r>
      <w:r>
        <w:rPr>
          <w:rFonts w:ascii="Arial" w:cs="Arial" w:eastAsia="Arial" w:hAnsi="Arial"/>
          <w:sz w:val="18"/>
          <w:szCs w:val="18"/>
          <w:color w:val="auto"/>
        </w:rPr>
        <w:t>Our Patoka Terminal includes crude oil storage and an associated manifold and header system at the Patoka Interchange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Illinois. Our terminal has access to all major pipelines and terminals at the Patoka Interchange, a growing regional hub serving both northbound and southbound movements. In 2017, we added approximately 0.5 million barrels of storage capacity.</w:t>
      </w:r>
    </w:p>
    <w:p>
      <w:pPr>
        <w:spacing w:after="0" w:line="181"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i w:val="1"/>
          <w:iCs w:val="1"/>
          <w:color w:val="auto"/>
        </w:rPr>
        <w:t xml:space="preserve">Mobile and Ten Mile Terminal. </w:t>
      </w:r>
      <w:r>
        <w:rPr>
          <w:rFonts w:ascii="Arial" w:cs="Arial" w:eastAsia="Arial" w:hAnsi="Arial"/>
          <w:sz w:val="17"/>
          <w:szCs w:val="17"/>
          <w:color w:val="auto"/>
        </w:rPr>
        <w:t>We have a marine terminal in Mobile, Alabama (the “Mobile Terminal”) that has current useable capacity of</w:t>
      </w:r>
      <w:r>
        <w:rPr>
          <w:rFonts w:ascii="Arial" w:cs="Arial" w:eastAsia="Arial" w:hAnsi="Arial"/>
          <w:sz w:val="17"/>
          <w:szCs w:val="17"/>
          <w:i w:val="1"/>
          <w:iCs w:val="1"/>
          <w:color w:val="auto"/>
        </w:rPr>
        <w:t xml:space="preserve"> </w:t>
      </w:r>
      <w:r>
        <w:rPr>
          <w:rFonts w:ascii="Arial" w:cs="Arial" w:eastAsia="Arial" w:hAnsi="Arial"/>
          <w:sz w:val="17"/>
          <w:szCs w:val="17"/>
          <w:color w:val="auto"/>
        </w:rPr>
        <w:t>2 million barrels. Approximately 4 million barrels of additional storage capacity is available at our nearby Ten Mile Facility, which is connected to our Mobile Terminal. Of this capacity, approximately 2 million barrels supports our Facilities segment operations, with the remaining storage supporting our Transportation segment assets. The Mobile Terminal is equipped with a ship/tanker dock, barge dock, truck unloading facilities and various third-party connections for crude oil movements to area refiners. Our Ten Mile Facility is connected to our Pascagoula Pipeline.</w:t>
      </w:r>
    </w:p>
    <w:p>
      <w:pPr>
        <w:spacing w:after="0" w:line="173"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i w:val="1"/>
          <w:iCs w:val="1"/>
          <w:color w:val="auto"/>
        </w:rPr>
        <w:t xml:space="preserve">Corpus Christi (Eagle Ford) Terminal. </w:t>
      </w:r>
      <w:r>
        <w:rPr>
          <w:rFonts w:ascii="Arial" w:cs="Arial" w:eastAsia="Arial" w:hAnsi="Arial"/>
          <w:sz w:val="16"/>
          <w:szCs w:val="16"/>
          <w:color w:val="auto"/>
        </w:rPr>
        <w:t>We own a 50% interest in Eagle Ford Terminals Corpus Christi LLC, a joint venture with a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Eagle Ford Terminals is currently developing a terminal in Corpus Christi, Texas that, when completed, will be capable of loading ocean going vessels with either crude oil or condensate. Initial storage capacity of the terminal will be approximately 1 million barrels. The facility will have access to production from both the Eagle Ford and the Permian Basin through the Eagle Ford joint venture pipeline and is expected to be placed into service in 2018.</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Sarnia Area. </w:t>
      </w:r>
      <w:r>
        <w:rPr>
          <w:rFonts w:ascii="Arial" w:cs="Arial" w:eastAsia="Arial" w:hAnsi="Arial"/>
          <w:sz w:val="17"/>
          <w:szCs w:val="17"/>
          <w:color w:val="auto"/>
        </w:rPr>
        <w:t>Our Sarnia Area facilities in Southwestern Ontario have an aggregate useable storage capacity of 10 million barrels and consist of</w:t>
      </w:r>
    </w:p>
    <w:p>
      <w:pPr>
        <w:spacing w:after="0" w:line="35" w:lineRule="exact"/>
        <w:rPr>
          <w:sz w:val="20"/>
          <w:szCs w:val="20"/>
          <w:color w:val="auto"/>
        </w:rPr>
      </w:pPr>
    </w:p>
    <w:p>
      <w:pPr>
        <w:jc w:val="both"/>
        <w:ind w:right="320" w:firstLine="8"/>
        <w:spacing w:after="0" w:line="302"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Sarnia facility, (ii) our Windsor storage terminal and (iii) our St. Clair terminal. The Sarnia facility is a large NGL fractionation and storage facility located in the Sarnia Chemical Valley that contains multiple rail and truck loading locations and is served by a network of 14 pipelines providing product delivery capabilities to our Windsor and St. Clair terminal facilities, in addition to refineries, chemical plants and other pipeline systems in the area.</w:t>
      </w:r>
    </w:p>
    <w:p>
      <w:pPr>
        <w:spacing w:after="0" w:line="15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near Edmonton, Alberta in one of the key North American NGL hubs. The facility is a</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storage, fractionation and delivery facility for NGL and is connected to other major NGL plants and pipeline systems in the area. The facility’s primary assets include 25 storage caverns with an aggregate of approximately 10 million barrels in useable storage capacity. The facility includes assets operated by us and assets operated by a third party. Our ownership in the various facility assets ranges from approximately 21% to 100%. See the section entitled “—NGL Fractionation and Isomerization Facilities” below for additional discussion of this facility.</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2013, we began upgrading our Fort Saskatchewan storage capacity as part of a multi-phase expansion. The first phase of the expansion included the addition of 2.4 million barrels of new brine pond capacity and two new NGL storage caverns each with a capacity of 350,000 barrels in 2016. In addition, we converted approximately 3 million barrels of NGL mix storage to propane, butane and condensate storage in the first half of 2017. As part of the second phase of the project, in 2017 we added 2.7 million barrels of new brine pond capacity and two new ethane caverns totaling 1.6 million barrels of capacity which are supported by long-term commitments from third parties, and we will add an additional multi-purpose cavern in 2018 which will provide 600,000 barrels of storage.</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Empress Area. </w:t>
      </w:r>
      <w:r>
        <w:rPr>
          <w:rFonts w:ascii="Arial" w:cs="Arial" w:eastAsia="Arial" w:hAnsi="Arial"/>
          <w:sz w:val="18"/>
          <w:szCs w:val="18"/>
          <w:color w:val="auto"/>
        </w:rPr>
        <w:t>We own a network of seven NGL terminals (Fort Whyte, Moose Jaw, Rapid City, Stewart Valley, Dewdney, Empress and Richardson)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aggregate useable storage capacity of 4 million barrels. The facilities are complemented by various other NGL fractionation and extraction assets as described further below.</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Our Bumstead facility is located at a major rail transit point near Phoenix, Arizona. With 3 million barrels of useable capacity,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facility’s primary assets include salt-dome storage caverns, a rail track and truck racks.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own two U.S. Federal Energy Regulatory Commission (“FERC”) regulated natural gas storage facilities located in the Gulf Coast that are certificated for 120 Bcf of working gas capacity, and as of December 31, 2017, we had an aggregate working gas capacity of approximately 67 Bcf in service. Our facilities have aggregate certificated peak daily injection and withdrawal rates of 3.6 Bcf and 5.6 Bcf,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and the Perryville Hub (located in North Louisiana). Our facilities have 17 interconnects with third-party interstate pipelines and gas-fired power plants, serving markets in the Gulf Coast, Mid-Atlantic, Northeast, and Southeast regions of the United States.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We own and/or operate four straddle plants and two field gas processing plants located in Western Canada. Through our August 2016 acquisition of the Empress straddle plant, we added 2.4 Bcf per day of gross NGL processing capacity with the ability to extract ethane and NGL liquids from TransCanada main lines. Cumulatively, our straddle plants have an aggregate gross natural gas processing capacity of approximately 7 Bcf per day and a long-term liquids supply contract relating to a third-party owned straddle plant with gross processing capacity of approximately 2.5 Bcf per day. We also own and operate three natural gas processing plants located in Louisiana and Alabama with an aggregate natural gas processing capacity of approximately 0.3 Bcf per day.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Empress. </w:t>
      </w:r>
      <w:r>
        <w:rPr>
          <w:rFonts w:ascii="Arial" w:cs="Arial" w:eastAsia="Arial" w:hAnsi="Arial"/>
          <w:sz w:val="18"/>
          <w:szCs w:val="18"/>
          <w:color w:val="auto"/>
        </w:rPr>
        <w:t>We own the Empress fractionation facility, which is connected to and receives liquids from our Empress straddle plant and has a</w:t>
      </w:r>
      <w:r>
        <w:rPr>
          <w:rFonts w:ascii="Arial" w:cs="Arial" w:eastAsia="Arial" w:hAnsi="Arial"/>
          <w:sz w:val="18"/>
          <w:szCs w:val="18"/>
          <w:i w:val="1"/>
          <w:iCs w:val="1"/>
          <w:color w:val="auto"/>
        </w:rPr>
        <w:t xml:space="preserve"> </w:t>
      </w:r>
      <w:r>
        <w:rPr>
          <w:rFonts w:ascii="Arial" w:cs="Arial" w:eastAsia="Arial" w:hAnsi="Arial"/>
          <w:sz w:val="18"/>
          <w:szCs w:val="18"/>
          <w:color w:val="auto"/>
        </w:rPr>
        <w:t>fractionation capacity of approximately 28,000 barrels per day of propane, butane and condensate. The facility is capable of producing spec NGL products and connects to our PPTC Pipeline network.</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Fort Saskatchewan. </w:t>
      </w:r>
      <w:r>
        <w:rPr>
          <w:rFonts w:ascii="Arial" w:cs="Arial" w:eastAsia="Arial" w:hAnsi="Arial"/>
          <w:sz w:val="16"/>
          <w:szCs w:val="16"/>
          <w:color w:val="auto"/>
        </w:rPr>
        <w:t>Our recently expanded Fort Saskatchewan fractionation facility has a design capacity of 85,000 barrels per day and produces</w:t>
      </w:r>
      <w:r>
        <w:rPr>
          <w:rFonts w:ascii="Arial" w:cs="Arial" w:eastAsia="Arial" w:hAnsi="Arial"/>
          <w:sz w:val="16"/>
          <w:szCs w:val="16"/>
          <w:i w:val="1"/>
          <w:iCs w:val="1"/>
          <w:color w:val="auto"/>
        </w:rPr>
        <w:t xml:space="preserve"> </w:t>
      </w:r>
      <w:r>
        <w:rPr>
          <w:rFonts w:ascii="Arial" w:cs="Arial" w:eastAsia="Arial" w:hAnsi="Arial"/>
          <w:sz w:val="16"/>
          <w:szCs w:val="16"/>
          <w:color w:val="auto"/>
        </w:rPr>
        <w:t>spec propane, butane, condensate and a C3/C4 mix, which is sent to our Sarnia facility for further fractionation. We are in the process of adding a merox sweetening unit that will increase our ability to handle a variety of feed streams providing more flexibility and flow assurance. This final stage of the expansion is expected to be completed in the first half of 2018 and is supported by long-term commitments from third parties. Through our 21% ownership in the Keyera Fort Saskatchewan fractionation plant, we have additional fractionation capacity, net to our share, of approximately 17,000 barrels per day.</w:t>
      </w:r>
    </w:p>
    <w:p>
      <w:pPr>
        <w:spacing w:after="0" w:line="15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has a net useable capacity of 90,000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The facility has a total processing capacity of 120,000 barrels per day and useable storage capacity of 160,000 barrels. Throughput at the Gardendale processing facility is supplied by long-term commitments from producers.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own crude oil and condensate rail loading facilities with a combined loading capacity of approximately 380,000 barrels per day. These facilities are located at or near Carr, Colorado; Tampa, Colorado; Gardendale, Texas; McCamey, Texas; Manitou, North Dakota; Van Hook, North Dakota; and Kerrobert, Saskatchewan.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own three crude oil rail unloading facilities that have a combined unloading capacity of approximately 350,000 barrels per day. Our St. James, Louisiana facility receives unit trains and has a capacity of 140,000 barrels per day. Our Yorktown, Virginia rail facility can receive unit trains and has an unload capacity of approximately 140,000 barrels per day. Our Bakersfield, California rail facility receives unit trains and has permitted capacity to unload 70,000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own 26 operational NGL rail facilities (including our Fort Saskatchewan rail facility, as well as facilities that can provide both crude oil and NGL service) strategically located near NGL storage, pipelines, gas production or propane distribution centers throughout the United States and Canada. Our NGL rail facilities currently have 335 railcar rack spots and 1,515 railcar storage spots, and we have the ability to switch our own railcars at ten of these terminals.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purchase of U.S. and Canadian crude oil at the wellhead, and the bulk purchase of crude oil at pipeline, terminal and rail facilities;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resale or exchange of crude oil and NGL at various points along the distribution chain to refiners, exporters or other resellers; and</w:t>
      </w:r>
    </w:p>
    <w:p>
      <w:pPr>
        <w:spacing w:after="0" w:line="128" w:lineRule="exact"/>
        <w:rPr>
          <w:rFonts w:ascii="Arial" w:cs="Arial" w:eastAsia="Arial" w:hAnsi="Arial"/>
          <w:sz w:val="17"/>
          <w:szCs w:val="17"/>
          <w:color w:val="auto"/>
        </w:rPr>
      </w:pPr>
    </w:p>
    <w:p>
      <w:pPr>
        <w:ind w:left="980" w:right="2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vessels from various delivery points, market hub locations or directly to end users such as refineries, processors and fractionation facilities.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purchase and resale of crude oil and NGL results in us generating a margin, which is reduced by the transportation, facilities and other logistical costs associated with delivering the crude oil or NGL to market as well as related operating and general and administrative expenses. A portion of our results is impacted by overall market structure and the degree of market volatility, as well as variable operating expenses. Our activities are designed to limit downside exposure, while generating upside potential associated with opportunities inherent in volatile market conditions (including opportunities to benefit from fluctuating differentials and market structure). The opportunity to realize upside potential through our Supply and Logistics operations has been materially reduced in recent years due to high levels of competition. See “—Impact of Commodity Price Volatility and Dynamic Market Conditions on Our Business Model” below for further discussion.</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2017, our Supply and Logistics segment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14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 million barrels of crude oil and NGL linefill in pipelines owned by third parties and other long-term inventory;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730 trucks and 900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10,100 crude oil and NGL railcars.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right"/>
              <w:ind w:right="457"/>
              <w:spacing w:after="0"/>
              <w:rPr>
                <w:sz w:val="20"/>
                <w:szCs w:val="20"/>
                <w:color w:val="auto"/>
              </w:rPr>
            </w:pPr>
            <w:r>
              <w:rPr>
                <w:rFonts w:ascii="Arial" w:cs="Arial" w:eastAsia="Arial" w:hAnsi="Arial"/>
                <w:sz w:val="14"/>
                <w:szCs w:val="14"/>
                <w:b w:val="1"/>
                <w:bCs w:val="1"/>
                <w:color w:val="auto"/>
              </w:rPr>
              <w:t>Volumes</w:t>
            </w:r>
          </w:p>
        </w:tc>
      </w:t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(MBbls/d)</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NGL sales</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274</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 volumes</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1,219</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that we have established long-term, broad-based relationships with the crude oil and NGL producers in our areas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crude oil contracts generally range in term from thirty-day evergreen to five years, with the majority ranging from thirty days to one year and a limited number of contracts with remaining terms extending up to ten years. We utilize our truck fleet, railcars and pipelines as well as leased railcars, third-party pipelines, trucks and barges to transport crude oil to market. From time to time, we enter into various types of purchase and exchange transactions including fixed-price purchase contracts, collars, financial swaps and crude oil and NGL-related futures contracts as hedging devices.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In addition to purchasing crude oil from producers, we purchase both domestic and foreign crude oil in bulk at major hub locations, rail and dock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Crude Oil and NGL Sales. </w:t>
      </w:r>
      <w:r>
        <w:rPr>
          <w:rFonts w:ascii="Arial" w:cs="Arial" w:eastAsia="Arial" w:hAnsi="Arial"/>
          <w:sz w:val="18"/>
          <w:szCs w:val="18"/>
          <w:color w:val="auto"/>
        </w:rPr>
        <w:t>The activities involved in the supply, logistics and distribution of crude oil and NGL are complex and require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typically put in place to ensure any significant cost escalations are accounted for, which may include provisions for annual price negotiations designed to ensure both the buyer and seller remain at market-based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fixed-price delivery contracts, collars, financial swaps and crude oil and NGL-related futures contracts as hedging devices.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Crude Oil and NGL Exchanges. </w:t>
      </w:r>
      <w:r>
        <w:rPr>
          <w:rFonts w:ascii="Arial" w:cs="Arial" w:eastAsia="Arial" w:hAnsi="Arial"/>
          <w:sz w:val="17"/>
          <w:szCs w:val="17"/>
          <w:color w:val="auto"/>
        </w:rPr>
        <w:t>We pursue exchange opportunities to enhance margins throughout the gathering and marketing process. When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we enter into exchanges based on the grade of crude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and NGL for resale and require significant extensions of credit by our suppliers.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We manage our exposure to credit risk through credit analysis, credit approvals, credit limits, prepayment, letters of credit and monitoring procedures.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8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Certain activities in our Supply and Logistics segment are affected by seasonal aspects, primarily with respect to NGL supply and logistics activities, which are sensitive to weather-related demand, particularly during the approximate five-month peak heating season of November through March.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2017, WTI crude oil prices traded within a range of approximately $43 to $60 per barrel. There has also been volatility within the propane and butane markets as seen through the North American benchmark price located at Mont Belvieu, Texas. Specifically, over the last ten years, propane prices have ranged from a low of approximately 40% of the WTI benchmark price for crude oil in 2015 to a high of approximately 65% of the WTI benchmark price for crude oil in 2011. During 2017, propane averaged 63% of WTI and on a daily basis traded within a range of 48% to 80% of WTI. During the same ten-year period, butane has seen a price range from a low of approximately 51% of the WTI benchmark price for crude oil in 2015 to a high of approximately 79% of the WTI benchmark price for crude oil in 2011. During 2017, butane averaged 72% of WTI and on a daily basis traded within a range of 51% to 111% of WTI.</w:t>
      </w:r>
    </w:p>
    <w:p>
      <w:pPr>
        <w:spacing w:after="0" w:line="19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(absent material outperformance in our Supply and Logistics business) our fee-based Transportation and Facilities segments should comprise approximately 90% or greater of our aggregate segment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Results from our supply and logistics activities depend on our ability to sell crude oil and NGL at prices in excess of our aggregate cost. Although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cash flow is not materially adversely affected by the absolute level of energy prices, shifts between demand-driven markets and supply-driven markets or other similar dynamics. Beginning in the second half of 2014 to present, however, the market has experienced impacts from aggressive competition and overbuilt infrastructure in certain regions, which has caused supply and demand imbalances and price volatility. In some of the areas where we operate, there has been significantly increased competition for marginal or incremental volumes from shippers on third-party pipelines who have committed to ship more production than they have and are purchasing barrels in the market for shipment on the applicable third-party pipeline to satisfy their transportation commitments, often doing so at a loss because the loss on sale of the purchased crude oil will be less than the amount of the take-or-pay obligation on the pipeline. This type of activity has put downward pressure on margins across our three business segments. During such transitional markets, our Supply and Logistics segment may not be able to fully recover its costs on certain transactions.</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While recent market conditions have been challenging, we believe the complementary, integrated nature of our business activities and diversification of our asset base among varying regions and demand-driven and supply-driven markets provides flexibility for our customers and plays a valuable role in driving the growth of our fee-based Transportation and Facilities segments. Additionally, this approach is also intended to provide opportunities to realize incremental margin during volatile market conditions. While these opportunities have been reduced in recent years, the possibility for upside potential remains.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executing our business model, we employ a variety of financial risk management tools and techniques, predominantly in our Supply and Logistics segment. These are discussed in greater detail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 level risks inherent in our core businesses,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19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19%, 18% and 17% of our revenues for the years ended December 31, 2017, 2016 and 2015, respectively. ExxonMobil Corporation and its subsidiaries accounted for 11%, 14% and 13% of our revenues for the years ended December 31, 2017, 2016 and 2015, respectively. Phillips 66 Company and its subsidiaries accounted for 11% of our revenues for each of the years ended December 31, 2017 and 2016. No other customers accounted for 10% or more of our revenues during any of the three years ended December 31, 2017.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14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the current environment, competition for marginal or incremental volumes has been exacerbated in some areas by shippers on third-party pipelines who have committed to ship more production than they own or have secured under contract and are purchasing barrels in the market and shipping them on the applicable third-party pipeline in satisfaction of their transportation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sustainable demand levels.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storage facilities connected to their systems that compete with some of our facilities.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PAA’s Business— PAA’s operations are also subject to laws and regulations relating to protection of the environment and wildlife, operational safety, climate change and related matters that may expose it to significant costs and liabilities.”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$137 million in 2017, $89 million in 2016 and $107 million in 2015. Based on currently available information, our preliminary estimate for 2018 is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will incur approximately $63 million in capital expenditures and approximately $24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$39 million in 2017, $48 million in 2016 and $33 million in 2015, and our preliminary estimate for 2018 is that we will incur approximately $41 million of such costs.</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PHMSA was reauthorized and the HLPSA was amended in 2011 and 2016. The regulatory changes precipitated by these actions have increased our cost to operate. We anticipate that future rulemaking will have the potential to contribute to a higher cost to operate. For example, PHMSA is expected to finalize new rules in 2018 that will impose new reporting and integrity management requirements on hazardous liquids pipelines.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October 2015, the Governor of California signed the Oil Spill Response: Environmentally and Ecologically Sensitive Areas Bill (“AB-864”) which requires automatic shut offs for pipelines located in environmentally sensitive areas. Efforts to draft and implement regulations to adopt the provisions of AB-864 continue and are expected to be finalized in the first half of 2018. We anticipate that the regulations promulgated in response to AB-864 will have a material impact on our pipeline operations in California.</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DOT has generally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$37 million, $29 million and $33 million in 2017, 2016 and 2015, respectively. For 2018, we have budgeted approximately $56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Canada, the NEB and provincial agencies regulate the safety and integrity management of pipelines and storage tanks used for hydrocarbon transmission. We have incurred and will continue to incur costs related to such regulatory requirements.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Pipeline Safety Act, SC 2015, c. 21 (the “Pipeline Safety Act” or the “Act”) became effective in June 2016, amending the National Energy Board Act and the Canada Oil and Gas Operations Act in order to strengthen the safety and security of pipelines regulated under those acts. It reinforces the “polluter pays” principle, such that operators of pipelines are liable for costs and damages for all unintended or uncontrolled releases of oil, gas, or other substances. The Act introduces absolute liability for costs and damages up to $1 billion from an uncontrolled release of oil, gas or other commodity from a major pipeline (i.e. those with capacity over 250,000 barrels per day). Additionally, operators will be required to maintain the financial resources necessary to meet the applicable absolute liability obligations imposed under the Act. The total transportation capacity of our pipelines regulated by the NEB exceeds 250,000 barrels per day, so information about financial resources we have available to respond to a pipeline release was filed with the NEB. Finally, the NEB imposes requirements with respect to abandoned pipelines, including an obligation to maintain adequate funds to pay for abandonment costs.</w:t>
      </w:r>
    </w:p>
    <w:p>
      <w:pPr>
        <w:spacing w:after="0" w:line="16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addition to required activities, our Canadian integrity management program includes several voluntary, multi-year initiatives designed to prevent incidents. Costs incurred for all integrity management activities were approximately $57 million, $56 million and $66 million in 2017, 2016 and 2015, respectively, and our preliminary estimate for 2018 is that we will incur approximately $72 million of such costs.</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898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 under RCRA may be revisited and our wastes subject to more rigorous and costly disposal requirements, resulting in additional capital expenditures or operating expenses. For example, pursuant to a settlement agreement with environmental organizations, the EPA must determine by 2019 whether currently exempt oil and gas wastes should be regulated under RCRA’s hazardous waste provisions.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8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are subject to the Environmental Protection Agency’s (“EPA”)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However, the EPA has since published a rule delaying implementation of the RMP revisions until February 2019 while the agency considers whether to amend or repeal the rule. OSHA has announced that it is considering similar revisions to the PSM rule, but, to date, has not issued a Notice of Proposed Rulemaking. The potential for revisions to either the RMP or PSM rule is uncertain at this time.</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own or lease, and in the past have owned or leased, properties where hazardous liquids, including hydrocarbons, are or have been handled. These properties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United States operations are subject to the United States Clean Air Act (“Clean Air Act”), comparable state laws and associated state and federal regulations. In October 2015, the EPA promulgated a revised national ambient air standard for ozone. The revised standard may make air permits for sources of volatile organic compounds (such as crude oil tank farms) more difficult to obtain in some areas. In addition, in June 2016, the EPA finalized rules regarding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control requirements. Our Canadian operations are also subject to federal and provincial air emission regulations.</w:t>
      </w:r>
    </w:p>
    <w:p>
      <w:pPr>
        <w:spacing w:after="0" w:line="1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EPA has adopted rules for the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EPA finalized regulations affecting new, modified and reconstructed sources of air emissions in the oil and natural gas sector that require significant reductions in fugitive methane emissions from certain upstream and midstream oil and gas facilities. These new rules also require operators to implement fugitive emission leak detection and repair requirements for compressor stations. However, over the past year the EPA has taken several steps to delay implementation of its methane rules, and the agency proposed a rulemaking in June 2017 to stay the requirements for a period of two years and revisit implementation of the methane rules in their entirety. The EPA has not yet published a final rule but, as a result of these developments, future implementation of the 2016 rules is uncertain at this time. However, several states have either proposed or finalized similar regulations related to the reduction of methane emissions from the oil and natural gas sector.</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Star Gas Liquids facility in Shafter, California because it is a significant combustion source. As a result, compliance instruments for GHG emissions have been purchased since 2013.</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The compliance requirements of the GHG cap-and-trade program through 2020 are being phased in.</w:t>
      </w:r>
    </w:p>
    <w:p>
      <w:pPr>
        <w:spacing w:after="0" w:line="18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Executive Order B-30-15 was signed by California’s Governor in mid-year 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w:t>
      </w:r>
    </w:p>
    <w:p>
      <w:pPr>
        <w:spacing w:after="0" w:line="14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While it is not possible at this time to predict how federal or state governments may choose to regulate GHG emissions, any new regulatory restrictions on GHG emissions could result in material increased compliance costs, additional operating restrictions and an increase in the cost of feedstock and products produced by our refinery customers.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6"/>
          <w:szCs w:val="16"/>
          <w:color w:val="auto"/>
        </w:rPr>
        <w:t>In December 2015, the Paris Agreement was signed at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and Canada are currently signatories to the Agreement; however, in June 2017, President Trump stated that the United States would withdraw from the Paris Agreement, but may enter into a future international agreement related to GHGs. In August 2017, the U.S. State Department officially informed the United Nations of the intent of the United States to withdraw from the Paris Agreement. The United States’ adherence to the exit process is uncertain and/or the terms on which the United States may reenter the Paris Agreement or a separately negotiated agreement are unclear at this time. This Agreement is likely to become a significant driver for future potential GHG reduction programs in participating countries. Notwithstanding potential risks related to climate change, the International Energy Agency estimates that global energy demand will continue to rise and will not peak until after 2040 and that oil and gas will continue to represent a substantial percentage of global energy use over that time.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18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 xml:space="preserve">Federal Regulations. </w:t>
      </w:r>
      <w:r>
        <w:rPr>
          <w:rFonts w:ascii="Arial" w:cs="Arial" w:eastAsia="Arial" w:hAnsi="Arial"/>
          <w:sz w:val="16"/>
          <w:szCs w:val="16"/>
          <w:color w:val="auto"/>
        </w:rPr>
        <w:t>Along with 194 other countries, Canada is a signatory to the UNFCCC “Durban Platform” committing it to develop a legally</w:t>
      </w:r>
      <w:r>
        <w:rPr>
          <w:rFonts w:ascii="Arial" w:cs="Arial" w:eastAsia="Arial" w:hAnsi="Arial"/>
          <w:sz w:val="16"/>
          <w:szCs w:val="16"/>
          <w:i w:val="1"/>
          <w:iCs w:val="1"/>
          <w:color w:val="auto"/>
        </w:rPr>
        <w:t xml:space="preserve"> </w:t>
      </w:r>
      <w:r>
        <w:rPr>
          <w:rFonts w:ascii="Arial" w:cs="Arial" w:eastAsia="Arial" w:hAnsi="Arial"/>
          <w:sz w:val="16"/>
          <w:szCs w:val="16"/>
          <w:color w:val="auto"/>
        </w:rPr>
        <w:t>binding agreement to reduce GHG emissions by 2020. Since 2004, large emitters of GHG were required to report their emissions under the Canadian Greenhouse Gas Emissions Reporting Program. Three PMC facilities meet the current 50 thousand tonnes per year (“kt/y”) reporting threshold.</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Effective January 1, 2018, the federal Department of Environment and Climate Change lowered the reporting threshold for all facilities from 50 kt/y to 10 kt/y. This may result in up to four additional PMC facilities (for a total of seven) being required to prepare annual reports of their emissions; however, the associated costs with this requirement would not be material.</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October 2016, the Government of Canada implemented a pan-Canadian approach to pricing carbon pollution requiring all Canadian provinces and territories to have carbon pricing in place by 2018. The provinces and territories will have flexibility in deciding how they implement carbon pricing either by placing a direct price on carbon pollution or adopting a cap-and-trade system. The price on carbon pollution will start at $10/tonne in 2018 and rise by $10 a year to reach $50/tonne in 2022.</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More recently, in May 2017, the federal Department of Environment and Climate Change proposed regulations designed to reduce methane emissions by up to 45% by 2025 (from 2012 levels) from oil and natural gas facilities. The scope and requirements of the proposed rule are similar to the EPA methane rules described above.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Provincial Regulations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Ontario</w:t>
      </w:r>
      <w:r>
        <w:rPr>
          <w:rFonts w:ascii="Arial" w:cs="Arial" w:eastAsia="Arial" w:hAnsi="Arial"/>
          <w:sz w:val="18"/>
          <w:szCs w:val="18"/>
          <w:color w:val="auto"/>
        </w:rPr>
        <w:t>. In February 2015, the Ontario Ministry of Environment and Climate Change issued a discussion paper that identified carbon pricing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action necessary to reduce emissions of greenhouse gases. In April 2015, the Ontario government announced it would be implementing a GHG cap and trade program, which would be implemented through the Western Climate Initiative (WCI), which includes Quebec and California. Mandatory participants for the program were responsible for their emissions starting on January 1, 2017. PMC’s facility at Sarnia is considered to be a mandatory participant in the program (threshold &gt;25,000 tonnes GHG emissions). At this time, we do not believe that participation in Ontario’s cap and trade program will have a material adverse effect on our operations.</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Alberta. </w:t>
      </w:r>
      <w:r>
        <w:rPr>
          <w:rFonts w:ascii="Arial" w:cs="Arial" w:eastAsia="Arial" w:hAnsi="Arial"/>
          <w:sz w:val="17"/>
          <w:szCs w:val="17"/>
          <w:color w:val="auto"/>
        </w:rPr>
        <w:t>The Alberta Climate Change and Emissions Management Act provides a framework for managing GHG emissions by reducing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gas emissions to 50% of 1990 levels by December 31, 2020. The Specified Gas Emitters Regulation (“SGER”) imposed GHG emissions limits on large emitters and required reductions in GHG emissions intensity. PMC has two facilities (Fort Saskatchewan Storage and Fractionation Facility and Empress VI) which do not meet the reduction obligations. As such, PMC has been required to submit compliance payments to the Climate Change Emissions Management Fund. In January 2018, the SGER has been replaced with the Carbon Competitive Incentive Regulation (CCIR) for compliance years 2018 onwards. Although various elements of the SGER are carried through into the CCIR, the CCIR has fundamental differences both in the way a facility’s regulated emissions are calculated as well as how the emission intensity reduction is measured. Compliance options under the CCIR are similar to those under the previous SGER and significant penalties may apply for non-compliance.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for over 35 years, the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May 2015, the EPA published a final rule that attempted to clarify federal jurisdiction under the CWA over waters of the United States. This clarification greatly expanded the definition of “waters of the United States” thus increasing the jurisdiction of the Corps. A number of legal challenges to this rule are pending. Additionally, following the issuance of a presidential executive order to review the rule, the EPA and the Corps proposed a rulemaking in June 2017 to repeal the May 2015 rule. The EPA and Corps also announced their intent to issue a new rule defining the CWA’s jurisdiction and recently finalized a stay delaying implementation of the rule for two years. Several states and environmental organizations have already announced their intent to challenge the stay and any attempt by the EPA and the Corps to rescind or revise the rule. As a result, future implementation of the May 2015 rule is uncertain at this time. To the extent any final rule on the scope of the CWA rule expands the scope of the CWA’s jurisdiction, we could face increased costs and delays with respect to obtaining permits for dredge and fill activities in wetland areas.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State Regulation in the United States. </w:t>
      </w:r>
      <w:r>
        <w:rPr>
          <w:rFonts w:ascii="Arial" w:cs="Arial" w:eastAsia="Arial" w:hAnsi="Arial"/>
          <w:sz w:val="18"/>
          <w:szCs w:val="18"/>
          <w:color w:val="auto"/>
        </w:rPr>
        <w:t>Our intrastate liquids pipeline transportation activities are subject to various state laws and regulations,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U.S. 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Pipeline Rate Regulation in the United States</w:t>
      </w:r>
      <w:r>
        <w:rPr>
          <w:rFonts w:ascii="Arial" w:cs="Arial" w:eastAsia="Arial" w:hAnsi="Arial"/>
          <w:sz w:val="18"/>
          <w:szCs w:val="18"/>
          <w:color w:val="auto"/>
        </w:rPr>
        <w:t>. The FERC historically has not investigated rates of liquids pipelines on its own initiative when those</w:t>
      </w:r>
      <w:r>
        <w:rPr>
          <w:rFonts w:ascii="Arial" w:cs="Arial" w:eastAsia="Arial" w:hAnsi="Arial"/>
          <w:sz w:val="18"/>
          <w:szCs w:val="18"/>
          <w:i w:val="1"/>
          <w:iCs w:val="1"/>
          <w:color w:val="auto"/>
        </w:rPr>
        <w:t xml:space="preserve"> </w:t>
      </w:r>
      <w:r>
        <w:rPr>
          <w:rFonts w:ascii="Arial" w:cs="Arial" w:eastAsia="Arial" w:hAnsi="Arial"/>
          <w:sz w:val="18"/>
          <w:szCs w:val="18"/>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Parties submitted comments in response to this notice, and FERC could, after review of those comments, decide to propose changes to its current policy.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NEB and by provincial authorities. With respect to 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trucking operations.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May 2015, PHMSA adopted a final rule that, among other things, imposes a new tank car design standard, a phase out by as early as January 2018 for older DOT-111 tank cars that are not retrofitted, and a classification and testing program for unrefined petroleum based products, including crude oil. The rule also includes new operational requirements such as speed restrictions. In December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 million per violation per day (adjusted annually for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$1.1 million (adjusted annually for inflation) or triple the monetary gain to the person for each violation.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$1.2 million per day for each violation (adjusted annually for inflation). FERC also has the authority to order disgorgement of profits from transactions deemed to violate the NGA and the EPAct 2005.</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December 2016, PHMSA issued an interim final rule (“IFR”) that establishes minimum federal standards for salt dome underground natural gas storage facilities. The IFR imposes new requirements on “downhole facilities,” including wells, wellbore tubing and casings at underground natural gas storage facilities. The IFR addresses construction, maintenance, risk management and integrity management procedures for these facilities and includes registration and reporting obligations. The IFR adopts and incorporates by reference the requirements and recommendations contained in American Petroleum Institute (“API”) Recommended Practice 1170. Existing salt dome underground natural gas storage facilities must meet the appropriate requirements and mandatory recommendations of API 1170 by January 18, 2018. However, PHMSA issued a partial stay of the IFR’s requirements in June 2017. A final rule is expected in 2018. We do not anticipate that compliance with the final rule will have a significant adverse effect on our operations.</w:t>
      </w:r>
    </w:p>
    <w:p>
      <w:pPr>
        <w:spacing w:after="0" w:line="16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or the Transportation Safety Administration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6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real property holdings generally consist of: (i) parcels of land that we own in fee, (ii) surface leases and underground storage leases and</w:t>
      </w:r>
    </w:p>
    <w:p>
      <w:pPr>
        <w:spacing w:after="0" w:line="23" w:lineRule="exact"/>
        <w:rPr>
          <w:sz w:val="20"/>
          <w:szCs w:val="20"/>
          <w:color w:val="auto"/>
        </w:rPr>
      </w:pPr>
    </w:p>
    <w:p>
      <w:pPr>
        <w:ind w:right="40" w:firstLine="8"/>
        <w:spacing w:after="0" w:line="270" w:lineRule="auto"/>
        <w:tabs>
          <w:tab w:leader="none" w:pos="3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 restrictions or encumbrances. Except for challenges that we do not regard as material relative to our overall operations,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To carry out our operations, through GP LLC or its affiliates, we employed approximately 4,850 employees at December 31, 2017. Of these employees, 158 are covered by four separate collective agreements, all of which expire in 2019. We consider employee relations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The following is a summary of material U.S. federal income tax consequences, tax considerations,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For purposes of this discussion, a “U.S. holder” is a beneficial owner of our Class A shares that, for U.S. federal income tax purposes, is:</w:t>
      </w:r>
    </w:p>
    <w:p>
      <w:pPr>
        <w:spacing w:after="0" w:line="14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8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trust (i) the administration of which is subjected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7"/>
          <w:szCs w:val="17"/>
          <w:i w:val="1"/>
          <w:iCs w:val="1"/>
          <w:color w:val="auto"/>
        </w:rPr>
        <w:t>—</w:t>
      </w:r>
      <w:r>
        <w:rPr>
          <w:rFonts w:ascii="Arial" w:cs="Arial" w:eastAsia="Arial" w:hAnsi="Arial"/>
          <w:sz w:val="17"/>
          <w:szCs w:val="17"/>
          <w:color w:val="auto"/>
        </w:rPr>
        <w:t>Gain on Disposition of Class A Shares” below. Non-corporate holders that receive distributions on our Class A shares that are treated as dividends for U.S. federal income tax purposes generally will be subject to U.S. federal income tax at a reduced rate (currently at a maximum tax rate of 20%) provided certain holding period requirements are met.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2018 through 2020,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would be unable to utilize the corporate dividends-received deduction with respect to such distribution.</w:t>
      </w:r>
    </w:p>
    <w:p>
      <w:pPr>
        <w:spacing w:after="0" w:line="15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3"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regarding the application of the backup withholding rules to their particular circumstances and the availability of, and procedure for, obtaining an exemption from backup withholding.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w:t>
      </w:r>
      <w:r>
        <w:rPr>
          <w:rFonts w:ascii="Arial" w:cs="Arial" w:eastAsia="Arial" w:hAnsi="Arial"/>
          <w:sz w:val="16"/>
          <w:szCs w:val="16"/>
          <w:color w:val="auto"/>
        </w:rPr>
        <w:t>Additional Withholding Requirements under FATCA,” a non-U.S. holder generally will not be subject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on any gain realized upon the sale or other disposition of our Class A shares unless:</w:t>
      </w:r>
    </w:p>
    <w:p>
      <w:pPr>
        <w:spacing w:after="0" w:line="211" w:lineRule="exact"/>
        <w:rPr>
          <w:sz w:val="20"/>
          <w:szCs w:val="20"/>
          <w:color w:val="auto"/>
        </w:rPr>
      </w:pPr>
    </w:p>
    <w:p>
      <w:pPr>
        <w:ind w:left="980" w:right="4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3" w:lineRule="exact"/>
        <w:rPr>
          <w:sz w:val="20"/>
          <w:szCs w:val="20"/>
          <w:color w:val="auto"/>
        </w:rPr>
      </w:pPr>
    </w:p>
    <w:p>
      <w:pPr>
        <w:ind w:right="20" w:firstLine="716"/>
        <w:spacing w:after="0" w:line="289"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67" w:lineRule="exact"/>
        <w:rPr>
          <w:sz w:val="20"/>
          <w:szCs w:val="20"/>
          <w:color w:val="auto"/>
        </w:rPr>
      </w:pPr>
    </w:p>
    <w:p>
      <w:pPr>
        <w:ind w:right="220" w:firstLine="716"/>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jc w:val="both"/>
        <w:ind w:right="120"/>
        <w:spacing w:after="0" w:line="302" w:lineRule="auto"/>
        <w:rPr>
          <w:sz w:val="20"/>
          <w:szCs w:val="20"/>
          <w:color w:val="auto"/>
        </w:rPr>
      </w:pPr>
      <w:r>
        <w:rPr>
          <w:rFonts w:ascii="Arial" w:cs="Arial" w:eastAsia="Arial" w:hAnsi="Arial"/>
          <w:sz w:val="16"/>
          <w:szCs w:val="16"/>
          <w:color w:val="auto"/>
        </w:rPr>
        <w:t>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5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7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6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Payments subject to withholding tax under this law generally include dividends paid on Class A shares after June 30, 2014, and gross proceeds from sales or redemptions of such Class A shares after December 31, 2016. Non-U.S. holders are encouraged to consult their tax advisors regarding the possible implications of this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We make available, free of charge on our Internet website at </w:t>
      </w:r>
      <w:r>
        <w:rPr>
          <w:rFonts w:ascii="Arial" w:cs="Arial" w:eastAsia="Arial" w:hAnsi="Arial"/>
          <w:sz w:val="16"/>
          <w:szCs w:val="16"/>
          <w:i w:val="1"/>
          <w:iCs w:val="1"/>
          <w:color w:val="auto"/>
        </w:rPr>
        <w:t>ir.pagp.com</w:t>
      </w:r>
      <w:r>
        <w:rPr>
          <w:rFonts w:ascii="Arial" w:cs="Arial" w:eastAsia="Arial" w:hAnsi="Arial"/>
          <w:sz w:val="16"/>
          <w:szCs w:val="16"/>
          <w:color w:val="auto"/>
        </w:rPr>
        <w:t xml:space="preserve">, our annual report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public may read and copy any materials filed by PAGP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6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distributions contained in PAA’s credit facilities and any future debt agreements entered into by AAP, PAA or us;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4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distributions AAP is entitled to receive may fluctuate, which may reduce cash distributions to our Class A shareholders.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December 31, 2017, we directly and indirectly owned an approximate 55% limited partner interest in AAP, which owned 283,960,248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initially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Restrictions in PAA’s credit facilities could limit AAP’s ability to make distributions to us, thereby limiting our ability to make distributions to our Class A shareholders.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shareholders do not elect or have the power to remove our general partner. The Class B shareholders own a sufficient number of shares to allow them to prevent the removal of our general partner.</w:t>
      </w:r>
    </w:p>
    <w:p>
      <w:pPr>
        <w:spacing w:after="0" w:line="17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they have little ability to remove our general partner. Our general partner may only be removed by vote of the holders of at least 66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shares (including both Class A and Class B shares). At December 31, 2017, the Legacy Owners owned approximately 45% of our outstanding Class A and Class B shares. This ownership level enables the Legacy Owners to prevent our general partner’s removal.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17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8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we would lose the ability to manage and control PAA.</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will receive cash in exchange for its general partner interest. If PAA GP withdraws in circumstances other than those described in the preceding sentence and a successor general partner is elected in accordance with PAA’s partnership agreement, the successor general partner will purchase the general partner interest for its fair market value. If PAA GP’s interests are not purchased in accordance with the foregoing theory, they would be converted into common units based on an independent valuation. In each case, PAA GP would also lose its ability to manage PAA.</w:t>
      </w:r>
    </w:p>
    <w:p>
      <w:pPr>
        <w:spacing w:after="0" w:line="17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79"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distributable cash flow per Class A share, net income and revenues;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significant portion of the combined voting power of our Class A and Class B shares.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2017, through their ownership of Class B shares, the Legacy Owners held approximately 45% of the combined voting power of our Class A and Class B shares. The Legacy Owners are entitled to act separately in their own respective interests with respect to their partnership interests in us, and collectively they currently have the ability to influence (i) the outcome of all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December 31, 2017, we have a gross deferred tax asset of approximately $1.5 billion. GAAP requires that a valuation allowance must be established for deferred tax assets when it is more likely than not that they will not be realized. We believe that the deferred tax asset we recorded through 2017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New York Stock Exchange (“NYSE”) does not require a limited partnership like us to comply with certain of its corporate governance requirements.</w:t>
      </w:r>
    </w:p>
    <w:p>
      <w:pPr>
        <w:spacing w:after="0" w:line="26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Because we are a limited partnership, the NYSE does not require our general partner to have a majority of independent directors on its board of directors or to establish a compensation committee or a nominating and corporate governance committee. Accordingly, our shareholders do not have the same protections afforded to certain corporations that are subject to all of the NYSE corporate governance requirements. In addition, as a limited partnership we are not required to seek shareholder approval for issuances of Class A shares, including issuances in excess of 20% of our outstanding equity securities, or for issuances of equity to certain affiliates.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62" w:lineRule="exact"/>
        <w:rPr>
          <w:sz w:val="20"/>
          <w:szCs w:val="20"/>
          <w:color w:val="auto"/>
        </w:rPr>
      </w:pPr>
    </w:p>
    <w:p>
      <w:pPr>
        <w:ind w:left="980" w:right="140" w:hanging="324"/>
        <w:spacing w:after="0" w:line="297"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50"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73" w:lineRule="exact"/>
        <w:rPr>
          <w:rFonts w:ascii="Arial" w:cs="Arial" w:eastAsia="Arial" w:hAnsi="Arial"/>
          <w:sz w:val="18"/>
          <w:szCs w:val="18"/>
          <w:color w:val="auto"/>
        </w:rPr>
      </w:pPr>
    </w:p>
    <w:p>
      <w:pPr>
        <w:ind w:left="980" w:right="120" w:hanging="324"/>
        <w:spacing w:after="0" w:line="286"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57" w:lineRule="exact"/>
        <w:rPr>
          <w:rFonts w:ascii="Arial" w:cs="Arial" w:eastAsia="Arial" w:hAnsi="Arial"/>
          <w:sz w:val="17"/>
          <w:szCs w:val="17"/>
          <w:color w:val="auto"/>
        </w:rPr>
      </w:pPr>
    </w:p>
    <w:p>
      <w:pPr>
        <w:ind w:left="1620" w:right="100" w:hanging="315"/>
        <w:spacing w:after="0" w:line="308" w:lineRule="auto"/>
        <w:tabs>
          <w:tab w:leader="none" w:pos="1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620" w:right="420" w:hanging="315"/>
        <w:spacing w:after="0" w:line="308" w:lineRule="auto"/>
        <w:tabs>
          <w:tab w:leader="none" w:pos="1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38" w:lineRule="exact"/>
        <w:rPr>
          <w:rFonts w:ascii="Arial" w:cs="Arial" w:eastAsia="Arial" w:hAnsi="Arial"/>
          <w:sz w:val="17"/>
          <w:szCs w:val="17"/>
          <w:color w:val="auto"/>
        </w:rPr>
      </w:pPr>
    </w:p>
    <w:p>
      <w:pPr>
        <w:ind w:left="1620" w:right="240" w:hanging="315"/>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62" w:lineRule="exact"/>
        <w:rPr>
          <w:rFonts w:ascii="Arial" w:cs="Arial" w:eastAsia="Arial" w:hAnsi="Arial"/>
          <w:sz w:val="18"/>
          <w:szCs w:val="18"/>
          <w:color w:val="auto"/>
        </w:rPr>
      </w:pPr>
    </w:p>
    <w:p>
      <w:pPr>
        <w:ind w:left="1620" w:right="180" w:hanging="315"/>
        <w:spacing w:after="0" w:line="264"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73" w:lineRule="exact"/>
        <w:rPr>
          <w:rFonts w:ascii="Arial" w:cs="Arial" w:eastAsia="Arial" w:hAnsi="Arial"/>
          <w:sz w:val="18"/>
          <w:szCs w:val="18"/>
          <w:color w:val="auto"/>
        </w:rPr>
      </w:pPr>
    </w:p>
    <w:p>
      <w:pPr>
        <w:ind w:left="980" w:hanging="324"/>
        <w:spacing w:after="0" w:line="273"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0"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At December 31, 2017, the Legacy Owners owned approximately 45% of our outstanding Class A and Class B shares and approximately 45%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66"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2017, the Legacy Owners owned approximately 45% of the Class A shares and Class B shares on a combined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PAA’s profitability depends on the volume of crude oil, natural gas and NGL shipped, processed, purchased, stored, fractionated and/or gathered at or through the use of its facilities, which can be negatively impacted by a variety of factors outside of its control.</w:t>
      </w:r>
    </w:p>
    <w:p>
      <w:pPr>
        <w:spacing w:after="0" w:line="147" w:lineRule="exact"/>
        <w:rPr>
          <w:sz w:val="20"/>
          <w:szCs w:val="20"/>
          <w:color w:val="auto"/>
        </w:rPr>
      </w:pPr>
    </w:p>
    <w:p>
      <w:pPr>
        <w:jc w:val="both"/>
        <w:ind w:right="500" w:firstLine="648"/>
        <w:spacing w:after="0" w:line="302" w:lineRule="auto"/>
        <w:rPr>
          <w:sz w:val="20"/>
          <w:szCs w:val="20"/>
          <w:color w:val="auto"/>
        </w:rPr>
      </w:pPr>
      <w:r>
        <w:rPr>
          <w:rFonts w:ascii="Arial" w:cs="Arial" w:eastAsia="Arial" w:hAnsi="Arial"/>
          <w:sz w:val="16"/>
          <w:szCs w:val="16"/>
          <w:color w:val="auto"/>
        </w:rPr>
        <w:t>PAA’s profitability could be materially impacted by a decline in the volume of crude oil, natural gas and NGL transported, gathered, stored or processed at or through its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or NGL handled by PAA’s facilities.</w:t>
      </w:r>
    </w:p>
    <w:p>
      <w:pPr>
        <w:spacing w:after="0" w:line="15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During the latter half of 2014 and continuing into 2016, benchmark crude oil prices declined significantly; as a result, many of the companies that produce oil and gas significantly reduced capital expenditures. Such reduced expenditure levels, coupled with high decline rates for many horizontal wells in the shale resource plays, led to production declines in many areas in the Lower 48 United States (excluding Gulf of Mexico production). Other factors that could adversely impact production include reduced capital market access, increased capital raising costs for producers or adverse governmental or regulatory action. In turn, such developments could lead to reduced throughput on PAA’s pipelines and at PAA’s other facilities, which, depending on the level of production declines, could have a material adverse effect on PAA’s business.</w:t>
      </w:r>
    </w:p>
    <w:p>
      <w:pPr>
        <w:spacing w:after="0" w:line="17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18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PAA may not be able to compete effectively in its transportation, facilities and supply and logistics activities, and PAA’s business is subject to various risks associated with the general capacity overbuild of midstream energy infrastructure in some of the areas where it operates.</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expansion capital projects, acquisitions and joint venture activities. Some of PAA’s competitors have capital resources many times greater than PAA’s and control greater supplies of crude oil, natural gas or NGL.</w:t>
      </w:r>
    </w:p>
    <w:p>
      <w:pPr>
        <w:spacing w:after="0" w:line="187"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ind w:firstLine="8"/>
        <w:spacing w:after="0" w:line="255"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these areas have become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Current expectations for oil and gas development in many of the areas where PAA operates are not as robust as they were during the last few years. This adversely impacts both PAA’s existing assets and growth projects in such areas. PAA also faces competition for incremental volumes from shippers on third-party pipelines who overcommitted relative to their actual production or committed supplies and are now purchasing barrels on the open market and shipping them on such third-party pipelines in order to satisfy their minimum commitment levels. This puts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20" w:firstLine="594"/>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PAA’s control, can negatively affect its operating results.</w:t>
      </w:r>
    </w:p>
    <w:p>
      <w:pPr>
        <w:spacing w:after="0" w:line="24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Supply and demand for crude oil and other hydrocarbon products PAA handles is dependent upon a variety of factors, including price, the impact of future economic conditions, fuel conservation measures, alternative fuel adoption,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PAA’s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1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PAA’s results of operations are influenced by the overall forward market for crude oil, and certain market structures or the absence of pricing volatility may adversely impact its results.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Results from PAA’s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PAA’s results. A backwardated market (meaning that the price of crude oil for future deliveries is lower than current prices) can have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PAA’s results from its Supply and Logistics segment may be less than those generated during the more favorable contango market conditions. Additionally, a prolonged transition period or a lack of volatility in the pricing structure may further negatively impact PAA’s results. Depending on the overall duration of these transition periods, how PAA has allocated its assets to particular strategies and the time length of its crude oil purchase and sale contracts and storage agreements, these transition periods may have either an adverse or beneficial effect on its aggregate segment results. A prolonged transition from a backwardated market to a contango market, or vice versa (essentially a market that is neither in pronounced backwardation nor contango), represents the least beneficial environment for PAA’s Supply and Logistics segment.</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A natural disaster, catastrophe, terrorist attack (including eco-terrorist attacks), process safety failure or other event, including pipeline or facility accidents and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4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paying distributions to its partners and, accordingly, adversely affect its financial condition and the market price of its securities.</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face opposition to the development or operation of its pipelines and facilities from various groups.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PAA may face opposition to the development or operation of its pipelines and facilities from environmental groups, landowners, tribal groups, local groups and other advocates. Such opposition could take many forms, including organized protests, attempts to block or sabotage PAA’s operations, intervention in regulatory or administrative proceedings involving PAA’s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PAA’s securities.</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Recently, activists concerned about the potential effects of climate change have directed their attention towards sources of funding for fossil-fuel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consequently could both indirectly affect demand for PAA’s services and directly affect its ability to fund construction or other capital projects.</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PAA’s information and operations, and expose it to liability, which would cause its business and reputation to suffer.</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its business, PAA collects and stores sensitive data in its data centers and on its networks, including intellectual property, proprietary business information, information regarding its customers, suppliers, royalty owners and business partners, and personally identifiable information of its employees. The secure processing, maintenance and transmission of this information is critical to PAA’s operations and business strategy. Despite PAA’s security measures, its information technology and infrastructure may be vulnerable to attacks by hackers or breached due to employee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17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PAA’s information technology infrastructure is critical to the efficient operation of its business and essential to its ability to perform day-to-day operations. Breaches in PAA’s information technology infrastructure or physical facilities, or other disruptions, could result in damage to its assets, safety incidents, damage to the environment, potential liability or the loss of contracts, and have a material adverse effect on its operations, financial position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PAA believes that, because of its strategic asset base and complementary business model, PAA will continue to benefit from swings in market prices and shifts in market structure during periods of volatility in the crude oil, NGL and natural gas markets. The extent to which PAA is able to capture that benefit, however, is subject to numerous risks and uncertainties, including whether PAA will be able to maintain an attractive credit rating and continue to receive open credit from its suppliers and trade counterparties. PAA’s senior unsecured debt is currently rated as “investment grade” by Standard &amp; Poor’s and Fitch Ratings Inc. In August 2017, Moody’s Investors Service downgraded its rating of PAA’s senior unsecured debt to a level below investment grade. A further downgrade by Standard &amp; Poor’s or Fitch Ratings, Inc. to a level below PAA’s current ratings levels assigned by such rating agencies could increase its borrowing costs, reduce its borrowing capacity and cause its counterparties to reduce the amount of open credit we receive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Loss of PAA’s remaining investment grade credit ratings could also adversely impact its cash flows, its ability to make distributions at its current levels and the value of its outstanding equity and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PAA makes acquisitions that fail to perform as anticipated, its future growth may be limited.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evaluating acquisitions, PAA generally prepares one or more financial cases based on a number of business, industry, economic, legal, regulatory, and other assumptions applicable to the proposed transaction. Although PAA expects a reasonable basis will exist for those assumptions, the assumptions will generally involve current estimates of future conditions. Realization of many of the assumptions will be beyond PAA’s control. Moreover, the uncertainty and risk of inaccuracy associated with any financial projection will increase with the length of the forecasted period. Some acquisitions may not be accretive in the near term, and will be accretive in the long term only if PAA is able to timely and effectively integrate the underlying assets and such assets perform at or near the levels anticipated in its acquisition projections.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involve risks that may adversely affect PAA’s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117"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PAA has also undertaken a strategic divestiture program involving sales of non-core assets and partial sales of other assets to strategic partners. If PAA is unable to successfully implement our divestiture program, it may be unable to fund its capital needs or may have to raise additional funding in the capital markets. In addition, in connection with PAA’s divestitures, it may agree to retain responsibility for certain liabilities that relate to its period of ownership, which could adversely impact PAA’s future financial performance.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PAA’s growth strategy requires access to new capital. Tightened capital markets or other factors that increase its cost of capital could impair its ability to grow.</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PAA continuously considers potential acquisitions and opportunities for expansion capital projects. Acquisition transactions can be effected quickly, may occur at any time and may be significant in size relative to its existing assets and operations. PAA’s ability to fund its capital projects and make acquisitions depends on whether it can access the necessary financing to fund these activities. Any limitations on its access to capital or increase in the cost of that capital could significantly impair its growth strategy. PAA’s ability to maintain its targeted credit profile, including maintaining its credit ratings, could affect PAA’s cost of capital as well as its ability to execute its growth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PAA’s ability to achieve and maintain its target credit profile is in part dependent on its ability to consummate previously announced divestiture transactions. The closing of such transactions is not entirely within PAA’s control and depends in part on the satisfaction of closing conditions that require action or inaction by governmental authorities or others. To the extent PAA is unable to consummate such transactions, PAA may be forced to incur additional indebtedness or issue more equity than it would have otherwise preferred, which could make it harder for PAA to achieve its targeted credit profile.</w:t>
      </w:r>
    </w:p>
    <w:p>
      <w:pPr>
        <w:spacing w:after="0" w:line="154"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not be able to fully implement or capitalize upon planned growth projects.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spacing w:after="0" w:line="73" w:lineRule="exact"/>
        <w:rPr>
          <w:sz w:val="20"/>
          <w:szCs w:val="20"/>
          <w:color w:val="auto"/>
        </w:rPr>
      </w:pPr>
    </w:p>
    <w:p>
      <w:pPr>
        <w:ind w:left="980" w:right="100" w:hanging="324"/>
        <w:spacing w:after="0" w:line="34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15"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PAA may face opposition to its planned growth projects from environmental groups, landowners, local groups and other advocates, including lawsuits or other actions designed to disrupt or delay PAA’s planned projects;</w:t>
      </w:r>
    </w:p>
    <w:p>
      <w:pPr>
        <w:spacing w:after="0" w:line="62"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15" w:lineRule="exact"/>
        <w:rPr>
          <w:rFonts w:ascii="Arial" w:cs="Arial" w:eastAsia="Arial" w:hAnsi="Arial"/>
          <w:sz w:val="16"/>
          <w:szCs w:val="16"/>
          <w:color w:val="auto"/>
        </w:rPr>
      </w:pPr>
    </w:p>
    <w:p>
      <w:pPr>
        <w:ind w:left="980" w:right="60" w:hanging="324"/>
        <w:spacing w:after="0" w:line="286"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PAA may construct pipelines, facilities or other assets in anticipation of market demand that dissipates or market growth that never materializes;</w:t>
      </w:r>
    </w:p>
    <w:p>
      <w:pPr>
        <w:spacing w:after="0" w:line="140" w:lineRule="exact"/>
        <w:rPr>
          <w:rFonts w:ascii="Arial" w:cs="Arial" w:eastAsia="Arial" w:hAnsi="Arial"/>
          <w:sz w:val="16"/>
          <w:szCs w:val="16"/>
          <w:color w:val="auto"/>
        </w:rPr>
      </w:pPr>
    </w:p>
    <w:p>
      <w:pPr>
        <w:ind w:left="980" w:right="40" w:hanging="324"/>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completion or success of PAA’s projects may depend on the completion or success of third-party facilities over which PAA have no control.</w:t>
      </w:r>
    </w:p>
    <w:p>
      <w:pPr>
        <w:spacing w:after="0" w:line="2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capital projects may not be achieved or could be delayed. In turn, this could negatively impact PAA’s cash flow and its ability to make or increase cash distributions to its partners.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PAA is exposed to the credit risk of its customers and other counterparties it transacts within the ordinary course of its business activities.</w:t>
      </w:r>
    </w:p>
    <w:p>
      <w:pPr>
        <w:spacing w:after="0" w:line="2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Risks of nonpayment and nonperformance by customers or other counterparties are a significant consideration in PAA’s business and are of increased concern in the current low commodity price environment.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5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PAA has a number of minimum volume commitment contracts that support pipelines in its Transportation segment.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credit risk, and there can be no assurance that PAA will not experience losses in dealings with such operators and other parties.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231F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187"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231F20"/>
        </w:rPr>
        <w:t>PAA also relies to a significant degree on the banks that lend to it under its revolving credit facility for financial liquidity, and any failure of those banks to perform on their obligations to PAA could significantly impair its liquidity. Furthermore, nonpayment by the counterparties to PAA’s interest rate, commodity and/or foreign currency derivatives could expose it to additional interest rate, commodity price and/or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PAA’s risk policies cannot eliminate all risks. In addition, any non-compliance with its risk policies could result in significant financial losses.</w:t>
      </w:r>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17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PAA’s operations are also subject to laws and regulations relating to protection of the environment and wildlife, operational safety, climate change and related matters that may expose it to significant costs and liabilities.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For example, the adoption of legislation or regulatory programs to reduce emissions of greenhouse gases (such as carbon dioxide and methane), including cap and trade programs, could require PAA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In addition, criminal violations of certain environmental laws, or in some cases even the allegation of criminal violations, may result in the temporary suspension or outright debarment from participating in government contracts. The laws and regulations applicable to</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PAA’s operations are subject to change and interpretation by the relevant governmental agency, including the possibility that exemptions it currently qualifies for may be modified or changed in ways that require PAA to incur significant additional compliance costs. Any such change or interpretation adverse to PAA could have a material adverse effect on its operations, revenues, expenses and profitability.</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 has a history of incremental additions to the miles of pipelines it owns, both through acquisitions and expansion capital projects. PAA has also increased its terminal and storage capacity and operate several facilities on or near navigable waters and domestic water supplies. Although PAA has implemented programs intended to maintain the integrity of its assets (discussed below), as it acquires additional assets it is at risk for an increase in the number of releases of liquid hydrocarbons into the environment. These releases expose PAA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currently devotes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PAA has also developed and implemented certain pipeline integrity measures that it believes go beyond regulatory mandates. See Items 1 and 2 “Business and Properties—Regulation.”</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 2018 and beyond, PAA will continue to focus on pipeline integrity management as a primary operational emphasis. In that regard, PAA has implemented programs intended to maintain the integrity of its assets, with a continued focus on risk reduction through testing, enhanced corrosion control, leak detection, and damage prevention. PAA has an internal review process pursuant to which it examines various aspects of its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17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PAA’s U.S. interstate common carrier liquids pipelines are subject to regulation by the FERC under the ICA. The ICA requires that tariff rates and terms and conditions of services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PAA’s U.S. interstate common carrier liquids pipelines subject to FERC regulation under the ICA, shippers may protest its pipeline tariff filings or file complaints against its existing rates or complaints alleging that we are engaging in discriminating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and certain state agencies.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125" w:right="3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other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1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PAA’s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PAA’s cross border activities subject it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purchases and sales of crude oil, natural gas and NGL, and hedging activities, expose it to potential regulatory risks.</w:t>
      </w:r>
    </w:p>
    <w:p>
      <w:pPr>
        <w:spacing w:after="0" w:line="225" w:lineRule="exact"/>
        <w:rPr>
          <w:sz w:val="20"/>
          <w:szCs w:val="20"/>
          <w:color w:val="auto"/>
        </w:rPr>
      </w:pPr>
    </w:p>
    <w:p>
      <w:pPr>
        <w:ind w:right="280"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common carrier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r>
        <w:rPr>
          <w:rFonts w:ascii="Arial" w:cs="Arial" w:eastAsia="Arial" w:hAnsi="Arial"/>
          <w:sz w:val="18"/>
          <w:szCs w:val="18"/>
          <w:i w:val="1"/>
          <w:iCs w:val="1"/>
          <w:color w:val="auto"/>
        </w:rPr>
        <w: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a requirement to post additional cash margin or collateral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7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PAA’s transportation, terminalling and storage services as well as its supply and logistics services.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in the future encounter increased costs related to, and lack of availability of, insurance.</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over the last 3 to 5 years,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PAA’s indebtedness may limit its ability to borrow additional funds or capitalize on business opportunities. In addition, PAA’s future debt level may limit its future financial and operating flexibility.</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December 31, 2017, the face value of PAA’s consolidated debt outstanding was approximately $10.0 billion, consisting of approximately $9.3 billion face value of long-term debt (including senior notes and long-term commercial paper and credit facility borrowings) and approximately $0.7 billion of short-term borrowings. As of December 31, 2017, PAA had approximately $3.0 billion of liquidity available, including cash and cash equivalents and available borrowing capacity under its senior unsecured revolving credit facility, its senior secured hedged inventory facility and its senior unsecured 364-day credit facility, subject to continued covenant compliance. Lower Adjusted EBITDA could increase PAA’s leverage ratios and effectively reduce its ability to incur additional indebtedness.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117" w:lineRule="exact"/>
        <w:rPr>
          <w:sz w:val="20"/>
          <w:szCs w:val="20"/>
          <w:color w:val="auto"/>
        </w:rPr>
      </w:pPr>
    </w:p>
    <w:p>
      <w:pPr>
        <w:ind w:left="980" w:right="1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117"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62"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8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increase the risk that PAA’s leverage may adversely affect its future financial and operating flexibility and thereby impact its ability to pay cash distributions at expected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 and the trading price of its units.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of December 31, 2017, the face value of PAA’s consolidated debt was approximately $10.0 billion, of which approximately $9.1 billion was at fixed interest rates and approximately $0.9 billion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 of hedged crude oil and NGL inventory. Further, the trading price of PAA’s common units may be sensitive to changes in interest rates and any rise in interest rates could adversely impact such trading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 U.S. dollar appreciates against the Canadian dollar, the U.S. dollar value of PAA’s Canadian dollar denominated earnings is reduced for U.S. reporting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PAA’s earnings.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At December 31, 2017, PAA had approximately $14.1 billion of net property and equipment, $872 million of linefill and base gas, $2.6 billion of goodwill, $2.8 billion of investments accounted for under the equity method of accounting and $844 million of net intangible assets capitalized on its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PAA was to determine that any of its property and equipment, linefill and base gas, goodwill,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During the year ended December 31, 2017, PAA recognized non-cash charges of approximately $152 million related to the write-down of certain property and equipment due to asset impairments and accelerated depreciation. See Note 5 to our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PAA’s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its costs or lower its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use of third-party assets for certain of its operations.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Certain of PAA’s business activities require the use of third-party assets over which it may have little or no control. If at any time PAA’s access to these assets was denied, and if access to alternative assets could not be arranged, it could have an adverse effect on PAA’s business, results of operations and cash flow.</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PAA’s leased railcars, could significantly reduce its profitability due to fixed costs incurred to obtain the right to use such assets.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From time to time in connection with its business, PAA may lease or otherwise secure the right to use certain third-party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125"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obligated to continue paying any applicable fixed charges, in addition to the potential of incurring other costs attributable to the non-utilization of such assets. For example, in connection with PAA’s rail operations, it leases a significant number of its railcars, typically pursuant to multi-year leases that obligate PAA to pay the applicable lease rate without regard to utilization. If business conditions are such that a portion of PAA’s rail fleet is not utilized for any period of time due to reduced demand for the services they provide, PAA will still be obligated to pay the applicable fixed lease rate for such railcars. In addition, during the period of time that PAA is not utilizing such railcars, it will incur incremental costs associated with the cost of storing such railcars and will continue to incur costs for maintenance and upkeep. Non-utilization of its leased assets in connection with PAA’s business could have a significant negative impact on PAA’s profitability and cash flows.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Many of PAA’s assets have been in service for many years and require significant expenditures to maintain them. As a result, its maintenance or repair costs may increase in the future.</w:t>
      </w:r>
    </w:p>
    <w:p>
      <w:pPr>
        <w:spacing w:after="0" w:line="170"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PAA’s pipelines, terminals and storage assets are generally long-lived assets, and many of them have been in service for many years. The age and condition of its assets could result in increased maintenance or repair expenditures in the future. Any significant increase in these expenditures could adversely affect PAA’s results of operations, financial position or cash flows, as well as its ability to make cash distributions to our unitholders.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does not own all of the land on which its pipelines and facilities are located, which could result in disruptions to its operations.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PAA does not own all of the land on which its pipelines and facilities have been constructed, and therefore are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PAA cannot guarantee that it will always be able to renew existing rights-of-way or obtain new rights-of-way on favorable terms or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its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the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80" w:lineRule="exact"/>
        <w:rPr>
          <w:sz w:val="20"/>
          <w:szCs w:val="20"/>
          <w:color w:val="auto"/>
        </w:rPr>
      </w:pPr>
    </w:p>
    <w:p>
      <w:pPr>
        <w:ind w:left="980" w:right="66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it expects them to,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88"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w:t>
      </w:r>
    </w:p>
    <w:p>
      <w:pPr>
        <w:ind w:left="980" w:right="20"/>
        <w:spacing w:after="0" w:line="252" w:lineRule="auto"/>
        <w:rPr>
          <w:rFonts w:ascii="Arial" w:cs="Arial" w:eastAsia="Arial" w:hAnsi="Arial"/>
          <w:sz w:val="16"/>
          <w:szCs w:val="16"/>
          <w:color w:val="auto"/>
        </w:rPr>
      </w:pPr>
      <w:r>
        <w:rPr>
          <w:rFonts w:ascii="Arial" w:cs="Arial" w:eastAsia="Arial" w:hAnsi="Arial"/>
          <w:sz w:val="18"/>
          <w:szCs w:val="18"/>
          <w:color w:val="auto"/>
        </w:rPr>
        <w:t>(ii) the timing of scheduled and unplanned maintenance or repairs, which can impact equipment availability and capacity, (iii) the schedule for and rate at which PAA conducts opportunistic leaching activities at its facilities in connection with the expansion of existing salt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54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Although PAA manages and monitors all of these various factors in connection with the ongoing operation of its natural gas storage facilities with the goal of performing all of its contractual commitments and obligations and optimizing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PAA fails to obtain materials in the quantity and the quality it needs, and at commercially acceptable prices, PAA’s results of operations, financial condition and cash flows could be materially and adversely affected.</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some of the materials used in PAA’s business are imported. A material increase in the import duties on the materials PAA relies on to construct and maintain its pipelines could make it more difficult or costly to obtain such materials and could delay completion of PAA’s infrastructure projects. A material increase in PAA’s costs of construction and maintenance or any significant delays in its ability to complete its infrastructure projects could have a material adverse effect on PAA’s financial position,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reimbursements due to PAA’s general partner may be substantial and will reduce PAA’s cash available for distribution to its unitholders.</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Prior to making any distribution on its common units, PAA will reimburse PAA GP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 GP has sole discretion to determine the amount of these expenses. In addition, PAA GP and its affiliates may provide PAA with services for which PAA will be charged reasonable fees as determined by its general partner.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PAA’s performance and the establishment of financial reserves.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 GP. Cash distributions are dependent primarily on cash flow, including cash flow from financial reserves and working capital borrowings, and not solely on profitability, which is affected by non-cash items. Therefore, cash distributions might be made during periods when PAA records losses and might not be made during periods when it records profits.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PAA’s preferred units have rights, preferences and privileges that are not held by, and are preferential to the rights of, holders of PAA’s common units.</w:t>
      </w:r>
    </w:p>
    <w:p>
      <w:pPr>
        <w:spacing w:after="0" w:line="26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common units in the future.</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distributions on the PAA preferred units accrue and are cumulative, at the rate of 8% per annum with respect to PAA’s Series A preferred units and 6.125% with respect to PAA’s Series B preferred units on the original issue price.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its preferred units, or on the common units issued following the conversion of PAA’s Series A preferred units, could impact its liquidity and reduce the amount of cash flow available for working capital, capital expenditures, growth opportunities, acquisitions, and other general partnership purposes. PAA’s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obligations to the holders of preferred units could also limit its ability to obtain additional financing or increase our borrowing costs, which could have an adverse effect on PAA’s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Internal Revenue Service (“IRS”) were to treat PAA 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5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At December 31, 2017, we owned an approximate 55% limited partner interest in AAP, which directly owned a limited partner interest in PAA through its ownership of 283,960,248 PAA common units (approximately 36% of PAA’s total Series A preferred units and common units).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The IRS issued final regulations on January 24, 2017, that are effective January 19, 2017, that define the activities that generate qualifying income from exploration, development, mining or production, processing, refining, transportation, and marketing of minerals or natural resources within the meaning of Section 7704. These regulations are intended to provide regulatory guidance on whether income from activities with respect to minerals or natural resources is qualifying income. Based on PAA’s current operations, PAA believes that it is treated as a partnership rather than a corporation for such purposes; however, a change in PAA’s business could cause it to be treated as a corporation for federal income tax purposes.</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Current law may change, causing PAA to be treated as a corporation for federal income tax purposes or otherwise subjecting PAA to additional entity-level taxation. In addition, several states are evaluating ways to subject partnerships to entity-level taxation through the imposition of state income, franchise and other forms of taxation. For example, PAA is subject to entity-level tax on the portion of its income apportioned to Texas in the prior year. Imposition of any similar taxes on PAA in additional states will reduce its cash available for distribution to its partners.</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If PAA were treated as a corporation for federal income tax purposes, it would pay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partnership agreement provides that if a law is enacted or existing law is modified or interpreted in a manner that subjects PAA to taxation as a corporation or otherwise subjects PAA to entity-level taxation for federal income tax purposes, PAA’s minimum quarterly distribution and target distribution amounts will be adjusted downward by a percentage that is based on the applicable entity-level tax rate, including both federal and state tax burdens. Although it is impossible to make an accurate assessment of the impact without the specific details of any such new law or modification, in such event, it is likely the amount of distributions AAP receives from PAA and our resulting cash flows could be reduced substantially, which would adversely affect our ability to pay distributions to our shareholders.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such as PAA could be subject to potential legislative, judicial or administrative changes and differing interpretations, possibly on a retroactive basis.</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Legislative changes to the IRS audit rules, starting with partnership tax years beginning after 2017, will allow the IRS to assess and collect tax on audit adjustments at the partnership level as opposed to the partner level unless the partnership makes an election or exercises certain alternatives. Changes were also made to limit partner representation in the event of an audit.</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 new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may bear some or all of the tax liability resulting from such audit adjustment, even if such unitholders did not own units in PAA during the tax year under audit. If, as a result of any such audit adjustment, PAA is required to make payments of taxes, penalties and interest, PAA’s cash available for distribution to its unitholders might be substantially reduced. These rules are not applicable for tax years beginning on or prior to December 31, 2017.</w:t>
      </w:r>
    </w:p>
    <w:p>
      <w:pPr>
        <w:spacing w:after="0" w:line="16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Also for partnership tax years beginning after 2017, the Act eliminated rights that certain individual partners might previously have had in the audit process by now restricting it to a single “partnership representative”</w:t>
      </w:r>
    </w:p>
    <w:p>
      <w:pPr>
        <w:spacing w:after="0" w:line="170"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The present U.S. federal income tax treatment of publicly traded partnerships, including PAA, may be modified by administrative, legislative or judicial changes or differing interpretations at any time. For example, the Obama administration’s budget proposal for fiscal year 2016 recommended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Although there is no current legislative proposal, a prior legislative proposal would have eliminated the qualifying income exception to the treatment of all publicly-traded partnerships as corporations upon which PAA relies for its treatment as a partnership for U.S. federal income tax purposes.</w:t>
      </w:r>
    </w:p>
    <w:p>
      <w:pPr>
        <w:spacing w:after="0" w:line="16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PAA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our indirect investment in PAA.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If a holder sells our Class A shares, the holder will recognize a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2017 and we do not expect to have any earnings and profits for an extended period of time, which we estimate will include, at a minimum, each of the periods ending December 31, 2018 through 2020.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 Please read “Summary of Tax Considerations—Gain on Disposition of Class A Shares” for a further discussion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federal income tax law relating to such tax treatment could result in (i) our being subject to additional taxation at the entity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The IRS Forms 1099-DIV that our shareholders receive from their brokers may over-report dividend income with respect to our shares for U.S. federal income tax purposes, and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w:t>
      </w:r>
    </w:p>
    <w:p>
      <w:pPr>
        <w:spacing w:after="0" w:line="188"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5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For a non-U.S. holder of our shares, “dividends” for U.S. federal income tax purposes will be subject to withholding of U.S. federal income tax at a 30% rate (or such lower rate as may be specified by an applicable income tax treaty) unless the dividends are effectively connected with conduct of a U.S. trade or business. Please read “Summary of Tax Considerations—Consequences to Non-U.S. Holders.”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is included in Note 17 to our Consolidated Financial Statements, and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Class A shares are listed and traded on the New York Stock Exchange under the symbol “PAGP.” In connection with the closing of the Simplification Transactions on November 15, 2016, as discussed further below, we effected a reverse split of our Class A and Class B shares, in each case, at a ratio of approximately 1-for-2.663. The effect of this reverse split has been retroactively applied to all share and per share amounts presented in this Form 10-K.</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February 12, 2018, the closing market price for our Class A shares was $21.88 per share and there were approximately 20,100 record holders and beneficial owners (held in street name). As of February 12, 2018, there were 157,011,139 Class A shares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high and low sales prices for our Class A shares and the cash distributions declared per Class A share:</w:t>
      </w:r>
    </w:p>
    <w:p>
      <w:pPr>
        <w:spacing w:after="0" w:line="163"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Class A Share</w:t>
      </w:r>
    </w:p>
    <w:p>
      <w:pPr>
        <w:ind w:left="8160"/>
        <w:spacing w:after="0" w:line="206" w:lineRule="auto"/>
        <w:rPr>
          <w:sz w:val="20"/>
          <w:szCs w:val="20"/>
          <w:color w:val="auto"/>
        </w:rPr>
      </w:pPr>
      <w:r>
        <w:rPr>
          <w:rFonts w:ascii="Arial" w:cs="Arial" w:eastAsia="Arial" w:hAnsi="Arial"/>
          <w:sz w:val="14"/>
          <w:szCs w:val="14"/>
          <w:b w:val="1"/>
          <w:bCs w:val="1"/>
          <w:color w:val="auto"/>
        </w:rPr>
        <w:t>Price Range</w:t>
      </w:r>
    </w:p>
    <w:tbl>
      <w:tblPr>
        <w:tblLayout w:type="fixed"/>
        <w:tblInd w:w="0" w:type="dxa"/>
        <w:tblCellMar>
          <w:top w:w="0" w:type="dxa"/>
          <w:left w:w="0" w:type="dxa"/>
          <w:bottom w:w="0" w:type="dxa"/>
          <w:right w:w="0" w:type="dxa"/>
        </w:tblCellMar>
      </w:tblPr>
      <w:tr>
        <w:trPr>
          <w:trHeight w:val="48"/>
        </w:trPr>
        <w:tc>
          <w:tcPr>
            <w:tcW w:w="72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vMerge w:val="restart"/>
          </w:tcPr>
          <w:p>
            <w:pPr>
              <w:jc w:val="right"/>
              <w:ind w:right="494"/>
              <w:spacing w:after="0" w:line="133"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65"/>
        </w:trPr>
        <w:tc>
          <w:tcPr>
            <w:tcW w:w="7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5"/>
                <w:szCs w:val="5"/>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 xml:space="preserve">Distributions </w:t>
            </w:r>
            <w:r>
              <w:rPr>
                <w:rFonts w:ascii="Arial" w:cs="Arial" w:eastAsia="Arial" w:hAnsi="Arial"/>
                <w:sz w:val="8"/>
                <w:szCs w:val="8"/>
                <w:b w:val="1"/>
                <w:bCs w:val="1"/>
                <w:color w:val="auto"/>
                <w:w w:val="99"/>
              </w:rPr>
              <w:t>(1)</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18.98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2nd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23.33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4th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3rd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25.59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2nd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1st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71" w:lineRule="exact"/>
        <w:rPr>
          <w:sz w:val="20"/>
          <w:szCs w:val="20"/>
          <w:color w:val="auto"/>
        </w:rPr>
      </w:pPr>
    </w:p>
    <w:p>
      <w:pPr>
        <w:ind w:left="660" w:right="240" w:hanging="652"/>
        <w:spacing w:after="0" w:line="216"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Cash distributions pertaining to the quarter presented. These distributions were declared and paid in the following calendar quarter. See the “Cash Distribution Policy” section below for a discussion of our policy regarding distribution payments.</w:t>
      </w:r>
    </w:p>
    <w:p>
      <w:pPr>
        <w:spacing w:after="0" w:line="20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Class A shares are also used as a form of compensation to our directors. See Note 16 to our Consolidated Financial Statements for additional information regarding our equity-indexed compensation plans.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B shares and Class C shares are not listed or traded on any stock exchange.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following graph compares the total unitholder return performance of our Class A shares with the performance of: (i) the Standard &amp; Poor’s 500 Stock Index (“S&amp;P 500”) and (ii) the Alerian MLP Index. The Alerian MLP Index is a composite of the 50 most prominent energy master limited partnerships that provides investors with a comprehensive benchmark for this asset class. The graph assumes that $100 was invested in our Class A shares and each comparison index beginning on October 16, 2013, the date our Class A shares began trading on the NYSE,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128905</wp:posOffset>
            </wp:positionV>
            <wp:extent cx="5848985" cy="2915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9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10/16/2013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12/31/2017</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PAGP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127.38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173.75</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Alerian MLP Index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102.64</w:t>
            </w:r>
          </w:p>
        </w:tc>
      </w:tr>
      <w:tr>
        <w:trPr>
          <w:trHeight w:val="27"/>
        </w:trPr>
        <w:tc>
          <w:tcPr>
            <w:tcW w:w="4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connection with our IPO and related transactions,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2017, certain Legacy Owners or their permitted transferees exercised the Exchange Right, which resulted in the issuance of 1,567,946 Class A shares. The issuance of Class A shares in connection with the exercise of the Exchange Rights was exempt from the registration requirements of the Securities Act of 1933, as amended, pursuant to Section 4(a)(2)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Simplification Transactions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See Note 1 to our Consolidated Financial Statements for further discussion of the Simplification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31"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with respect to the matters described under our partnership agreement.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if any, made after the end of the quarter.</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December 31, 2017, we directly and indirectly owned approximately 156.1 million AAP units, which represented an approximate 55% limited partner interest in AAP. AAP currently receives all of its cash flows from its ownership of PAA common units. Therefore, our cash flow and resulting ability to make distributions will be completely dependent upon the ability of PAA to make distributions to AAP in respect of the common units AAP owns. As of December 31, 2017, AAP owned approximately 284.0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80"/>
          </w:cols>
          <w:pgMar w:left="240" w:top="125" w:right="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PAGP’s IPO) through December 31, 2013, plus results for GP LLC, the predecessor entity to PAGP, prior to October 21, 2013.</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financial information below was derived from the audited financial statements of PAGP (and GP LLC as discussed above) as of December 31, 2017, 2016, 2015, 2014 and 2013 and for the years then ended.</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1"/>
              </w:rPr>
              <w:t>(in millions, except per share data and volumes)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26,223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20,182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23,152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43,464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42,249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income/(loss)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1,374</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income/(loss) attributable to PAGP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9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net income/(loss) per Class A share </w:t>
            </w:r>
            <w:r>
              <w:rPr>
                <w:rFonts w:ascii="Arial" w:cs="Arial" w:eastAsia="Arial" w:hAnsi="Arial"/>
                <w:sz w:val="25"/>
                <w:szCs w:val="25"/>
                <w:color w:val="auto"/>
                <w:vertAlign w:val="superscript"/>
              </w:rPr>
              <w:t>(1) (2)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0.25</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5"/>
                <w:szCs w:val="25"/>
                <w:color w:val="auto"/>
                <w:vertAlign w:val="superscript"/>
              </w:rPr>
              <w:t>(1) (2)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Declared distributions per Class A share </w:t>
            </w:r>
            <w:r>
              <w:rPr>
                <w:rFonts w:ascii="Arial" w:cs="Arial" w:eastAsia="Arial" w:hAnsi="Arial"/>
                <w:sz w:val="25"/>
                <w:szCs w:val="25"/>
                <w:color w:val="auto"/>
                <w:vertAlign w:val="superscript"/>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N/A</w:t>
            </w: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end of period):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26,753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26,103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24,142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21,411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9,920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11,839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8,301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Partners’ capital (excluding Noncontrolling interests)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Partners’ capital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8,279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cash provided by operating activities </w:t>
            </w:r>
            <w:r>
              <w:rPr>
                <w:rFonts w:ascii="Arial" w:cs="Arial" w:eastAsia="Arial" w:hAnsi="Arial"/>
                <w:sz w:val="25"/>
                <w:szCs w:val="25"/>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cash provided by/(used in) financing activities </w:t>
            </w:r>
            <w:r>
              <w:rPr>
                <w:rFonts w:ascii="Arial" w:cs="Arial" w:eastAsia="Arial" w:hAnsi="Arial"/>
                <w:sz w:val="25"/>
                <w:szCs w:val="25"/>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Expansion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78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4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5"/>
                <w:szCs w:val="25"/>
                <w:b w:val="1"/>
                <w:bCs w:val="1"/>
                <w:color w:val="auto"/>
                <w:vertAlign w:val="superscript"/>
              </w:rPr>
              <w:t>(5) (6)</w:t>
            </w: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Transportation segment (average daily volumes in thousands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barrels per day):</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segment total volumes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segment: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Liquids storage (average monthly capacity in millions of</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barrels)</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Natural gas storage (average monthly working capacity in</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billions of cubic feet)</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4"/>
              </w:rPr>
              <w:t>NGL fractionation (average volumes in thousands of barrels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6"/>
                <w:szCs w:val="16"/>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per day)</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3"/>
              </w:rPr>
              <w:t>Facilities segment total volumes (average monthly volumes</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 millions of barrels)</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(average daily volumes in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thousands of barrels per day):</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894</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Supply and Logistics segment total volumes</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2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During the year ended December 31, 2017, we recorded approximately $823 million related to the re-measurement of our existing deferred tax asset as a result of the reduction in our effective tax rate from the change in corporate federal income tax rate from 35% to 21%. See Note 13 to our Consolidated Financial Statements for additional information.</w:t>
      </w:r>
    </w:p>
    <w:p>
      <w:pPr>
        <w:spacing w:after="0" w:line="95" w:lineRule="exact"/>
        <w:rPr>
          <w:rFonts w:ascii="Arial" w:cs="Arial" w:eastAsia="Arial" w:hAnsi="Arial"/>
          <w:sz w:val="25"/>
          <w:szCs w:val="25"/>
          <w:color w:val="auto"/>
          <w:vertAlign w:val="superscript"/>
        </w:rPr>
      </w:pPr>
    </w:p>
    <w:p>
      <w:pPr>
        <w:jc w:val="both"/>
        <w:ind w:left="660" w:right="460" w:hanging="652"/>
        <w:spacing w:after="0" w:line="252" w:lineRule="auto"/>
        <w:tabs>
          <w:tab w:leader="none" w:pos="66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81" w:lineRule="exact"/>
        <w:rPr>
          <w:rFonts w:ascii="Arial" w:cs="Arial" w:eastAsia="Arial" w:hAnsi="Arial"/>
          <w:sz w:val="22"/>
          <w:szCs w:val="22"/>
          <w:color w:val="auto"/>
          <w:vertAlign w:val="superscript"/>
        </w:rPr>
      </w:pPr>
    </w:p>
    <w:p>
      <w:pPr>
        <w:ind w:left="660" w:right="20" w:hanging="652"/>
        <w:spacing w:after="0" w:line="21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per share during the year presented. See Note 11 to our Consolidated Financial Statements for further discussion regarding our distributions.</w:t>
      </w:r>
    </w:p>
    <w:p>
      <w:pPr>
        <w:spacing w:after="0" w:line="95" w:lineRule="exact"/>
        <w:rPr>
          <w:rFonts w:ascii="Arial" w:cs="Arial" w:eastAsia="Arial" w:hAnsi="Arial"/>
          <w:sz w:val="25"/>
          <w:szCs w:val="25"/>
          <w:color w:val="auto"/>
          <w:vertAlign w:val="superscript"/>
        </w:rPr>
      </w:pPr>
    </w:p>
    <w:p>
      <w:pPr>
        <w:jc w:val="both"/>
        <w:ind w:left="660" w:right="320" w:hanging="652"/>
        <w:spacing w:after="0" w:line="22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 xml:space="preserve">Amounts for 2013 through 2016 have been retroactively restated to reflect the impact of our adoption of Accounting Standards Update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See Note 2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additional information.</w:t>
      </w:r>
    </w:p>
    <w:p>
      <w:pPr>
        <w:spacing w:after="0" w:line="73"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98" w:lineRule="exact"/>
        <w:rPr>
          <w:rFonts w:ascii="Arial" w:cs="Arial" w:eastAsia="Arial" w:hAnsi="Arial"/>
          <w:sz w:val="22"/>
          <w:szCs w:val="22"/>
          <w:color w:val="auto"/>
          <w:vertAlign w:val="superscript"/>
        </w:rPr>
      </w:pPr>
    </w:p>
    <w:p>
      <w:pPr>
        <w:ind w:left="660" w:right="160" w:hanging="652"/>
        <w:spacing w:after="0" w:line="230"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333"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are a Delaware limited partnership formed on July 17, 2013 that has elected to be taxed as a corporation for United States federal income tax purposes. As of December 31, 2017, our sole assets consisted of (i) a 100% managing member interest in GP LLC, an entity that has also elected to be taxed as a corporation for United States federal income tax purposes and (ii) an approximate 55% limited partner interest in AAP through our direct ownership of approximately 155.1 million AAP units and indirect ownership of approximately 1.0 million AAP units through GP LLC. GP LLC is a Delaware limited liability company that also holds the non-economic general partner interest in AAP. AAP is a Delaware limited partnership that, as of December 31, 2017, directly owned a limited partner interest in PAA through its ownership of approximately 284.0 million PAA common units (approximately 36% of PAA Common Unit Equivalents). AAP is the sole member of PAA GP, a Delaware limited liability company that directly holds the non-economic general partner interest in PAA.</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crude oil market downturn over the last three years created a challenging environment for the overall midstream industry. See the “Outlook— Market Overview and Outlook” section below for further discussion. We recognized a net loss of $41 million in 2017 as compared to net income of $660 million recognized in 2016. The net loss in 2017 was primarily due to $823 million of deferred income tax expense recognized in the fourth quarter of 2017 related to the re-measurement of PAGP’s deferred tax asset following the signing into law of the Tax Cuts and Jobs Act of 2017. The remaining variance between the comparative periods also reflects:</w:t>
      </w:r>
    </w:p>
    <w:p>
      <w:pPr>
        <w:spacing w:after="0" w:line="188" w:lineRule="exact"/>
        <w:rPr>
          <w:sz w:val="20"/>
          <w:szCs w:val="20"/>
          <w:color w:val="auto"/>
        </w:rPr>
      </w:pPr>
    </w:p>
    <w:p>
      <w:pPr>
        <w:ind w:left="980" w:right="100" w:hanging="324"/>
        <w:spacing w:after="0" w:line="26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Contributions from our recently completed acquisitions and capital expansion projects and favorable variances from the mark-to-market impact of certain derivative instruments, partially offset by less favorable crude oil and NGL market conditions and margin compression caused by continued competition;</w:t>
      </w:r>
    </w:p>
    <w:p>
      <w:pPr>
        <w:spacing w:after="0" w:line="181" w:lineRule="exact"/>
        <w:rPr>
          <w:rFonts w:ascii="Arial" w:cs="Arial" w:eastAsia="Arial" w:hAnsi="Arial"/>
          <w:sz w:val="18"/>
          <w:szCs w:val="18"/>
          <w:color w:val="auto"/>
        </w:rPr>
      </w:pPr>
    </w:p>
    <w:p>
      <w:pPr>
        <w:ind w:left="980" w:hanging="324"/>
        <w:spacing w:after="0" w:line="286"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Higher depreciation and amortization expense largely driven by (i) an increase in impairments, accelerated depreciation and canceled projects during the 2017 period, (ii) additional depreciation associated with acquisitions and the completion of various capital expansion projects and (iii) smaller net gains from non-core assets sales and joint venture formations recognized in the 2017 period;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net loss of $40 million recognized in 2017 related to the early redemption of senior notes; and</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mark-to-market of the Preferred Distribution Rate Reset Option, resulting in a smaller gain recognized in 2017 compared to the gain recognized in the 2016 period.</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invested approximately $1.1 billion in midstream infrastructure projects during 2017, which included the newly constructed Diamond and STACK extension joint venture pipelines, both of which were placed in service in late 2017, as well as capacity expansions for the Cactus I and BridgeTex pipelines. Additionally, we completed $1.3 billion of acquisitions in 2017, which primarily consisted of pipeline assets in the Permian Basin. See the “— Acquisitions and Capital Projects” section below for additional information.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 fund such capital activities, we sold (i) PAGP and PAA equity securities for net proceeds of approximately $1.7 billion (all of which occurred in the first four months of the year) and (ii) 800,000 newly issued PAA Series B preferred units in October 2017 for net proceeds of $788 million. In addition, we continued to advance our divestiture program, completing non-core asset sales during 2017 for cash proceeds of approximately $1.1 billion, and progressed the PAA Leverage Reduction Plan, as discussed below. We also paid approximately $1.4 billion of cash distributions to our Class A Shareholders and noncontrolling interests during 2017.</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Leverage Reduction Plan</w:t>
      </w:r>
    </w:p>
    <w:p>
      <w:pPr>
        <w:spacing w:after="0" w:line="22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On August 25, 2017, PAA announced that it was implementing an action plan to strengthen its balance sheet, reduce leverage, enhance its distribution coverage, minimize new issuances of common equity and position PAA for future distribution growth. The action plan (“PAA Leverage Reduction Plan”), which was endorsed by our Board, included PAA’s intent to achieve certain objectives. As of early 2018, the status of PAA’s efforts to implement the PAA Leverage Reduction Plan is summarized below:</w:t>
      </w:r>
    </w:p>
    <w:p>
      <w:pPr>
        <w:sectPr>
          <w:pgSz w:w="11900" w:h="16838" w:orient="portrait"/>
          <w:cols w:equalWidth="0" w:num="1">
            <w:col w:w="11360"/>
          </w:cols>
          <w:pgMar w:left="240" w:top="125" w:right="299" w:bottom="1440" w:gutter="0" w:footer="0" w:header="0"/>
        </w:sect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PAA Leverage Reduction Plan Objective</w:t>
      </w:r>
    </w:p>
    <w:p>
      <w:pPr>
        <w:spacing w:after="0" w:line="81" w:lineRule="exact"/>
        <w:rPr>
          <w:sz w:val="20"/>
          <w:szCs w:val="20"/>
          <w:color w:val="auto"/>
        </w:rPr>
      </w:pPr>
    </w:p>
    <w:p>
      <w:pPr>
        <w:ind w:left="60"/>
        <w:spacing w:after="0" w:line="279" w:lineRule="auto"/>
        <w:rPr>
          <w:sz w:val="20"/>
          <w:szCs w:val="20"/>
          <w:color w:val="auto"/>
        </w:rPr>
      </w:pPr>
      <w:r>
        <w:rPr>
          <w:rFonts w:ascii="Arial" w:cs="Arial" w:eastAsia="Arial" w:hAnsi="Arial"/>
          <w:sz w:val="17"/>
          <w:szCs w:val="17"/>
          <w:color w:val="auto"/>
        </w:rPr>
        <w:t>Reset PAA’s annualized distribution per common unit to $1.20, starting with the third-quarter distribution payable in November 2017, which would reduce PAA’s annual distribution outflow by approximately $725 million per year, representing approximately $1.1 billion over 6 quarters</w:t>
      </w:r>
    </w:p>
    <w:p>
      <w:pPr>
        <w:spacing w:after="0" w:line="9"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Complete pending and/or in-progress non-core/strategic asset sales totaling approximately $700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0" w:right="180"/>
        <w:spacing w:after="0" w:line="264" w:lineRule="auto"/>
        <w:rPr>
          <w:sz w:val="20"/>
          <w:szCs w:val="20"/>
          <w:color w:val="auto"/>
        </w:rPr>
      </w:pPr>
      <w:r>
        <w:rPr>
          <w:rFonts w:ascii="Arial" w:cs="Arial" w:eastAsia="Arial" w:hAnsi="Arial"/>
          <w:sz w:val="18"/>
          <w:szCs w:val="18"/>
          <w:color w:val="auto"/>
        </w:rPr>
        <w:t>Reduce hedged crude oil and NGL inventory volumes and related debt by approximately $300 million (based on current prices) relative to June 30, 2017 levels</w:t>
      </w:r>
    </w:p>
    <w:p>
      <w:pPr>
        <w:spacing w:after="0" w:line="235" w:lineRule="exact"/>
        <w:rPr>
          <w:sz w:val="20"/>
          <w:szCs w:val="20"/>
          <w:color w:val="auto"/>
        </w:rPr>
      </w:pPr>
    </w:p>
    <w:p>
      <w:pPr>
        <w:ind w:left="60" w:right="20"/>
        <w:spacing w:after="0" w:line="286" w:lineRule="auto"/>
        <w:rPr>
          <w:sz w:val="20"/>
          <w:szCs w:val="20"/>
          <w:color w:val="auto"/>
        </w:rPr>
      </w:pPr>
      <w:r>
        <w:rPr>
          <w:rFonts w:ascii="Arial" w:cs="Arial" w:eastAsia="Arial" w:hAnsi="Arial"/>
          <w:sz w:val="17"/>
          <w:szCs w:val="17"/>
          <w:color w:val="auto"/>
        </w:rPr>
        <w:t>Fund second-half 2017 and full-year 2018 expansion capital program with a combination of non-convertible, perpetual preferred PAA equity (target of approximately $600 million) and asset sales proceeds</w:t>
      </w:r>
    </w:p>
    <w:p>
      <w:pPr>
        <w:spacing w:after="0" w:line="220" w:lineRule="exact"/>
        <w:rPr>
          <w:sz w:val="20"/>
          <w:szCs w:val="20"/>
          <w:color w:val="auto"/>
        </w:rPr>
      </w:pPr>
    </w:p>
    <w:p>
      <w:pPr>
        <w:jc w:val="both"/>
        <w:ind w:left="60" w:right="180"/>
        <w:spacing w:after="0" w:line="264" w:lineRule="auto"/>
        <w:rPr>
          <w:sz w:val="20"/>
          <w:szCs w:val="20"/>
          <w:color w:val="auto"/>
        </w:rPr>
      </w:pPr>
      <w:r>
        <w:rPr>
          <w:rFonts w:ascii="Arial" w:cs="Arial" w:eastAsia="Arial" w:hAnsi="Arial"/>
          <w:sz w:val="18"/>
          <w:szCs w:val="18"/>
          <w:color w:val="auto"/>
        </w:rPr>
        <w:t>Apply retained cash flows and remaining asset sales proceeds to steadily reduce PAA’s total debt as of June 30, 2017 by approximately $1.4 billion through March 31, 2019</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34290</wp:posOffset>
            </wp:positionV>
            <wp:extent cx="7212330" cy="591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591820"/>
                    </a:xfrm>
                    <a:prstGeom prst="rect">
                      <a:avLst/>
                    </a:prstGeom>
                    <a:noFill/>
                  </pic:spPr>
                </pic:pic>
              </a:graphicData>
            </a:graphic>
          </wp:anchor>
        </w:drawing>
      </w:r>
    </w:p>
    <w:p>
      <w:pPr>
        <w:spacing w:after="0" w:line="6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reduction of PAA’s annualized distribution per common unit to $1.20 commenced with the November 2017 distribution, resulting in an improved distribution coverage ratio</w:t>
      </w:r>
    </w:p>
    <w:p>
      <w:pPr>
        <w:spacing w:after="0" w:line="23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Since announcing the PAA Leverage Reduction Plan in August 2017, PAA has closed on approximately $700 million of non-core/strategic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379095</wp:posOffset>
            </wp:positionV>
            <wp:extent cx="7212330" cy="582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58293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As of December 31, 2017, PAA reduced its hedged inventory debt by approximately $375 million relative to June 30, 2017 levels</w:t>
      </w:r>
    </w:p>
    <w:p>
      <w:pPr>
        <w:spacing w:after="0" w:line="200" w:lineRule="exact"/>
        <w:rPr>
          <w:sz w:val="20"/>
          <w:szCs w:val="20"/>
          <w:color w:val="auto"/>
        </w:rPr>
      </w:pP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2017, PAA completed an $800 million offering ($200 million over target) of 6.125% non-convertible Series B preferred units for net proceeds of $788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141605</wp:posOffset>
            </wp:positionV>
            <wp:extent cx="7212330" cy="582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582930"/>
                    </a:xfrm>
                    <a:prstGeom prst="rect">
                      <a:avLst/>
                    </a:prstGeom>
                    <a:noFill/>
                  </pic:spPr>
                </pic:pic>
              </a:graphicData>
            </a:graphic>
          </wp:anchor>
        </w:drawing>
      </w:r>
    </w:p>
    <w:p>
      <w:pPr>
        <w:spacing w:after="0" w:line="21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December 2017, PAA retired two series of senior notes totaling $950 million that would otherwise have matured in 2018 and 2019</w:t>
      </w:r>
    </w:p>
    <w:p>
      <w:pPr>
        <w:spacing w:after="0" w:line="381" w:lineRule="exact"/>
        <w:rPr>
          <w:sz w:val="20"/>
          <w:szCs w:val="20"/>
          <w:color w:val="auto"/>
        </w:rPr>
      </w:pPr>
    </w:p>
    <w:p>
      <w:pPr>
        <w:sectPr>
          <w:pgSz w:w="11900" w:h="16838" w:orient="portrait"/>
          <w:cols w:equalWidth="0" w:num="2">
            <w:col w:w="5560" w:space="180"/>
            <w:col w:w="5620"/>
          </w:cols>
          <w:pgMar w:left="240" w:top="125" w:right="29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60"/>
          </w:cols>
          <w:pgMar w:left="240" w:top="125" w:right="2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There can be no assurance that the objectives of PAA’s Leverage Reduction Plan remaining to be achieved will be achieved, or that they will be achieved within PAA’s desired time frame or in the desired amounts. Achievement of such objectives is subject to risks and uncertainties, many of which are outside of PAA’s control. Please see “Risk Factors—Risks Related to PAA’s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completed a number of acquisitions and capital projects in 2017, 2016 and 2015 that have impacted our results of operations. The following table summarizes our expenditures for acquisition capital, expansion capital and maintenance capital for such periods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1,323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r>
      <w:tr>
        <w:trPr>
          <w:trHeight w:val="270"/>
        </w:trPr>
        <w:tc>
          <w:tcPr>
            <w:tcW w:w="6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90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1,135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2,170</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r>
      <w:tr>
        <w:trPr>
          <w:trHeight w:val="237"/>
        </w:trPr>
        <w:tc>
          <w:tcPr>
            <w:tcW w:w="66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2,705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2,495</w:t>
            </w:r>
          </w:p>
        </w:tc>
      </w:tr>
      <w:tr>
        <w:trPr>
          <w:trHeight w:val="27"/>
        </w:trPr>
        <w:tc>
          <w:tcPr>
            <w:tcW w:w="6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26"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jc w:val="both"/>
        <w:ind w:left="660" w:right="460" w:hanging="652"/>
        <w:spacing w:after="0" w:line="226"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Acquisitions are financed using a combination of equity and debt, including borrowings under the PAA commercial paper program or credit facilities and the issuance of PAA senior notes. In addition, we use proceeds from sales of non-core assets for funding. Businesses acquired impact our results of operations commencing on the closing date of each acquisition. Our acquisition, divestiture and capital expansion activities are discussed further in “— Liquidity and Capital Resources.” Information regarding acquisitions completed in 2017, 2016 and 2015 is set forth in the table below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Acquisition</w:t>
            </w:r>
          </w:p>
        </w:tc>
        <w:tc>
          <w:tcPr>
            <w:tcW w:w="120" w:type="dxa"/>
            <w:vAlign w:val="bottom"/>
            <w:vMerge w:val="restart"/>
          </w:tcPr>
          <w:p>
            <w:pPr>
              <w:spacing w:after="0"/>
              <w:rPr>
                <w:sz w:val="14"/>
                <w:szCs w:val="14"/>
                <w:color w:val="auto"/>
              </w:rPr>
            </w:pPr>
          </w:p>
        </w:tc>
        <w:tc>
          <w:tcPr>
            <w:tcW w:w="1720" w:type="dxa"/>
            <w:vAlign w:val="bottom"/>
            <w:gridSpan w:val="2"/>
          </w:tcPr>
          <w:p>
            <w:pPr>
              <w:ind w:left="540"/>
              <w:spacing w:after="0"/>
              <w:rPr>
                <w:sz w:val="20"/>
                <w:szCs w:val="20"/>
                <w:color w:val="auto"/>
              </w:rPr>
            </w:pPr>
            <w:r>
              <w:rPr>
                <w:rFonts w:ascii="Arial" w:cs="Arial" w:eastAsia="Arial" w:hAnsi="Arial"/>
                <w:sz w:val="14"/>
                <w:szCs w:val="14"/>
                <w:b w:val="1"/>
                <w:bCs w:val="1"/>
                <w:color w:val="auto"/>
              </w:rPr>
              <w:t>Effective</w:t>
            </w:r>
          </w:p>
        </w:tc>
        <w:tc>
          <w:tcPr>
            <w:tcW w:w="26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Pr>
          <w:p>
            <w:pPr>
              <w:spacing w:after="0"/>
              <w:rPr>
                <w:sz w:val="14"/>
                <w:szCs w:val="14"/>
                <w:color w:val="auto"/>
              </w:rPr>
            </w:pPr>
          </w:p>
        </w:tc>
        <w:tc>
          <w:tcPr>
            <w:tcW w:w="30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2017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Canada NGL Assets</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2016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2015 Total</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vMerge w:val="restart"/>
          </w:tcPr>
          <w:p>
            <w:pPr>
              <w:jc w:val="right"/>
              <w:ind w:right="77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2017 projects primarily included the construction and expansion of pipeline systems and storage and terminal facilities. The following table summarizes our 2017, 2016 and 2015 projects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Permian Basin Area Projects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470</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Fort Saskatchewan Facility Projects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STACK JV Projects </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Eagle Ford JV Projects </w:t>
            </w:r>
            <w:r>
              <w:rPr>
                <w:rFonts w:ascii="Arial" w:cs="Arial" w:eastAsia="Arial" w:hAnsi="Arial"/>
                <w:sz w:val="25"/>
                <w:szCs w:val="25"/>
                <w:color w:val="auto"/>
                <w:vertAlign w:val="superscript"/>
              </w:rPr>
              <w:t>(2) (4)</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 James Terminal Expansions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7260" w:type="dxa"/>
            <w:vAlign w:val="bottom"/>
            <w:gridSpan w:val="2"/>
          </w:tcPr>
          <w:p>
            <w:pPr>
              <w:ind w:left="40"/>
              <w:spacing w:after="0"/>
              <w:rPr>
                <w:sz w:val="20"/>
                <w:szCs w:val="20"/>
                <w:color w:val="auto"/>
              </w:rPr>
            </w:pPr>
            <w:r>
              <w:rPr>
                <w:rFonts w:ascii="Arial" w:cs="Arial" w:eastAsia="Arial" w:hAnsi="Arial"/>
                <w:sz w:val="18"/>
                <w:szCs w:val="18"/>
                <w:color w:val="auto"/>
              </w:rPr>
              <w:t>Red River Pipeline</w:t>
            </w: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Cactus I Pipeline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Saddlehorn Pipeline </w:t>
            </w:r>
            <w:r>
              <w:rPr>
                <w:rFonts w:ascii="Arial" w:cs="Arial" w:eastAsia="Arial" w:hAnsi="Arial"/>
                <w:sz w:val="25"/>
                <w:szCs w:val="25"/>
                <w:color w:val="auto"/>
                <w:vertAlign w:val="superscript"/>
              </w:rPr>
              <w:t>(5)</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0"/>
        </w:trPr>
        <w:tc>
          <w:tcPr>
            <w:tcW w:w="7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r>
      <w:tr>
        <w:trPr>
          <w:trHeight w:val="237"/>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2,170</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interest in Diamond Pipeline LLC.</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These projects will continue into 2018. See “—Liquidity and Capital Resources—Acquisitions, Investments, Expansion Capital Expenditures and Divestitures —2018 Capital Projects.”</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interest in STACK Pipeline LLC.</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interest in Eagle Ford Pipeline and our 50% interest in Eagle Ford Terminals.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40% interest in Saddlehorn Pipeline.</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recent expansion capital programs were primarily driven by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Substantially all of the expansion capital spent in the years presented was invested in our fee-based Transportation and Facilities segments.</w:t>
      </w:r>
    </w:p>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We currently expect to spend approximately $1.4 billion for expansion capital in 2018. See “—Liquidity and Capital Resources—Acquisitions, Investments, Expansion Capital Expenditures and Divestitures —2018 Capital Projects” and “Outlook—Market Overview and Outlook”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During 2016, we initiated a program to evaluate potential sales of non-core assets and/or sales of partial interests in assets to strategic joint venture partners to optimize our asset portfolio and strengthen our balance sheet and leverage metrics. Information regarding non-core asset sales completed since 2016 is set forth in the table below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956"/>
              <w:spacing w:after="0"/>
              <w:rPr>
                <w:sz w:val="20"/>
                <w:szCs w:val="20"/>
                <w:color w:val="auto"/>
              </w:rPr>
            </w:pPr>
            <w:r>
              <w:rPr>
                <w:rFonts w:ascii="Arial" w:cs="Arial" w:eastAsia="Arial" w:hAnsi="Arial"/>
                <w:sz w:val="14"/>
                <w:szCs w:val="14"/>
                <w:b w:val="1"/>
                <w:bCs w:val="1"/>
                <w:color w:val="auto"/>
              </w:rPr>
              <w:t>Proceeds</w:t>
            </w:r>
          </w:p>
        </w:tc>
        <w:tc>
          <w:tcPr>
            <w:tcW w:w="440" w:type="dxa"/>
            <w:vAlign w:val="bottom"/>
            <w:tcBorders>
              <w:bottom w:val="single" w:sz="8" w:color="CCEEFF"/>
            </w:tcBorders>
          </w:tcPr>
          <w:p>
            <w:pPr>
              <w:spacing w:after="0"/>
              <w:rPr>
                <w:sz w:val="16"/>
                <w:szCs w:val="16"/>
                <w:color w:val="auto"/>
              </w:rPr>
            </w:pPr>
          </w:p>
        </w:tc>
      </w:tr>
      <w:tr>
        <w:trPr>
          <w:trHeight w:val="263"/>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2017 Total</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1,083</w:t>
            </w: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2016 Total</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569</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5620" w:right="3800" w:hanging="5612"/>
        <w:spacing w:after="0" w:line="716" w:lineRule="auto"/>
        <w:tabs>
          <w:tab w:leader="none" w:pos="652"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Net of amounts paid for the remaining interest in a non-core pipeline that was subsequently sold. 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w:t>
      </w:r>
    </w:p>
    <w:p>
      <w:pPr>
        <w:ind w:right="40" w:firstLine="8"/>
        <w:spacing w:after="0" w:line="271" w:lineRule="auto"/>
        <w:tabs>
          <w:tab w:leader="none" w:pos="30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accruals and contingent liabilities, (v) equity-indexed compensation plan accruals, (vi) property and equipment, depreciation and amortization expense, asset retirement obligations and impairments,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7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Fair Value of Assets and Liabilities Acquired and Identification of Associated Goodwill and Intangible Assets. </w:t>
      </w:r>
      <w:r>
        <w:rPr>
          <w:rFonts w:ascii="Arial" w:cs="Arial" w:eastAsia="Arial" w:hAnsi="Arial"/>
          <w:sz w:val="17"/>
          <w:szCs w:val="17"/>
          <w:color w:val="auto"/>
        </w:rPr>
        <w:t>In accordance with FASB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With exception to acquisitions of equity method investments, we also expense the transaction costs as incurred in connection with each acquisition. In addition, we are required to recognize intangible assets separately from goodwill.</w:t>
      </w:r>
    </w:p>
    <w:p>
      <w:pPr>
        <w:spacing w:after="0" w:line="17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Impairment Assessments of Goodwill and Intangible Assets. </w:t>
      </w:r>
      <w:r>
        <w:rPr>
          <w:rFonts w:ascii="Arial" w:cs="Arial" w:eastAsia="Arial" w:hAnsi="Arial"/>
          <w:sz w:val="18"/>
          <w:szCs w:val="18"/>
          <w:color w:val="auto"/>
        </w:rPr>
        <w:t>Goodwill and intangible assets with indefinite lives are not amortized but are instead</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assessed for impairment. See Note 7 to our Consolidated Financial Statements for further discussion of goodwill. Intangible assets with finite lives are amortized over their estimated useful life as determined by management.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 factors in the area and potential future sources of cash flow.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in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79" w:lineRule="exact"/>
        <w:rPr>
          <w:sz w:val="20"/>
          <w:szCs w:val="20"/>
          <w:color w:val="auto"/>
        </w:rPr>
      </w:pPr>
    </w:p>
    <w:p>
      <w:pPr>
        <w:ind w:right="800" w:firstLine="648"/>
        <w:spacing w:after="0" w:line="264" w:lineRule="auto"/>
        <w:rPr>
          <w:sz w:val="20"/>
          <w:szCs w:val="20"/>
          <w:color w:val="auto"/>
        </w:rPr>
      </w:pPr>
      <w:r>
        <w:rPr>
          <w:rFonts w:ascii="Arial" w:cs="Arial" w:eastAsia="Arial" w:hAnsi="Arial"/>
          <w:sz w:val="18"/>
          <w:szCs w:val="18"/>
          <w:color w:val="auto"/>
        </w:rPr>
        <w:t>We also have embedded derivatives in PAA’s Series A preferred units that are recorded at fair value on our Consolidated Balance Sheets. These embedded derivatives are valued using a model that contains inputs, including PAA common unit price, ten-year U.S. Treasury rates, default probabilities and timing estimates, which involve management judgment.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Although the resolution of these uncertainties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Equity-Indexed Compensation Plan Accruals. </w:t>
      </w:r>
      <w:r>
        <w:rPr>
          <w:rFonts w:ascii="Arial" w:cs="Arial" w:eastAsia="Arial" w:hAnsi="Arial"/>
          <w:sz w:val="18"/>
          <w:szCs w:val="18"/>
          <w:color w:val="auto"/>
        </w:rPr>
        <w:t>We accrue compensation expense (referred to herein as equity-indexed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future distribution levels and whether or not a performance condition will be attained. In addition, the unit price at the end of each period (and at the time of vesting) will impact the amount of compensation expense recorded in each period for certain awards. We cannot provide assurance that the actual fair value of our equity-indexed compensation awards will not vary significantly from estimated amounts.</w:t>
      </w:r>
    </w:p>
    <w:p>
      <w:pPr>
        <w:spacing w:after="0" w:line="19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recognized equity-indexed compensation expense of $41 million, $60 million and $27 million in 2017, 2016 and 2015, respectively, related to awards granted under our various equity-indexed compensation plans. A hypothetical variance of 5% in our aggregate estimate for the equity-indexed compensation expense would have an impact on our total costs and expenses of less than 1%. See Note 16 to our Consolidated Financial Statements for a discussion regarding our equity-indexed compensation plans.</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 xml:space="preserve">Property and Equipment, Depreciation and Amortization Expense, Asset Retirement Obligations and Impairments. </w:t>
      </w:r>
      <w:r>
        <w:rPr>
          <w:rFonts w:ascii="Arial" w:cs="Arial" w:eastAsia="Arial" w:hAnsi="Arial"/>
          <w:sz w:val="16"/>
          <w:szCs w:val="16"/>
          <w:color w:val="auto"/>
        </w:rPr>
        <w:t>We compute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295"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discussed in the “—Outlook— Market Overview and Outlook” section below, the downturn in the crude oil industry that started in mid-to-late 2014 has adversely impacted most companies in the midstream industry, including us. As a result of such market conditions, during 2017 and 2016, we recognized approximately $152 million and $80 million, respectively, of non-cash charges related to the write-down of certain of our long-lived rail and other terminal assets included in our Facilities segment due to asset impairments and accelerated depreciation. Despite the modest recovery in crude oil prices at the end of 2017 and early 2018, we continue to monitor appropriate indicators of potential impairment.</w:t>
      </w:r>
    </w:p>
    <w:p>
      <w:pPr>
        <w:spacing w:after="0" w:line="17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did not recognize any material impairment of long-lived assets during the year ended December 31, 2015. See Note 5 to our Consolidated Financial Statements for further discussion regarding impairments.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2017, 2016 and 2015)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Inventory Valuations. </w:t>
      </w:r>
      <w:r>
        <w:rPr>
          <w:rFonts w:ascii="Arial" w:cs="Arial" w:eastAsia="Arial" w:hAnsi="Arial"/>
          <w:sz w:val="17"/>
          <w:szCs w:val="17"/>
          <w:color w:val="auto"/>
        </w:rPr>
        <w:t>Inventory, including long-term inventory, primarily consists of crude oil, NGL and natural gas and is valued at the lower of</w:t>
      </w:r>
      <w:r>
        <w:rPr>
          <w:rFonts w:ascii="Arial" w:cs="Arial" w:eastAsia="Arial" w:hAnsi="Arial"/>
          <w:sz w:val="17"/>
          <w:szCs w:val="17"/>
          <w:i w:val="1"/>
          <w:iCs w:val="1"/>
          <w:color w:val="auto"/>
        </w:rPr>
        <w:t xml:space="preserve"> </w:t>
      </w:r>
      <w:r>
        <w:rPr>
          <w:rFonts w:ascii="Arial" w:cs="Arial" w:eastAsia="Arial" w:hAnsi="Arial"/>
          <w:sz w:val="17"/>
          <w:szCs w:val="17"/>
          <w:color w:val="auto"/>
        </w:rPr>
        <w:t>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2017, 2016 and 2015, we recorded charges of $35 million, $3 million and $117 million, respectively, related to the valuation adjustment of our crude oil, NGL and natural gas inventory due to declines in prices. See Note 4 to our Consolidated Financial Statements for further discussion regarding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 including the impact of our adoption of revised employee share-based payment accounting guidance on prior period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2017-2016</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2016-2015</w:t>
            </w:r>
          </w:p>
        </w:tc>
        <w:tc>
          <w:tcPr>
            <w:tcW w:w="660" w:type="dxa"/>
            <w:vAlign w:val="bottom"/>
            <w:tcBorders>
              <w:bottom w:val="single" w:sz="8" w:color="auto"/>
            </w:tcBorders>
          </w:tcPr>
          <w:p>
            <w:pPr>
              <w:spacing w:after="0"/>
              <w:rPr>
                <w:sz w:val="22"/>
                <w:szCs w:val="22"/>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3"/>
              </w:rPr>
              <w:t>2015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Transportation segment adjusted EBITDA </w:t>
            </w:r>
            <w:r>
              <w:rPr>
                <w:rFonts w:ascii="Arial" w:cs="Arial" w:eastAsia="Arial" w:hAnsi="Arial"/>
                <w:sz w:val="25"/>
                <w:szCs w:val="25"/>
                <w:color w:val="auto"/>
                <w:w w:val="99"/>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1,056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adjusted</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57"/>
        </w:trPr>
        <w:tc>
          <w:tcPr>
            <w:tcW w:w="36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568</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62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general and</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Net income/(loss)</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income/(loss) attributable to PAGP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3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w w:val="94"/>
              </w:rPr>
              <w:t>Basic and diluted net income/(loss) per Class A</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Class A</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740" w:hanging="651"/>
        <w:spacing w:after="0"/>
        <w:tabs>
          <w:tab w:leader="none" w:pos="7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rFonts w:ascii="Arial" w:cs="Arial" w:eastAsia="Arial" w:hAnsi="Arial"/>
          <w:sz w:val="18"/>
          <w:szCs w:val="18"/>
          <w:color w:val="auto"/>
        </w:rPr>
      </w:pPr>
    </w:p>
    <w:p>
      <w:pPr>
        <w:ind w:left="640" w:right="180" w:hanging="632"/>
        <w:spacing w:after="0" w:line="232" w:lineRule="auto"/>
        <w:tabs>
          <w:tab w:leader="none" w:pos="64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19 to our Consolidated Financial Statements for additional discussion of such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2332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125" w:right="4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our non-GAAP financial performance measure from Net Income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2017-2016</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2016-2015</w:t>
            </w:r>
          </w:p>
        </w:tc>
        <w:tc>
          <w:tcPr>
            <w:tcW w:w="640" w:type="dxa"/>
            <w:vAlign w:val="bottom"/>
            <w:tcBorders>
              <w:bottom w:val="single" w:sz="8" w:color="auto"/>
            </w:tcBorders>
          </w:tcPr>
          <w:p>
            <w:pPr>
              <w:spacing w:after="0"/>
              <w:rPr>
                <w:sz w:val="22"/>
                <w:szCs w:val="22"/>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080" w:type="dxa"/>
            <w:vAlign w:val="bottom"/>
          </w:tcPr>
          <w:p>
            <w:pPr>
              <w:ind w:left="180"/>
              <w:spacing w:after="0"/>
              <w:rPr>
                <w:sz w:val="20"/>
                <w:szCs w:val="20"/>
                <w:color w:val="auto"/>
              </w:rPr>
            </w:pPr>
            <w:r>
              <w:rPr>
                <w:rFonts w:ascii="Arial" w:cs="Arial" w:eastAsia="Arial" w:hAnsi="Arial"/>
                <w:sz w:val="18"/>
                <w:szCs w:val="18"/>
                <w:color w:val="auto"/>
              </w:rPr>
              <w:t>Depreciation and amortization of unconsolidated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7"/>
        </w:trPr>
        <w:tc>
          <w:tcPr>
            <w:tcW w:w="4080" w:type="dxa"/>
            <w:vAlign w:val="bottom"/>
          </w:tcPr>
          <w:p>
            <w:pPr>
              <w:ind w:left="340"/>
              <w:spacing w:after="0" w:line="257" w:lineRule="exact"/>
              <w:rPr>
                <w:sz w:val="20"/>
                <w:szCs w:val="20"/>
                <w:color w:val="auto"/>
              </w:rPr>
            </w:pPr>
            <w:r>
              <w:rPr>
                <w:rFonts w:ascii="Arial" w:cs="Arial" w:eastAsia="Arial" w:hAnsi="Arial"/>
                <w:sz w:val="18"/>
                <w:szCs w:val="18"/>
                <w:color w:val="auto"/>
              </w:rPr>
              <w:t xml:space="preserve">entities </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Selected Items Impacting Comparability - Adjusted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29"/>
        </w:trPr>
        <w:tc>
          <w:tcPr>
            <w:tcW w:w="4080" w:type="dxa"/>
            <w:vAlign w:val="bottom"/>
          </w:tcPr>
          <w:p>
            <w:pPr>
              <w:ind w:left="340"/>
              <w:spacing w:after="0"/>
              <w:rPr>
                <w:sz w:val="20"/>
                <w:szCs w:val="20"/>
                <w:color w:val="auto"/>
              </w:rPr>
            </w:pPr>
            <w:r>
              <w:rPr>
                <w:rFonts w:ascii="Arial" w:cs="Arial" w:eastAsia="Arial" w:hAnsi="Arial"/>
                <w:sz w:val="18"/>
                <w:szCs w:val="18"/>
                <w:color w:val="auto"/>
              </w:rPr>
              <w:t>(Gains)/losses from derivative activities net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7"/>
        </w:trPr>
        <w:tc>
          <w:tcPr>
            <w:tcW w:w="408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tcPr>
          <w:p>
            <w:pPr>
              <w:ind w:left="34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7"/>
        </w:trPr>
        <w:tc>
          <w:tcPr>
            <w:tcW w:w="408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tcPr>
          <w:p>
            <w:pPr>
              <w:ind w:left="340"/>
              <w:spacing w:after="0" w:line="270" w:lineRule="exact"/>
              <w:rPr>
                <w:sz w:val="20"/>
                <w:szCs w:val="20"/>
                <w:color w:val="auto"/>
              </w:rPr>
            </w:pPr>
            <w:r>
              <w:rPr>
                <w:rFonts w:ascii="Arial" w:cs="Arial" w:eastAsia="Arial" w:hAnsi="Arial"/>
                <w:sz w:val="18"/>
                <w:szCs w:val="18"/>
                <w:color w:val="auto"/>
                <w:w w:val="94"/>
              </w:rPr>
              <w:t xml:space="preserve">Net (gain)/loss on foreign currency revaluation </w:t>
            </w:r>
            <w:r>
              <w:rPr>
                <w:rFonts w:ascii="Arial" w:cs="Arial" w:eastAsia="Arial" w:hAnsi="Arial"/>
                <w:sz w:val="25"/>
                <w:szCs w:val="25"/>
                <w:color w:val="auto"/>
                <w:w w:val="94"/>
                <w:vertAlign w:val="superscript"/>
              </w:rPr>
              <w:t>(6)</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tcPr>
          <w:p>
            <w:pPr>
              <w:ind w:left="3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Selected Items Impacting Comparability - segment</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7"/>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tcPr>
          <w:p>
            <w:pPr>
              <w:ind w:left="340"/>
              <w:spacing w:after="0" w:line="270"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w w:val="94"/>
              </w:rPr>
              <w:t xml:space="preserve">Net (gain)/loss on foreign currency revaluation </w:t>
            </w:r>
            <w:r>
              <w:rPr>
                <w:rFonts w:ascii="Arial" w:cs="Arial" w:eastAsia="Arial" w:hAnsi="Arial"/>
                <w:sz w:val="25"/>
                <w:szCs w:val="25"/>
                <w:color w:val="auto"/>
                <w:w w:val="94"/>
                <w:vertAlign w:val="superscript"/>
              </w:rPr>
              <w:t>(6)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tcPr>
          <w:p>
            <w:pPr>
              <w:ind w:left="340"/>
              <w:spacing w:after="0"/>
              <w:rPr>
                <w:sz w:val="20"/>
                <w:szCs w:val="20"/>
                <w:color w:val="auto"/>
              </w:rPr>
            </w:pPr>
            <w:r>
              <w:rPr>
                <w:rFonts w:ascii="Arial" w:cs="Arial" w:eastAsia="Arial" w:hAnsi="Arial"/>
                <w:sz w:val="18"/>
                <w:szCs w:val="18"/>
                <w:color w:val="auto"/>
              </w:rPr>
              <w:t>Net loss on early repayment of senior</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7"/>
        </w:trPr>
        <w:tc>
          <w:tcPr>
            <w:tcW w:w="408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5"/>
                <w:szCs w:val="25"/>
                <w:color w:val="auto"/>
                <w:vertAlign w:val="superscript"/>
              </w:rPr>
              <w:t>(9)</w:t>
            </w: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Selected Items Impacting Comparability - Adjusted</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57"/>
        </w:trPr>
        <w:tc>
          <w:tcPr>
            <w:tcW w:w="408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(10)</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4"/>
        </w:trPr>
        <w:tc>
          <w:tcPr>
            <w:tcW w:w="408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2,210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60" w:hanging="652"/>
        <w:spacing w:after="0" w:line="226" w:lineRule="auto"/>
        <w:tabs>
          <w:tab w:leader="none" w:pos="66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and losses on significant asset sales of such unconsolidated entities when reviewing Adjusted EBITDA, similar to our consolidated assets.</w:t>
      </w:r>
    </w:p>
    <w:p>
      <w:pPr>
        <w:spacing w:after="0" w:line="95" w:lineRule="exact"/>
        <w:rPr>
          <w:rFonts w:ascii="Arial" w:cs="Arial" w:eastAsia="Arial" w:hAnsi="Arial"/>
          <w:sz w:val="25"/>
          <w:szCs w:val="25"/>
          <w:color w:val="auto"/>
          <w:vertAlign w:val="superscript"/>
        </w:rPr>
      </w:pPr>
    </w:p>
    <w:p>
      <w:pPr>
        <w:ind w:left="660" w:right="40" w:hanging="652"/>
        <w:spacing w:after="0" w:line="257" w:lineRule="auto"/>
        <w:tabs>
          <w:tab w:leader="none" w:pos="660"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12 to our Consolidated Financial Statements for a comprehensive discussion regarding our derivatives and risk management activities and our Preferred Distribution Rate Reset Option.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line="253" w:lineRule="auto"/>
        <w:tabs>
          <w:tab w:leader="none" w:pos="66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for additional inventory disclosures.</w:t>
      </w:r>
    </w:p>
    <w:p>
      <w:pPr>
        <w:spacing w:after="0" w:line="83" w:lineRule="exact"/>
        <w:rPr>
          <w:rFonts w:ascii="Arial" w:cs="Arial" w:eastAsia="Arial" w:hAnsi="Arial"/>
          <w:sz w:val="24"/>
          <w:szCs w:val="24"/>
          <w:color w:val="auto"/>
          <w:vertAlign w:val="superscript"/>
        </w:rPr>
      </w:pPr>
    </w:p>
    <w:p>
      <w:pPr>
        <w:ind w:left="660" w:hanging="652"/>
        <w:spacing w:after="0" w:line="277" w:lineRule="auto"/>
        <w:tabs>
          <w:tab w:leader="none" w:pos="66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 Amounts for years prior to 2016 were not significant.</w:t>
      </w:r>
    </w:p>
    <w:p>
      <w:pPr>
        <w:spacing w:after="0" w:line="69" w:lineRule="exact"/>
        <w:rPr>
          <w:rFonts w:ascii="Arial" w:cs="Arial" w:eastAsia="Arial" w:hAnsi="Arial"/>
          <w:sz w:val="22"/>
          <w:szCs w:val="22"/>
          <w:color w:val="auto"/>
          <w:vertAlign w:val="superscript"/>
        </w:rPr>
      </w:pPr>
    </w:p>
    <w:p>
      <w:pPr>
        <w:ind w:left="660" w:right="20" w:hanging="652"/>
        <w:spacing w:after="0" w:line="254" w:lineRule="auto"/>
        <w:tabs>
          <w:tab w:leader="none" w:pos="66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PAA common units. The portion of compensation expense associated with awards that are certain to be settled in cash is not considered a selected item impacting comparability. See Note 16 to our Consolidated Financial Statements for a comprehensive discussion regarding our equity-indexed compensation plans.</w:t>
      </w:r>
    </w:p>
    <w:p>
      <w:pPr>
        <w:spacing w:after="0" w:line="87" w:lineRule="exact"/>
        <w:rPr>
          <w:rFonts w:ascii="Arial" w:cs="Arial" w:eastAsia="Arial" w:hAnsi="Arial"/>
          <w:sz w:val="24"/>
          <w:szCs w:val="24"/>
          <w:color w:val="auto"/>
          <w:vertAlign w:val="superscript"/>
        </w:rPr>
      </w:pPr>
    </w:p>
    <w:p>
      <w:pPr>
        <w:ind w:left="660" w:right="80" w:hanging="652"/>
        <w:spacing w:after="0" w:line="262" w:lineRule="auto"/>
        <w:tabs>
          <w:tab w:leader="none" w:pos="66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During the periods presented, there were fluctuations in the value of the Canadian dollar (“CAD”) to the U.S. dollar (“USD”), resulting in gains and losses that were not related to our core operating results for the period and were thus classified as a selected item impacting comparability. See Note 12 to our Consolidated Financial Statements for discussion regarding our currency exchange rate risk hedging activities.</w:t>
      </w:r>
    </w:p>
    <w:p>
      <w:pPr>
        <w:spacing w:after="0" w:line="78" w:lineRule="exact"/>
        <w:rPr>
          <w:rFonts w:ascii="Arial" w:cs="Arial" w:eastAsia="Arial" w:hAnsi="Arial"/>
          <w:sz w:val="22"/>
          <w:szCs w:val="22"/>
          <w:color w:val="auto"/>
          <w:vertAlign w:val="superscript"/>
        </w:rPr>
      </w:pPr>
    </w:p>
    <w:p>
      <w:pPr>
        <w:ind w:left="660" w:right="240" w:hanging="652"/>
        <w:spacing w:after="0" w:line="252" w:lineRule="auto"/>
        <w:tabs>
          <w:tab w:leader="none" w:pos="66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Includes costs recognized during the period related to the Line 901 incident that occurred in May 2015, net of amounts we believe are probable of recovery from insurance. See Note 17 to our Consolidated Financial Statements for additional information regarding the Line 901 incident.</w:t>
      </w:r>
    </w:p>
    <w:p>
      <w:pPr>
        <w:spacing w:after="0" w:line="81" w:lineRule="exact"/>
        <w:rPr>
          <w:rFonts w:ascii="Arial" w:cs="Arial" w:eastAsia="Arial" w:hAnsi="Arial"/>
          <w:sz w:val="22"/>
          <w:szCs w:val="22"/>
          <w:color w:val="auto"/>
          <w:vertAlign w:val="superscript"/>
        </w:rPr>
      </w:pPr>
    </w:p>
    <w:p>
      <w:pPr>
        <w:ind w:left="660" w:right="420" w:hanging="652"/>
        <w:spacing w:after="0" w:line="216"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to our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right="40" w:hanging="652"/>
        <w:spacing w:after="0" w:line="216"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Includes net losses incurred in connection with the early redemption of our (i) $600 million, 6.50% senior notes due May 2018 and (ii) $350 million, 8.75% senior notes due May 2019. See Note 10 to our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right="180" w:hanging="652"/>
        <w:spacing w:after="0" w:line="226"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comprised of net gains of $1 million, $2 million and $1 million for the years ended December 31, 2017, 2016 and 2015, respectively. Segment adjusted EBITDA does not include adjusted Other income/(expense), net.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 our core segment operating performance. See Note 19 to our Consolidated Financial Statements for a reconciliation of segment adjusted EBITDA to net income attributable to PAGP.</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each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Variance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7"/>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unconsolidated entities</w:t>
            </w: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9"/>
              </w:rPr>
              <w:t>Significant acquisition-related expenses</w:t>
            </w: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87</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Variance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80" w:type="dxa"/>
            <w:vAlign w:val="bottom"/>
            <w:gridSpan w:val="2"/>
            <w:vMerge w:val="continue"/>
          </w:tcPr>
          <w:p>
            <w:pPr>
              <w:spacing w:after="0"/>
              <w:rPr>
                <w:sz w:val="6"/>
                <w:szCs w:val="6"/>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Arial" w:cs="Arial" w:eastAsia="Arial" w:hAnsi="Arial"/>
                <w:sz w:val="18"/>
                <w:szCs w:val="18"/>
                <w:color w:val="auto"/>
              </w:rPr>
              <w:t>Gulf Coast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Arial" w:cs="Arial" w:eastAsia="Arial" w:hAnsi="Arial"/>
                <w:sz w:val="18"/>
                <w:szCs w:val="18"/>
                <w:color w:val="auto"/>
              </w:rPr>
              <w:t>Western</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4,453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64"/>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4"/>
        </w:numPr>
        <w:rPr>
          <w:rFonts w:ascii="Arial" w:cs="Arial" w:eastAsia="Arial" w:hAnsi="Arial"/>
          <w:sz w:val="24"/>
          <w:szCs w:val="24"/>
          <w:color w:val="auto"/>
          <w:vertAlign w:val="superscript"/>
        </w:rPr>
      </w:pPr>
      <w:r>
        <w:rPr>
          <w:rFonts w:ascii="Arial" w:cs="Arial" w:eastAsia="Arial" w:hAnsi="Arial"/>
          <w:sz w:val="17"/>
          <w:szCs w:val="17"/>
          <w:color w:val="auto"/>
        </w:rPr>
        <w:t>Average daily volumes are calculated as the total volumes (attributable to our interest) for the year divided by the number of days in the year.</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allowance volumes and actual losses at the estimated net realizable value (including the impact of gains and losses from derivative related activities) in the month of occurrence.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5"/>
              </w:rPr>
              <w:t>Favorable/(Unfavorable) Variance</w:t>
            </w:r>
          </w:p>
        </w:tc>
        <w:tc>
          <w:tcPr>
            <w:tcW w:w="160" w:type="dxa"/>
            <w:vAlign w:val="bottom"/>
          </w:tcPr>
          <w:p>
            <w:pPr>
              <w:spacing w:after="0"/>
              <w:rPr>
                <w:sz w:val="14"/>
                <w:szCs w:val="14"/>
                <w:color w:val="auto"/>
              </w:rPr>
            </w:pPr>
          </w:p>
        </w:tc>
        <w:tc>
          <w:tcPr>
            <w:tcW w:w="3060" w:type="dxa"/>
            <w:vAlign w:val="bottom"/>
            <w:gridSpan w:val="6"/>
          </w:tcPr>
          <w:p>
            <w:pPr>
              <w:jc w:val="center"/>
              <w:ind w:right="7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2017-2016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2016-2015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0"/>
              </w:rPr>
              <w:t>Revenues</w:t>
            </w:r>
          </w:p>
        </w:tc>
        <w:tc>
          <w:tcPr>
            <w:tcW w:w="120" w:type="dxa"/>
            <w:vAlign w:val="bottom"/>
            <w:vMerge w:val="restart"/>
          </w:tcPr>
          <w:p>
            <w:pPr>
              <w:spacing w:after="0"/>
              <w:rPr>
                <w:sz w:val="13"/>
                <w:szCs w:val="13"/>
                <w:color w:val="auto"/>
              </w:rPr>
            </w:pPr>
          </w:p>
        </w:tc>
        <w:tc>
          <w:tcPr>
            <w:tcW w:w="11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160" w:type="dxa"/>
            <w:vAlign w:val="bottom"/>
          </w:tcPr>
          <w:p>
            <w:pPr>
              <w:spacing w:after="0"/>
              <w:rPr>
                <w:sz w:val="13"/>
                <w:szCs w:val="13"/>
                <w:color w:val="auto"/>
              </w:rPr>
            </w:pPr>
          </w:p>
        </w:tc>
        <w:tc>
          <w:tcPr>
            <w:tcW w:w="10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3"/>
                <w:szCs w:val="13"/>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0"/>
              </w:rPr>
              <w:t>Revenues</w:t>
            </w:r>
          </w:p>
        </w:tc>
        <w:tc>
          <w:tcPr>
            <w:tcW w:w="120" w:type="dxa"/>
            <w:vAlign w:val="bottom"/>
            <w:vMerge w:val="restart"/>
          </w:tcPr>
          <w:p>
            <w:pPr>
              <w:spacing w:after="0"/>
              <w:rPr>
                <w:sz w:val="13"/>
                <w:szCs w:val="13"/>
                <w:color w:val="auto"/>
              </w:rPr>
            </w:pPr>
          </w:p>
        </w:tc>
        <w:tc>
          <w:tcPr>
            <w:tcW w:w="10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180" w:type="dxa"/>
            <w:vAlign w:val="bottom"/>
          </w:tcPr>
          <w:p>
            <w:pPr>
              <w:spacing w:after="0"/>
              <w:rPr>
                <w:sz w:val="13"/>
                <w:szCs w:val="13"/>
                <w:color w:val="auto"/>
              </w:rPr>
            </w:pPr>
          </w:p>
        </w:tc>
        <w:tc>
          <w:tcPr>
            <w:tcW w:w="8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 / Eagle Ford region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Central region</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Gulf Coast region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Rocky Mountain region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(including trucking and pipeline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loss allowance revenue)</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variance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00" w:hanging="324"/>
        <w:spacing w:after="0" w:line="273" w:lineRule="auto"/>
        <w:tabs>
          <w:tab w:leader="none" w:pos="980" w:val="left"/>
        </w:tabs>
        <w:numPr>
          <w:ilvl w:val="0"/>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The increase in revenues for 2017 compared to 2016 was largely driven by (i) higher volumes on our Basin and Cactus</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which also favorably impacted volumes on our McCamey pipeline system, (ii) results from the ACC gathering system, which we acquired in February 2017, and (iii) higher volumes from increased production and new lease connections to our gathering systems in the Permian Basin. Equity earnings also increased in 2017 compared to 2016 due to higher earnings from our 50% interest in BridgeTex resulting from higher volumes in the 2017 period. These increases were partially offset by an increase in purchases and related costs for the year ended December 31, 2017 over the year ended December 31, 2016.</w:t>
      </w:r>
    </w:p>
    <w:p>
      <w:pPr>
        <w:spacing w:after="0" w:line="178" w:lineRule="exact"/>
        <w:rPr>
          <w:rFonts w:ascii="Arial" w:cs="Arial" w:eastAsia="Arial" w:hAnsi="Arial"/>
          <w:sz w:val="17"/>
          <w:szCs w:val="17"/>
          <w:i w:val="1"/>
          <w:iCs w:val="1"/>
          <w:color w:val="auto"/>
        </w:rPr>
      </w:pPr>
    </w:p>
    <w:p>
      <w:pPr>
        <w:jc w:val="both"/>
        <w:ind w:left="980" w:right="200"/>
        <w:spacing w:after="0" w:line="264" w:lineRule="auto"/>
        <w:rPr>
          <w:rFonts w:ascii="Arial" w:cs="Arial" w:eastAsia="Arial" w:hAnsi="Arial"/>
          <w:sz w:val="17"/>
          <w:szCs w:val="17"/>
          <w:i w:val="1"/>
          <w:iCs w:val="1"/>
          <w:color w:val="auto"/>
        </w:rPr>
      </w:pPr>
      <w:r>
        <w:rPr>
          <w:rFonts w:ascii="Arial" w:cs="Arial" w:eastAsia="Arial" w:hAnsi="Arial"/>
          <w:sz w:val="18"/>
          <w:szCs w:val="18"/>
          <w:color w:val="auto"/>
        </w:rPr>
        <w:t>The increase in revenues for 2016 compared to 2015 was primarily driven by (i) higher volumes associated with the expansion of our pipeline systems in the Delaware Basin, (ii) higher volumes on our takeaway pipelines and (iii) a full year of service of our Cactus pipeline, which was placed in service in April 2015.</w:t>
      </w:r>
    </w:p>
    <w:p>
      <w:pPr>
        <w:spacing w:after="0" w:line="181" w:lineRule="exact"/>
        <w:rPr>
          <w:rFonts w:ascii="Arial" w:cs="Arial" w:eastAsia="Arial" w:hAnsi="Arial"/>
          <w:sz w:val="17"/>
          <w:szCs w:val="17"/>
          <w:i w:val="1"/>
          <w:iCs w:val="1"/>
          <w:color w:val="auto"/>
        </w:rPr>
      </w:pPr>
    </w:p>
    <w:p>
      <w:pPr>
        <w:ind w:left="980" w:right="560" w:hanging="324"/>
        <w:spacing w:after="0" w:line="277" w:lineRule="auto"/>
        <w:tabs>
          <w:tab w:leader="none" w:pos="9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increased in 2017 compared to 2016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volumes from our Cactus pipeline.</w:t>
      </w:r>
    </w:p>
    <w:p>
      <w:pPr>
        <w:spacing w:after="0" w:line="170" w:lineRule="exact"/>
        <w:rPr>
          <w:rFonts w:ascii="Arial" w:cs="Arial" w:eastAsia="Arial" w:hAnsi="Arial"/>
          <w:sz w:val="18"/>
          <w:szCs w:val="18"/>
          <w:i w:val="1"/>
          <w:iCs w:val="1"/>
          <w:color w:val="auto"/>
        </w:rPr>
      </w:pPr>
    </w:p>
    <w:p>
      <w:pPr>
        <w:ind w:left="980" w:hanging="324"/>
        <w:spacing w:after="0" w:line="257" w:lineRule="auto"/>
        <w:tabs>
          <w:tab w:leader="none" w:pos="9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Revenues for the year ended December 31, 2017 were flat compared to the year ended December 31, 2016, as increases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start-up of our Red River pipeline in December 2016 were offset by (i) lower volumes on certain pipelines due to production declines and (ii) volumes shifting to our recently formed joint venture pipelines. The decrease in revenues for 2016 compared to 2015 was largely driven by lower volumes due to production declines in the Mid-Continent area, as well as the sale of 50% of our investment in STACK in August 2016, subsequent to which it was accounted for under the equity method of accounting.</w:t>
      </w:r>
    </w:p>
    <w:p>
      <w:pPr>
        <w:spacing w:after="0" w:line="188" w:lineRule="exact"/>
        <w:rPr>
          <w:rFonts w:ascii="Arial" w:cs="Arial" w:eastAsia="Arial" w:hAnsi="Arial"/>
          <w:sz w:val="18"/>
          <w:szCs w:val="18"/>
          <w:i w:val="1"/>
          <w:iCs w:val="1"/>
          <w:color w:val="auto"/>
        </w:rPr>
      </w:pPr>
    </w:p>
    <w:p>
      <w:pPr>
        <w:ind w:left="980" w:right="14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Equity earnings increased in 2017 compared to 2016 primarily due to earnings from (i) our 50% interest in STACK, which was formed in mid-2016 and which completed extensions of the joint venture pipeline in 2017, (ii) our 50% interest in Caddo, which placed the joint venture pipeline in service in late 2016, and (iii) our 50% interest in Diamond, which placed the joint venture pipeline in service in late 2017.</w:t>
      </w:r>
    </w:p>
    <w:p>
      <w:pPr>
        <w:spacing w:after="0" w:line="146" w:lineRule="exact"/>
        <w:rPr>
          <w:rFonts w:ascii="Arial" w:cs="Arial" w:eastAsia="Arial" w:hAnsi="Arial"/>
          <w:sz w:val="18"/>
          <w:szCs w:val="18"/>
          <w:i w:val="1"/>
          <w:iCs w:val="1"/>
          <w:color w:val="auto"/>
        </w:rPr>
      </w:pPr>
    </w:p>
    <w:p>
      <w:pPr>
        <w:jc w:val="both"/>
        <w:ind w:left="980" w:right="160" w:hanging="324"/>
        <w:spacing w:after="0" w:line="259" w:lineRule="auto"/>
        <w:tabs>
          <w:tab w:leader="none" w:pos="9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Revenues and volumes decreased for each of the comparative periods primarily due to the sale of certain of our Gulf Coast</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in March and July 2016. Such decreases were partially offset during 2016 as compared to 2015 by increased volumes on the Capline and Pascagoula pipelines, which were favorably impacted by higher refinery demand, but were at lower tariff rates than the pipelines that were sold.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0" w:hanging="324"/>
        <w:spacing w:after="0" w:line="293" w:lineRule="auto"/>
        <w:tabs>
          <w:tab w:leader="none" w:pos="98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Rocky Mountain region. </w:t>
      </w:r>
      <w:r>
        <w:rPr>
          <w:rFonts w:ascii="Arial" w:cs="Arial" w:eastAsia="Arial" w:hAnsi="Arial"/>
          <w:sz w:val="16"/>
          <w:szCs w:val="16"/>
          <w:color w:val="auto"/>
        </w:rPr>
        <w:t>The decrease in revenues in 2017 compared to 2016 was largely driven by (i) lower volumes on certain Salt Lake City</w:t>
      </w:r>
      <w:r>
        <w:rPr>
          <w:rFonts w:ascii="Arial" w:cs="Arial" w:eastAsia="Arial" w:hAnsi="Arial"/>
          <w:sz w:val="16"/>
          <w:szCs w:val="16"/>
          <w:i w:val="1"/>
          <w:iCs w:val="1"/>
          <w:color w:val="auto"/>
        </w:rPr>
        <w:t xml:space="preserve"> </w:t>
      </w:r>
      <w:r>
        <w:rPr>
          <w:rFonts w:ascii="Arial" w:cs="Arial" w:eastAsia="Arial" w:hAnsi="Arial"/>
          <w:sz w:val="16"/>
          <w:szCs w:val="16"/>
          <w:color w:val="auto"/>
        </w:rPr>
        <w:t>area pipelines due to proactively shutting down our Wahsatch pipeline for approximately 30 days during the first quarter of 2017 as a precautionary measure in response to indications of soil movement identified by our monitoring systems, (ii) the sale of certain Bakken and Salt Lake City area pipelines in October 2017 and (iii) the sale of 50% of our investment in Cheyenne in June 2016, subsequent to which it was accounted for under the equity method of accounting. The decrease in revenues for 2016 compared to 2015 was largely driven by (i) lower volumes due to production declines and increased competition and (ii) the sale of 50% of our investment in Cheyenne Pipeline.</w:t>
      </w:r>
    </w:p>
    <w:p>
      <w:pPr>
        <w:spacing w:after="0" w:line="164" w:lineRule="exact"/>
        <w:rPr>
          <w:rFonts w:ascii="Arial" w:cs="Arial" w:eastAsia="Arial" w:hAnsi="Arial"/>
          <w:sz w:val="16"/>
          <w:szCs w:val="16"/>
          <w:i w:val="1"/>
          <w:iCs w:val="1"/>
          <w:color w:val="auto"/>
        </w:rPr>
      </w:pPr>
    </w:p>
    <w:p>
      <w:pPr>
        <w:ind w:left="980" w:right="2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Equity earnings increased for each of the comparative periods due to earnings from (i) our 40% investment in Saddlehorn, which began operations in the third quarter of 2016, and (ii) our 50% investment in Cheyenne, as discussed above. Such increases were partially offset during 2017 as compared to 2016 by decreased equity earnings from our 35.67% interest in White Cliffs due to lower volumes on the joint venture pipeline.</w:t>
      </w:r>
    </w:p>
    <w:p>
      <w:pPr>
        <w:spacing w:after="0" w:line="186" w:lineRule="exact"/>
        <w:rPr>
          <w:rFonts w:ascii="Arial" w:cs="Arial" w:eastAsia="Arial" w:hAnsi="Arial"/>
          <w:sz w:val="16"/>
          <w:szCs w:val="16"/>
          <w:i w:val="1"/>
          <w:iCs w:val="1"/>
          <w:color w:val="auto"/>
        </w:rPr>
      </w:pPr>
    </w:p>
    <w:p>
      <w:pPr>
        <w:ind w:left="980" w:right="140" w:hanging="324"/>
        <w:spacing w:after="0" w:line="312" w:lineRule="auto"/>
        <w:tabs>
          <w:tab w:leader="none" w:pos="98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revenues variance for the year ended December 31, 2016 compared to the same 2015 period was primarily related to lower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loss allowance revenue due to a lower average realized price per barrel. The decrease in purchases and related costs for the year ended December 31, 2016 compared to the same 2015 period was due to lower trucking costs driven by lower contract services rates.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Adjustments: Deficiencies under minimum volume commitments, net. </w:t>
      </w:r>
      <w:r>
        <w:rPr>
          <w:rFonts w:ascii="Arial" w:cs="Arial" w:eastAsia="Arial" w:hAnsi="Arial"/>
          <w:sz w:val="18"/>
          <w:szCs w:val="18"/>
          <w:color w:val="auto"/>
        </w:rPr>
        <w:t>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2016 and 2017, as presented in the table above, we had net collections for deficiencies under minimum volume commitments resulting in deferred revenues and an increase to segment adjusted EBITDA. However, such net collections in 2017 were substantially offset by (i) shippers utilizing credits associated with previous deficiencies or (ii) credits expiring, which resulted in the recognition of previously deferred revenue. Such amounts were not material to periods prior to 2016 and, thus, are not included in the table for 2015.</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increased for the year ended December 31, 2017 compared to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estimated costs associated with the Line 901 incident (which impact our field operating costs but are excluded from segment adjusted EBITDA and thus are reflected as an “Adjustment” in the table above). See Note 17 to our Consolidated Financial Statements for additional information regarding the Line 901 incident. The increase in field operating costs was further driven by an increase in power costs resulting from higher volumes and incremental operating costs from the ACC gathering system acquisition in February 2017, partially offset by cost reduction efforts and decreased costs due to the sale of certain Gulf Coast pipelines in March and July 2016.</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decrease in field operating costs for the year ended December 31, 2016 compared to the year ended December 31, 2015 was primarily due to net estimated costs of $83 million recognized during 2015 associated with the Line 901 incident (which impact our field operating costs but are excluded from segment adjusted EBITDA and thus are reflected as an “Adjustment” in the table above). The decrease in field operating costs was further driven by lower utilities and maintenance costs, costs associated with a release of crude oil at a pump station in Illinois (the MP 29 release) during 2015, lower operating costs due to the sale of certain of our Gulf Coast pipelines in 2016, as noted above, and a favorable foreign exchange impact of $5 million, partially offset by an increase in insurance premiums.</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order to maintain the operating and/or earnings capacity of our existing assets. The decrease in maintenance capital for the year ended December 31, 2016 compared to the year ended December 31, 2015 was primarily driven by completion of several large projects in earlier years and lower third-party service costs.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Variance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Natural gas related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8"/>
              </w:rPr>
              <w:t>net of inventory valuation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commitments, net</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8"/>
              </w:rPr>
              <w:t>Net gain on foreign currency revaluation</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p>
      <w:pPr>
        <w:spacing w:after="0" w:line="63" w:lineRule="exact"/>
        <w:rPr>
          <w:sz w:val="20"/>
          <w:szCs w:val="20"/>
          <w:color w:val="auto"/>
        </w:rPr>
      </w:pPr>
    </w:p>
    <w:p>
      <w:pPr>
        <w:ind w:left="220" w:hanging="161"/>
        <w:spacing w:after="0" w:line="277" w:lineRule="auto"/>
        <w:rPr>
          <w:sz w:val="20"/>
          <w:szCs w:val="20"/>
          <w:color w:val="auto"/>
        </w:rPr>
      </w:pPr>
      <w:r>
        <w:rPr>
          <w:rFonts w:ascii="Arial" w:cs="Arial" w:eastAsia="Arial" w:hAnsi="Arial"/>
          <w:sz w:val="18"/>
          <w:szCs w:val="18"/>
          <w:color w:val="auto"/>
        </w:rPr>
        <w:t>Liquids storage (average monthly capacity in millions of barrels)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Natural gas storage (average</w:t>
      </w:r>
    </w:p>
    <w:p>
      <w:pPr>
        <w:spacing w:after="0" w:line="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 xml:space="preserve">monthly working capacity in billions of cubic feet) </w:t>
      </w:r>
      <w:r>
        <w:rPr>
          <w:rFonts w:ascii="Arial" w:cs="Arial" w:eastAsia="Arial" w:hAnsi="Arial"/>
          <w:sz w:val="25"/>
          <w:szCs w:val="25"/>
          <w:color w:val="auto"/>
          <w:vertAlign w:val="superscript"/>
        </w:rPr>
        <w:t>(5)</w:t>
      </w:r>
    </w:p>
    <w:p>
      <w:pPr>
        <w:spacing w:after="0" w:line="2" w:lineRule="exact"/>
        <w:rPr>
          <w:sz w:val="20"/>
          <w:szCs w:val="20"/>
          <w:color w:val="auto"/>
        </w:rPr>
      </w:pPr>
    </w:p>
    <w:p>
      <w:pPr>
        <w:ind w:left="220" w:right="420" w:hanging="161"/>
        <w:spacing w:after="0" w:line="306" w:lineRule="auto"/>
        <w:rPr>
          <w:sz w:val="20"/>
          <w:szCs w:val="20"/>
          <w:color w:val="auto"/>
        </w:rPr>
      </w:pPr>
      <w:r>
        <w:rPr>
          <w:rFonts w:ascii="Arial" w:cs="Arial" w:eastAsia="Arial" w:hAnsi="Arial"/>
          <w:sz w:val="16"/>
          <w:szCs w:val="16"/>
          <w:color w:val="auto"/>
        </w:rPr>
        <w:t>NGL fractionation (average volumes in thousands of barrels per day)</w:t>
      </w:r>
    </w:p>
    <w:p>
      <w:pPr>
        <w:spacing w:after="0" w:line="1" w:lineRule="exact"/>
        <w:rPr>
          <w:sz w:val="20"/>
          <w:szCs w:val="20"/>
          <w:color w:val="auto"/>
        </w:rPr>
      </w:pPr>
    </w:p>
    <w:p>
      <w:pPr>
        <w:jc w:val="right"/>
        <w:ind w:left="60" w:right="60"/>
        <w:spacing w:after="0" w:line="288" w:lineRule="auto"/>
        <w:rPr>
          <w:sz w:val="20"/>
          <w:szCs w:val="20"/>
          <w:color w:val="auto"/>
        </w:rPr>
      </w:pPr>
      <w:r>
        <w:rPr>
          <w:rFonts w:ascii="Arial" w:cs="Arial" w:eastAsia="Arial" w:hAnsi="Arial"/>
          <w:sz w:val="16"/>
          <w:szCs w:val="16"/>
          <w:color w:val="auto"/>
        </w:rPr>
        <w:t>Facilities segment total volumes (average monthly volumes in millions of barrels)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2332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Variance</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5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2016-2015</w:t>
            </w:r>
          </w:p>
        </w:tc>
        <w:tc>
          <w:tcPr>
            <w:tcW w:w="700" w:type="dxa"/>
            <w:vAlign w:val="bottom"/>
            <w:tcBorders>
              <w:bottom w:val="single" w:sz="8" w:color="auto"/>
            </w:tcBorders>
          </w:tcPr>
          <w:p>
            <w:pPr>
              <w:spacing w:after="0"/>
              <w:rPr>
                <w:sz w:val="22"/>
                <w:szCs w:val="22"/>
                <w:color w:val="auto"/>
              </w:rPr>
            </w:pPr>
          </w:p>
        </w:tc>
      </w:tr>
      <w:tr>
        <w:trPr>
          <w:trHeight w:val="264"/>
        </w:trPr>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Volumes</w:t>
            </w:r>
          </w:p>
        </w:tc>
        <w:tc>
          <w:tcPr>
            <w:tcW w:w="74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9"/>
              </w:rPr>
              <w:t>Volumes</w:t>
            </w:r>
          </w:p>
        </w:tc>
        <w:tc>
          <w:tcPr>
            <w:tcW w:w="70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r>
      <w:tr>
        <w:trPr>
          <w:trHeight w:val="445"/>
        </w:trPr>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15"/>
        </w:trPr>
        <w:tc>
          <w:tcPr>
            <w:tcW w:w="100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9"/>
        </w:trPr>
        <w:tc>
          <w:tcPr>
            <w:tcW w:w="1000" w:type="dxa"/>
            <w:vAlign w:val="bottom"/>
          </w:tcPr>
          <w:p>
            <w:pPr>
              <w:jc w:val="right"/>
              <w:ind w:right="3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48"/>
        </w:trPr>
        <w:tc>
          <w:tcPr>
            <w:tcW w:w="1000" w:type="dxa"/>
            <w:vAlign w:val="bottom"/>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-728345</wp:posOffset>
            </wp:positionV>
            <wp:extent cx="721233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30861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-1491615</wp:posOffset>
            </wp:positionV>
            <wp:extent cx="7212330"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20"/>
            <w:col w:w="8060"/>
          </w:cols>
          <w:pgMar w:left="240" w:top="125" w:right="239" w:bottom="1440" w:gutter="0" w:footer="0" w:header="0"/>
          <w:type w:val="continuous"/>
        </w:sectPr>
      </w:pP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2" w:lineRule="exact"/>
        <w:rPr>
          <w:rFonts w:ascii="Arial" w:cs="Arial" w:eastAsia="Arial" w:hAnsi="Arial"/>
          <w:sz w:val="24"/>
          <w:szCs w:val="24"/>
          <w:color w:val="auto"/>
          <w:vertAlign w:val="superscript"/>
        </w:rPr>
      </w:pPr>
    </w:p>
    <w:p>
      <w:pPr>
        <w:ind w:left="660" w:right="180"/>
        <w:spacing w:after="0" w:line="259" w:lineRule="auto"/>
        <w:rPr>
          <w:rFonts w:ascii="Arial" w:cs="Arial" w:eastAsia="Arial" w:hAnsi="Arial"/>
          <w:sz w:val="24"/>
          <w:szCs w:val="24"/>
          <w:color w:val="auto"/>
          <w:vertAlign w:val="superscript"/>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7" w:lineRule="exact"/>
        <w:rPr>
          <w:rFonts w:ascii="Arial" w:cs="Arial" w:eastAsia="Arial" w:hAnsi="Arial"/>
          <w:sz w:val="24"/>
          <w:szCs w:val="24"/>
          <w:color w:val="auto"/>
          <w:vertAlign w:val="superscript"/>
        </w:rPr>
      </w:pPr>
    </w:p>
    <w:p>
      <w:pPr>
        <w:ind w:left="660" w:right="640" w:hanging="652"/>
        <w:spacing w:after="0" w:line="216" w:lineRule="auto"/>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ectPr>
          <w:pgSz w:w="11900" w:h="16838" w:orient="portrait"/>
          <w:cols w:equalWidth="0" w:num="1">
            <w:col w:w="11420"/>
          </w:cols>
          <w:pgMar w:left="240" w:top="125" w:right="2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year divided by the number of months in the year.</w:t>
      </w:r>
    </w:p>
    <w:p>
      <w:pPr>
        <w:spacing w:after="0" w:line="98" w:lineRule="exact"/>
        <w:rPr>
          <w:rFonts w:ascii="Arial" w:cs="Arial" w:eastAsia="Arial" w:hAnsi="Arial"/>
          <w:sz w:val="25"/>
          <w:szCs w:val="25"/>
          <w:color w:val="auto"/>
          <w:vertAlign w:val="superscript"/>
        </w:rPr>
      </w:pPr>
    </w:p>
    <w:p>
      <w:pPr>
        <w:ind w:left="660" w:right="40" w:hanging="652"/>
        <w:spacing w:after="0" w:line="225"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in 2017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38" w:lineRule="auto"/>
        <w:tabs>
          <w:tab w:leader="none" w:pos="660" w:val="left"/>
        </w:tabs>
        <w:numPr>
          <w:ilvl w:val="0"/>
          <w:numId w:val="68"/>
        </w:numPr>
        <w:rPr>
          <w:rFonts w:ascii="Arial" w:cs="Arial" w:eastAsia="Arial" w:hAnsi="Arial"/>
          <w:sz w:val="24"/>
          <w:szCs w:val="24"/>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year and divided by the number of months in the year.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primarily driven by:</w:t>
      </w:r>
    </w:p>
    <w:p>
      <w:pPr>
        <w:spacing w:after="0" w:line="225" w:lineRule="exact"/>
        <w:rPr>
          <w:sz w:val="20"/>
          <w:szCs w:val="20"/>
          <w:color w:val="auto"/>
        </w:rPr>
      </w:pPr>
    </w:p>
    <w:p>
      <w:pPr>
        <w:ind w:left="660" w:right="40" w:hanging="328"/>
        <w:spacing w:after="0" w:line="273"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NGL Storage, NGL Fractionation and Canadian Gas Processing — Revenues increased by $99 million and $53 million, respectively, for the comparative periods presented primarily due to contributions from (i) the Western Canada NGL assets we acquired in August 2016, (ii) ongoing expansion projects at our Fort Saskatchewan facility, which have increased storage and fractionation capacity, and (iii) higher rates at certain of our NGL storage and fractionation facilities, which were largely incurred in our Supply and Logistics segment. The increased revenue for the year ended December 31, 2016 compared to the same period in 2015 was partially offset by unfavorable foreign exchange fluctuation impacts of $10 million, which were also largely offset in our Supply and Logistics segment results.</w:t>
      </w:r>
    </w:p>
    <w:p>
      <w:pPr>
        <w:spacing w:after="0" w:line="178" w:lineRule="exact"/>
        <w:rPr>
          <w:rFonts w:ascii="Arial" w:cs="Arial" w:eastAsia="Arial" w:hAnsi="Arial"/>
          <w:sz w:val="17"/>
          <w:szCs w:val="17"/>
          <w:color w:val="auto"/>
        </w:rPr>
      </w:pPr>
    </w:p>
    <w:p>
      <w:pPr>
        <w:ind w:left="660" w:right="60" w:hanging="328"/>
        <w:spacing w:after="0" w:line="31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Crude Oil Storage — Revenues for the year ended December 31, 2017 were relatively flat compared to the year ended December 31, 2016. Higher 2017 revenues from our Cushing terminal driven by increased terminal throughput and capacity expansions of approximately 2 million barrels were offset by (i) decreased utilization at certain of our Southern California terminals and (ii) the sale of certain of our East Coast terminals in April 2016.</w:t>
      </w:r>
    </w:p>
    <w:p>
      <w:pPr>
        <w:spacing w:after="0" w:line="1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For the year ended December 31, 2016, crude oil storage revenues increased by $24 million over the year ended December 31, 2015 primarily due to</w:t>
      </w:r>
    </w:p>
    <w:p>
      <w:pPr>
        <w:spacing w:after="0" w:line="46" w:lineRule="exact"/>
        <w:rPr>
          <w:rFonts w:ascii="Arial" w:cs="Arial" w:eastAsia="Arial" w:hAnsi="Arial"/>
          <w:sz w:val="16"/>
          <w:szCs w:val="16"/>
          <w:color w:val="auto"/>
        </w:rPr>
      </w:pPr>
    </w:p>
    <w:p>
      <w:pPr>
        <w:ind w:left="660" w:right="20"/>
        <w:spacing w:after="0" w:line="323" w:lineRule="auto"/>
        <w:rPr>
          <w:rFonts w:ascii="Arial" w:cs="Arial" w:eastAsia="Arial" w:hAnsi="Arial"/>
          <w:sz w:val="16"/>
          <w:szCs w:val="16"/>
          <w:color w:val="auto"/>
        </w:rPr>
      </w:pPr>
      <w:r>
        <w:rPr>
          <w:rFonts w:ascii="Arial" w:cs="Arial" w:eastAsia="Arial" w:hAnsi="Arial"/>
          <w:sz w:val="16"/>
          <w:szCs w:val="16"/>
          <w:color w:val="auto"/>
        </w:rPr>
        <w:t>(i) aggregate capacity expansions of approximately 4 million barrels at our St. James and Cushing terminals and (ii) increased utilization at certain of our West Coast terminals. Such increases were partially offset by lower results due to the sale of certain of our East Coast terminals in April 2016.</w:t>
      </w:r>
    </w:p>
    <w:p>
      <w:pPr>
        <w:spacing w:after="0" w:line="138" w:lineRule="exact"/>
        <w:rPr>
          <w:rFonts w:ascii="Arial" w:cs="Arial" w:eastAsia="Arial" w:hAnsi="Arial"/>
          <w:sz w:val="16"/>
          <w:szCs w:val="16"/>
          <w:color w:val="auto"/>
        </w:rPr>
      </w:pPr>
    </w:p>
    <w:p>
      <w:pPr>
        <w:ind w:left="660" w:right="10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Natural Gas Storage — Revenues decreased slightly for the year ended December 31, 2017 compared to the same 2016 period. Lower results due to the June 2017 sale of our Bluewater natural gas storage facility were largely offset by contributions from higher rates on new contracts replacing expiring contracts and more favorable market conditions for hub services.</w:t>
      </w:r>
    </w:p>
    <w:p>
      <w:pPr>
        <w:spacing w:after="0" w:line="181"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Rail Terminals — Revenues decreased by $26 million for the year ended December 31, 2017 compared to the year ended December 31, 2016 primarily due to lower activity at our U.S. terminals resulting from less favorable market conditions, partially offset by revenues and volumes from our Fort Saskatchewan, Alberta rail terminal that came online in April 2016.</w:t>
      </w:r>
    </w:p>
    <w:p>
      <w:pPr>
        <w:spacing w:after="0" w:line="181"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For the year ended December 31, 2016, rail terminals revenues decreased by $17 million compared to the year ended December 31, 2015 primarily due to lower activity at our U.S. terminals as a result of production declines in the Bakken and less favorable market conditions, partially offset by (i) revenue associated with minimum volume commitments at certain of our terminals and (ii) revenues and volumes from our Fort Saskatchewan rail terminal.</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decreased for the year ended December 31, 2017 compared to the same 2016 period due to reduced rail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cost reduction efforts and the sales of our Bluewater natural gas storage facility in June 2017 and certain of our East Coast terminals in April 2016. Such decreases were largely offset by an increase in operating costs associated with the Western Canada NGL assets acquired in August 2016 and increased power costs.</w:t>
      </w:r>
    </w:p>
    <w:p>
      <w:pPr>
        <w:spacing w:after="0" w:line="18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decrease in field operating costs for the year ended December 31, 2016 compared to December 31, 2015 was primarily due to (i) lower costs related to contract services, largely at our rail terminals and, to a lesser extent, at our processing facilities, (ii) the impact from the sale of certain of our East Coast terminals in April 2016, (iii) lower turnaround and inspection costs and (iv) favorable foreign exchange fluctuation impacts of $4 million. Such decreases were partially offset by an increase in operating costs due to the Western Canada NGL assets acquired in August 2016.</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2017 compared to 2016 was primarily due to increased investment in our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program, primarily on assets at our Southern California terminals. Total maintenance costs related to our integrity management program at these terminals increased by approximately $49 million for 2017 compared to 2016. While routine assessments and repairs will be required in the future, we expect significant reductions to our maintenance capital costs at these terminals going forward.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decrease in maintenance capital for 2016 compared to 2015 was primarily due to lower spending on various tank and other maintenance capital projects, partially due to the timing of certain 2015 projects at our NGL storage and fractionation facilities.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and natural gas sales attributable to activities that were previously performed by the natural gas storage commercial optimization group. Generally, our segment results are impacted by (i) increases or decreases in our Supply and Logistics segment volumes (which consist of lease gathering crude oil purchases volumes and NGL sales volumes),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125"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(21,018)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324"/>
        </w:trPr>
        <w:tc>
          <w:tcPr>
            <w:tcW w:w="3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(Gains)/losses from derivative activities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99"/>
              </w:rPr>
              <w:t>net of inventory valuation 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60"/>
              <w:spacing w:after="0"/>
              <w:rPr>
                <w:sz w:val="20"/>
                <w:szCs w:val="20"/>
                <w:color w:val="auto"/>
              </w:rPr>
            </w:pPr>
            <w:r>
              <w:rPr>
                <w:rFonts w:ascii="Arial" w:cs="Arial" w:eastAsia="Arial" w:hAnsi="Arial"/>
                <w:sz w:val="18"/>
                <w:szCs w:val="18"/>
                <w:color w:val="auto"/>
                <w:w w:val="97"/>
              </w:rPr>
              <w:t>Long-term inventory costing adjustments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Volume</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0"/>
              </w:rPr>
              <w:t>Volume</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1,166</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70"/>
        </w:numPr>
        <w:rPr>
          <w:rFonts w:ascii="Arial" w:cs="Arial" w:eastAsia="Arial" w:hAnsi="Arial"/>
          <w:sz w:val="24"/>
          <w:szCs w:val="24"/>
          <w:color w:val="auto"/>
          <w:vertAlign w:val="superscript"/>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2" w:lineRule="exact"/>
        <w:rPr>
          <w:rFonts w:ascii="Arial" w:cs="Arial" w:eastAsia="Arial" w:hAnsi="Arial"/>
          <w:sz w:val="24"/>
          <w:szCs w:val="24"/>
          <w:color w:val="auto"/>
          <w:vertAlign w:val="superscript"/>
        </w:rPr>
      </w:pPr>
    </w:p>
    <w:p>
      <w:pPr>
        <w:ind w:left="660" w:right="180"/>
        <w:spacing w:after="0" w:line="259" w:lineRule="auto"/>
        <w:rPr>
          <w:rFonts w:ascii="Arial" w:cs="Arial" w:eastAsia="Arial" w:hAnsi="Arial"/>
          <w:sz w:val="24"/>
          <w:szCs w:val="24"/>
          <w:color w:val="auto"/>
          <w:vertAlign w:val="superscript"/>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7" w:lineRule="exact"/>
        <w:rPr>
          <w:rFonts w:ascii="Arial" w:cs="Arial" w:eastAsia="Arial" w:hAnsi="Arial"/>
          <w:sz w:val="24"/>
          <w:szCs w:val="24"/>
          <w:color w:val="auto"/>
          <w:vertAlign w:val="superscript"/>
        </w:rPr>
      </w:pPr>
    </w:p>
    <w:p>
      <w:pPr>
        <w:ind w:left="660" w:right="640" w:hanging="652"/>
        <w:spacing w:after="0" w:line="216" w:lineRule="auto"/>
        <w:tabs>
          <w:tab w:leader="none" w:pos="6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31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West Texas Intermediate benchmark price of crude oil (in dollars per barrel):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NYMEX WTI</w:t>
            </w:r>
          </w:p>
        </w:tc>
        <w:tc>
          <w:tcPr>
            <w:tcW w:w="960" w:type="dxa"/>
            <w:vAlign w:val="bottom"/>
          </w:tcPr>
          <w:p>
            <w:pPr>
              <w:spacing w:after="0"/>
              <w:rPr>
                <w:sz w:val="14"/>
                <w:szCs w:val="14"/>
                <w:color w:val="auto"/>
              </w:rPr>
            </w:pPr>
          </w:p>
        </w:tc>
      </w:t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Crude Oil Price</w:t>
            </w:r>
          </w:p>
        </w:tc>
        <w:tc>
          <w:tcPr>
            <w:tcW w:w="960" w:type="dxa"/>
            <w:vAlign w:val="bottom"/>
            <w:tcBorders>
              <w:bottom w:val="single" w:sz="8" w:color="auto"/>
            </w:tcBorders>
          </w:tcPr>
          <w:p>
            <w:pPr>
              <w:spacing w:after="0"/>
              <w:rPr>
                <w:sz w:val="16"/>
                <w:szCs w:val="16"/>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During the Year Ended December 31,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year ended December 31, 2017 compared to the year ended December 31, 2016 primarily due to higher crude oil prices and volumes during the 2017 period. The absolute amount of our revenues and purchases decreased for the year ended December 31, 2016 compared to the same 2015 period primarily due to lower crude oil and NGL prices and lower NGL volumes during the period. Additionally, revenues and purchases were impacted by net gains and losses from certain derivative activities during the periods.</w:t>
      </w:r>
    </w:p>
    <w:p>
      <w:pPr>
        <w:spacing w:after="0" w:line="165"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Net Revenues and Volumes. </w:t>
      </w:r>
      <w:r>
        <w:rPr>
          <w:rFonts w:ascii="Arial" w:cs="Arial" w:eastAsia="Arial" w:hAnsi="Arial"/>
          <w:sz w:val="17"/>
          <w:szCs w:val="17"/>
          <w:color w:val="auto"/>
        </w:rPr>
        <w:t>Our Supply and Logistics results have been impacted by crude oil and NGL margin compression and reduced arbitrage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However, for the year ended December 31, 2017, segment revenues, net of purchases and related costs, increased by $117 million over the year ended December 31, 2016 as lower results from these less favorable market conditions were offset by a favorable impact from certain derivative activities (as discussed further below). Revenues, net of purchases and related costs, decreased by $536 million for the year ended December 31, 2016 compared to the same 2015 period (of which $144 million was related to the mark-to-market impact of certain derivatives and long-term inventory costing adjustments). The following summarizes the significant items impacting the comparative periods:</w:t>
      </w:r>
    </w:p>
    <w:p>
      <w:pPr>
        <w:spacing w:after="0" w:line="178" w:lineRule="exact"/>
        <w:rPr>
          <w:sz w:val="20"/>
          <w:szCs w:val="20"/>
          <w:color w:val="auto"/>
        </w:rPr>
      </w:pPr>
    </w:p>
    <w:p>
      <w:pPr>
        <w:ind w:left="660" w:right="60" w:hanging="328"/>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operations decreased for each comparative period primarily due to lower unit margins from continued and intensifying competition, largely due to overbuilt infrastructure underwritten with volume commitments, and the effect of such on differentials, which reduced arbitrage opportunities. See the “Market Overview and Outlook” section below for additional discussion of recent market conditions.</w:t>
      </w:r>
    </w:p>
    <w:p>
      <w:pPr>
        <w:spacing w:after="0" w:line="186"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decreased for the year ended December 31, 2017 compared to the year ended December 31, 2016, largely due to (i) higher supply costs and tighter differentials driven by competition, which more than offset higher sales volume from the Western Canada NGL assets acquired in August 2016, (ii) warmer weather during the first-quarter 2017 heating season and (iii) higher storage and processing fees for the 2017 period, which were largely offset in our Facilities segment results.</w:t>
      </w:r>
    </w:p>
    <w:p>
      <w:pPr>
        <w:spacing w:after="0" w:line="171" w:lineRule="exact"/>
        <w:rPr>
          <w:rFonts w:ascii="Arial" w:cs="Arial" w:eastAsia="Arial" w:hAnsi="Arial"/>
          <w:sz w:val="17"/>
          <w:szCs w:val="17"/>
          <w:color w:val="auto"/>
        </w:rPr>
      </w:pPr>
    </w:p>
    <w:p>
      <w:pPr>
        <w:jc w:val="both"/>
        <w:ind w:left="660" w:right="280"/>
        <w:spacing w:after="0" w:line="264" w:lineRule="auto"/>
        <w:rPr>
          <w:rFonts w:ascii="Arial" w:cs="Arial" w:eastAsia="Arial" w:hAnsi="Arial"/>
          <w:sz w:val="17"/>
          <w:szCs w:val="17"/>
          <w:color w:val="auto"/>
        </w:rPr>
      </w:pPr>
      <w:r>
        <w:rPr>
          <w:rFonts w:ascii="Arial" w:cs="Arial" w:eastAsia="Arial" w:hAnsi="Arial"/>
          <w:sz w:val="18"/>
          <w:szCs w:val="18"/>
          <w:color w:val="auto"/>
        </w:rPr>
        <w:t>Net revenues from our NGL operations decreased for the year ended December 31, 2016 compared to the year ended December 31, 2015, largely due to (i) higher storage and processing fees for the 2016 periods, which were largely offset in our Facilities segment, and (ii) higher supply costs driven by competition, which more than offset higher sales volumes.</w:t>
      </w:r>
    </w:p>
    <w:p>
      <w:pPr>
        <w:spacing w:after="0" w:line="181" w:lineRule="exact"/>
        <w:rPr>
          <w:rFonts w:ascii="Arial" w:cs="Arial" w:eastAsia="Arial" w:hAnsi="Arial"/>
          <w:sz w:val="17"/>
          <w:szCs w:val="17"/>
          <w:color w:val="auto"/>
        </w:rPr>
      </w:pPr>
    </w:p>
    <w:p>
      <w:pPr>
        <w:ind w:left="660" w:right="100" w:hanging="328"/>
        <w:spacing w:after="0" w:line="297"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12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58" w:lineRule="exact"/>
        <w:rPr>
          <w:rFonts w:ascii="Arial" w:cs="Arial" w:eastAsia="Arial" w:hAnsi="Arial"/>
          <w:sz w:val="16"/>
          <w:szCs w:val="16"/>
          <w:color w:val="auto"/>
        </w:rPr>
      </w:pPr>
    </w:p>
    <w:p>
      <w:pPr>
        <w:ind w:left="660" w:right="40" w:hanging="328"/>
        <w:spacing w:after="0" w:line="297"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20" w:hanging="328"/>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Foreign Exchange Impacts — Our net revenues are impacted by fluctuations in the value of CAD to USD, resulting in foreign exchange gains and 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decreased for the year ended December 31, 2017 compared to the same 2016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trucking costs as pipeline expansion projects were placed into service.</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decrease in field operating costs for the year ended December 31, 2016 compared to the year ended December 31, 2015 was primarily due to a combination of (i) lower lease gathering volumes, (ii) shorter truck hauls and reduced use of third-party trucking services as pipeline expansion projects were placed into service, (iii) lower driver wages and (iv) a decrease in fuel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Depreciation and amortization expense increased for the year ended December 31, 2017 compared to the same period in 2016 largely driven by (i) an increase in impairments, accelerated depreciation and canceled projects during the 2017 period primarily associated with certain of our rail and other terminal assets, (ii) additional depreciation associated with acquisitions and the completion of various capital expansion projects and (iii) smaller net gains from non-core asset sales and joint venture formations recognized in the 2017 period.</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Depreciation and amortization expense for the year ended December 31, 2016 includes net gains of approximately $100 million, which were primarily associated with non-core asset sales and joint venture formations during the period. Excluding such gains, depreciation and amortization expense increased for the year ended December 31, 2016 compared to the same period in 2015 primarily due to (i) additional depreciation associated with the completion of various capital expansion projects, (ii) the write-off of $33 million of costs associated with the discontinuation of certain capital projects during 2016 and (iii) an $18 million charge in 2016 related to assets taken out of service. In addition, the 2016 period was further impacted by impairments of $80 million associated with certain of our rail and other terminal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and Note 6 to our Consolidated Financial Statements for additional information.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333"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Weighted Average</w:t>
            </w:r>
          </w:p>
        </w:tc>
      </w:tr>
      <w:tr>
        <w:trPr>
          <w:trHeight w:val="192"/>
        </w:trPr>
        <w:tc>
          <w:tcPr>
            <w:tcW w:w="76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8"/>
                <w:szCs w:val="8"/>
                <w:b w:val="1"/>
                <w:bCs w:val="1"/>
                <w:color w:val="auto"/>
              </w:rPr>
              <w:t>(1)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for the year ended December 31, 2015</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Impact of issuance and retirement of PAA senior notes</w:t>
            </w:r>
          </w:p>
        </w:tc>
        <w:tc>
          <w:tcPr>
            <w:tcW w:w="4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borrowings under credit facilities and PAA commercial paper program</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Impact of lower capitalized interest</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 for the year ended December 31, 2016</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borrowings under credit facilities and PAA commercial paper program</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Impact of lower capitalized interest</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Interest expense for the year ended December 31, 2017</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color w:val="auto"/>
        </w:rPr>
        <w:t>Excludes commitment and other fees.</w:t>
      </w:r>
    </w:p>
    <w:p>
      <w:pPr>
        <w:spacing w:after="0" w:line="309"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See Note 10 to our Consolidated Financial Statements for additional information regarding our debt activities during the periods presented.</w:t>
      </w:r>
    </w:p>
    <w:p>
      <w:pPr>
        <w:spacing w:after="0" w:line="23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Other Income/(Expense), Net</w:t>
      </w:r>
    </w:p>
    <w:p>
      <w:pPr>
        <w:spacing w:after="0" w:line="229"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summarizes the components impacting Other income/(expense), net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70"/>
        </w:trPr>
        <w:tc>
          <w:tcPr>
            <w:tcW w:w="5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on early redemption of senior notes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w w:val="99"/>
              </w:rPr>
              <w:t>Gains related to mark-to-market adjustment of the Preferred Distribution</w:t>
            </w: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574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Rate Reset Option </w:t>
            </w:r>
            <w:r>
              <w:rPr>
                <w:rFonts w:ascii="Arial" w:cs="Arial" w:eastAsia="Arial" w:hAnsi="Arial"/>
                <w:sz w:val="25"/>
                <w:szCs w:val="25"/>
                <w:color w:val="auto"/>
                <w:vertAlign w:val="superscript"/>
              </w:rPr>
              <w:t>(2)</w:t>
            </w:r>
          </w:p>
        </w:tc>
        <w:tc>
          <w:tcPr>
            <w:tcW w:w="12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740" w:type="dxa"/>
            <w:vAlign w:val="bottom"/>
          </w:tcPr>
          <w:p>
            <w:pPr>
              <w:spacing w:after="0"/>
              <w:rPr>
                <w:sz w:val="20"/>
                <w:szCs w:val="20"/>
                <w:color w:val="auto"/>
              </w:rPr>
            </w:pP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See Note 10 to our Consolidated Financial Statements for additional information.</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See Note 12 to our Consolidated Financial Statements for additional information.</w:t>
      </w:r>
    </w:p>
    <w:p>
      <w:pPr>
        <w:spacing w:after="0" w:line="198"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Income tax expense increased for the year ended December 31, 2017 compared to the year ended December 31, 2016 due to (i) deferred tax expense recorded in the fourth quarter of 2017 related to the re-measurement of our deferred tax asset as a result of the enactment on December 22, 2017 of the Tax Cuts and Jobs Act, (ii) higher year-over-year income as impacted by fluctuations in derivative mark-to-market valuations in our Canadian operations during the 2017 period and (iii) higher deferred tax expense recorded in the first quarter of 2017 related to a change in our effective tax rate. See Note 13 to our Consolidated Financial Statements for additional information regarding the re-measurement of our deferred tax asset.</w:t>
      </w:r>
    </w:p>
    <w:p>
      <w:pPr>
        <w:spacing w:after="0" w:line="15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decrease in income tax expense for the year ended December 31, 2016 compared to the year ended December 31, 2015 was primarily due to lower year-over-year income as impacted by fluctuations in derivative mark-to-market valuations in our Canadian operations during the 2016 period and the cumulative revaluation of Canadian net deferred tax liabilities resulting from a 2% Alberta, Canada provincial tax increase in the second quarter of 2015.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2017 marked the third full calendar year of a harsh downturn in the crude oil industry that started in mid-to-late 2014. This downturn has adversely impacted both the upstream and midstream sectors, but the near-term and long-term implications for each have varied. For example, the upstream sector was severely impacted initially, however, improvements in drilling and completion technology and efficiency and reductions in cost per barrel substantially reduced the oil price level required to generate attractive returns. In a +/- $50 per barrel oil price environment, these advancements provide long-term visibility for sustained U.S. production levels generally and significant growth opportunities in several regions, particularly with respect to the Permian Basin. Oil prices increased near the end of 2017 and have averaged above $60 per barrel in early 2018.</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respect to the crude oil midstream sector, the initial adverse impacts were somewhat muted as volume growth continued through mid-2015, but soon thereafter were adversely impacted by a variety of interrelated issues. These included production decreases or lower than anticipated growth throughout the U.S. which, in combination with the completion of multi-year infrastructure projects and new midstream entrants backed by private institutional capital, created excess takeaway capacity. The excess takeaway capacity resulted in competition that was amplified by excess minimum volume commitments, which also had a dramatic impact on historical regional differentials. The net effect of these developments lowered minimum return thresholds, increased risk and decreased margins of many of the larger established business platforms. As one of the largest U.S. crude oil midstream businesses, we experienced all of these challenges.</w:t>
      </w:r>
    </w:p>
    <w:p>
      <w:pPr>
        <w:spacing w:after="0" w:line="18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believe the long-term view for the crude oil midstream sector and for PAA is strong. Underpinned by technological advancements, U.S. Lower 48 crude oil production is positioned to grow significantly over the next several years, with the Permian Basin representing the most attractive and significant growth region. We believe we are well positioned to grow our fee-based businesses due to our leading crude oil midstream positions in substantially all U.S. regions and crude oil hubs, including our significant Permian Basin gathering, marketing, pipeline and terminalling network. In addition, PAA has made a number of meaningful investments that will be commencing operations in the near future or continuing to ramp up to full run-rate cash flow.</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Despite this positive long-term positioning, over the last few years we have generated lower than expected multi-year growth in our fee-based segments and experienced reduced profitability in our Supply and Logistics segment; in turn, these developments have elevated our credit metrics relative to our targeted range and our trailing distribution coverage has been below levels we consider sustainable. Additionally, access to conventional financial markets historically relied upon by master limited partnerships (“MLP”) to finance growth-oriented projects and manage debt levels has been both challenging and limited.</w:t>
      </w:r>
    </w:p>
    <w:p>
      <w:pPr>
        <w:spacing w:after="0" w:line="18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Taking all these factors into account, as well as the dilutive costs of accessing traditional MLP equity markets to reduce leverage or finance growth in a weak MLP equity environment, in August 2017 we announced a number of significant actions designed to enable us to deliver operating and financial performance in line with our plans and enhance the long-term franchise value for all of our stakeholders. The cumulative effect of these actions should meaningfully reduce debt, improve our credit metrics, significantly reduce and/or eliminate the need to issue incremental common equity for routine expansion activities and enhance our ability to capitalize on attractive industry opportunities. Importantly, these actions are consistent with our objective to defend our investment grade credit metrics, restore strong distribution coverage and drive sustainable distribution growth capacity.</w:t>
      </w:r>
    </w:p>
    <w:p>
      <w:pPr>
        <w:spacing w:after="0" w:line="16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Relative to mid-year 2017 balances, the leverage reduction plan is designed to reduce debt by approximately $1.4 billion over a six quarter period ending March 31, 2019. We believe we are on track with our plan and we expect to achieve our deleveraging objectives and targeted credit metrics by the original March 31, 2019 target date, while maintaining a strong distribution coverage ratio comprised predominantly of fee-based cash flow sources.</w:t>
      </w:r>
    </w:p>
    <w:p>
      <w:pPr>
        <w:spacing w:after="0" w:line="147" w:lineRule="exact"/>
        <w:rPr>
          <w:sz w:val="20"/>
          <w:szCs w:val="20"/>
          <w:color w:val="auto"/>
        </w:rPr>
      </w:pPr>
    </w:p>
    <w:p>
      <w:pPr>
        <w:jc w:val="both"/>
        <w:ind w:right="260" w:firstLine="180"/>
        <w:spacing w:after="0" w:line="277" w:lineRule="auto"/>
        <w:rPr>
          <w:sz w:val="20"/>
          <w:szCs w:val="20"/>
          <w:color w:val="auto"/>
        </w:rPr>
      </w:pPr>
      <w:r>
        <w:rPr>
          <w:rFonts w:ascii="Arial" w:cs="Arial" w:eastAsia="Arial" w:hAnsi="Arial"/>
          <w:sz w:val="18"/>
          <w:szCs w:val="18"/>
          <w:color w:val="auto"/>
        </w:rPr>
        <w:t>However, we can provide no assurance that we will be able to achieve the objectives set forth above or that our efforts will generate targeted results. See Item 1A. “Risk Factors—Risks Related to PAA’s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from Line 901 (see Note 17 to our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$127 million as of December 31, 2017.</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own a 54% undivided joint interest in the Capline system, which originates in St. James, Louisiana and terminates in Patoka, Illinois. The construction of new crude oil pipeline infrastructure and the ongoing changing crude oil flows in the United States may result in a decline in volumes on the Capline system to levels that cannot sustain operations. The owners of the Capline system are considering various alternatives for the use of the pipeline system, including an assessment of the commercial potential to reverse the pipeline direction within the next several years. In early October 2017, the Capline owners launched a non-binding open season to gauge shipper interest in a possible reversal of the Capline system. This non-binding open season concluded in November, and in December 2017 the operator of the Capline system announced that the owners are proceeding with planning for a potential reversal of the Capline system and are planning to evaluate next steps required for a potential binding open season. If the Capline system were to not be reversed, this could result in the Capline owners incurring costs associated with retiring certain assets and/or an impairment of the carrying value of our interest in the Capline system, which was $195 million as of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as further discussed below in the section entitled “—Cash Flow from Operating Activities,” (ii) borrowings under PAA’s credit facilities or the PAA commercial paper program and (iii) funds received from sales of equity and debt securities. In addition, we may supplement these sources of liquidity with proceeds from our asset sales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 As of December 31, 2017, although we had a working capital deficit of $530 million, we had approximately $3.0 billion of liquidity available to meet our ongoing operating, investing and financing needs, subject to continued covenant compliance, as noted below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594"/>
              <w:spacing w:after="0"/>
              <w:rPr>
                <w:sz w:val="20"/>
                <w:szCs w:val="20"/>
                <w:color w:val="auto"/>
              </w:rPr>
            </w:pPr>
            <w:r>
              <w:rPr>
                <w:rFonts w:ascii="Arial" w:cs="Arial" w:eastAsia="Arial" w:hAnsi="Arial"/>
                <w:sz w:val="14"/>
                <w:szCs w:val="14"/>
                <w:b w:val="1"/>
                <w:bCs w:val="1"/>
                <w:color w:val="auto"/>
              </w:rPr>
              <w:t>As of</w:t>
            </w:r>
          </w:p>
        </w:tc>
      </w:tr>
      <w:tr>
        <w:trPr>
          <w:trHeight w:val="192"/>
        </w:trPr>
        <w:tc>
          <w:tcPr>
            <w:tcW w:w="9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2017</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1,534</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515</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40" w:right="380" w:hanging="632"/>
        <w:spacing w:after="0" w:line="216" w:lineRule="auto"/>
        <w:tabs>
          <w:tab w:leader="none" w:pos="64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40" w:right="280" w:hanging="632"/>
        <w:spacing w:after="0" w:line="216" w:lineRule="auto"/>
        <w:tabs>
          <w:tab w:leader="none" w:pos="64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$66 million and $100 million, respectively.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a financial backstop for the PAA commercial paper program, is subject to ongoing compliance with covenants. As of December 31, 2017, PAA was in compliance with all such covenants. Also, see Item 1A. “Risk Factors” for further discussion regarding such risks that may impact our 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credit facilities or the PAA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the credit facilities or the PAA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credit facilities or the PAA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Net cash provided by operating activities for the years ended December 31, 2017, 2016 and 2015 was approximately $2.5 billion, $0.7 billion and $1.3 billion, respectively, and primarily resulted from earnings from our operations. Additionally, as discussed further below, changes in our inventory levels during these years impacted our cash flow from operating activities.</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During 2017, net cash provided by operating activities for the 2017 period was positively impacted by decreases in (i) the volume of crude oil inventory that we held and (ii) the margin balances required as part of our hedging activities, both of which had been funded by short-term debt. This was consistent with our plan to reduce our hedged inventory volumes, and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2016, we increased our inventory levels and margin balances required as part of our hedging activities that were funded by short-term debt, resulting in an unfavorable impact on our cash provided by operating activities. Furthermore, cash provided by operating activities as compared to prior periods was unfavorably impacted by the decrease in cash from overall earnings.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2015, we increased the amount of our inventory; however, these volumetric increases were largely offset by lower prices for our inventory stored at the end of the year compared to prior year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the near term, we also intend to use proceeds from our asset sales program, as discussed further below. We have made and will continue to make capital expenditures for acquisitions, expansion capital projects and maintenance activities. Also see “—Acquisitions and Capital Projects” for further discussion of such capital expenditures.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year. During the years ended December 31, 2017, 2016 and 2015, we paid cash of $1.280 billion (net of cash acquired of $4 million), $282 million (net of cash acquired of $7 million) and $105 million, respectively, for acquisitions.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Acquisitions completed in 2017 primarily included the ACC System located in the Northern Delaware Basin in Southeastern New Mexico and West Texas. The ACC acquisition was initially funded through borrowings under PAA’s senior unsecured revolving credit facility. Such borrowings were subsequently repaid with proceeds from PAA’s March 2017 issuance of its common units to AAP pursuant to the Omnibus Agreement and in connection with our underwritten equity offering. Additionally, we and an affiliate of Noble Midstream Partners LP completed the acquisition of Advantage Pipeline, L.L.C. through a newly formed 50/50 joint venture. For our 50% share ($66.5 million), PAA contributed approximately 1.3 million of its common units and approximately $26 million in cash. See Note 6 to our Consolidated Financial Statements for discussion of our acquisition activities.</w:t>
      </w:r>
    </w:p>
    <w:p>
      <w:pPr>
        <w:spacing w:after="0" w:line="16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Divestitures</w:t>
      </w:r>
      <w:r>
        <w:rPr>
          <w:rFonts w:ascii="Arial" w:cs="Arial" w:eastAsia="Arial" w:hAnsi="Arial"/>
          <w:sz w:val="16"/>
          <w:szCs w:val="16"/>
          <w:color w:val="auto"/>
        </w:rPr>
        <w:t>. In 2016, we initiated a program to evaluate potential sales of non-core assets and/or sales of partial interests in assets to strategic joint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partners to optimize our asset portfolio and strengthen our balance sheet and leverage metrics. During the years ended December 31, 2017 and 2016, we received proceeds of $1.083 billion and $569 million (net of $85 million paid for a remaining interest in a pipeline that was subsequently sold during 2016), respectively. Such proceeds were used to fund a portion of our expansion capital projects during each year and for general partnership purposes. See Note 6 to our Consolidated Financial Statements for additional information regarding these asset sales and divestitures.</w:t>
      </w:r>
    </w:p>
    <w:p>
      <w:pPr>
        <w:spacing w:after="0" w:line="15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2018 Capital Projects. </w:t>
      </w:r>
      <w:r>
        <w:rPr>
          <w:rFonts w:ascii="Arial" w:cs="Arial" w:eastAsia="Arial" w:hAnsi="Arial"/>
          <w:sz w:val="18"/>
          <w:szCs w:val="18"/>
          <w:color w:val="auto"/>
        </w:rPr>
        <w:t>The majority of our 2018 expansion capital program will be invested in our fee-based Transportation and Facilities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our investments will have minimal contributions to our 2018 results, but will provide growth for 2019 and beyond. Our 2018 capital program includes the following projects as of February 2018 with the estimated cost for the entire year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375</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210</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gridSpan w:val="2"/>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Projected 2018 Expansion Capital Expenditures </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color w:val="auto"/>
        </w:rPr>
        <w:t>Includes projects at our St. James, Fort Saskatchewan and other terminals.</w:t>
      </w:r>
    </w:p>
    <w:p>
      <w:pPr>
        <w:spacing w:after="0" w:line="98" w:lineRule="exact"/>
        <w:rPr>
          <w:rFonts w:ascii="Arial" w:cs="Arial" w:eastAsia="Arial" w:hAnsi="Arial"/>
          <w:sz w:val="25"/>
          <w:szCs w:val="25"/>
          <w:color w:val="auto"/>
          <w:vertAlign w:val="superscript"/>
        </w:rPr>
      </w:pPr>
    </w:p>
    <w:p>
      <w:pPr>
        <w:ind w:left="660" w:right="700" w:hanging="652"/>
        <w:spacing w:after="0" w:line="214" w:lineRule="auto"/>
        <w:tabs>
          <w:tab w:leader="none" w:pos="66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At December 31, 2017, PAA had four primary credit arrangements. These include a $1.6 billion senior unsecured revolving credit facility maturing in 2022, a $1.4 billion senior secured hedged inventory facility maturing in 2020 and a $1 billion, 364-day senior unsecured credit facility maturing in August 2018. Additionally, PAA has a $3.0 billion unsecured commercial paper program that is backstopped by its revolving credit facility and its hedged inventory facility. The PAA credit agreements (which impact the ability to access the PAA commercial paper program because they provide the financial backstop that supports PAA’s short-term credit ratings) and the indentures governing PAA’s senior notes contain cross-default provisions. A default under PAA’s credit agreements would permit the lenders to accelerate the maturity of the outstanding debt. As long as PAA is in compliance with the provisions in its credit agreements, PAA’s ability to make distributions of available cash is not restricted. PAA was in compliance with the covenants contained in its credit agreements and indentures as of December 31,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2017, we had net repayments on the credit facilities and PAA commercial paper program of $654 million. The net repayments resulted primarily from cash flow from operating activities and cash received from PAA’s equity activities and asset divestitures, which offset borrowings during the period related to funding needs for (i) acquisition and capital investments, (ii) repayment of PAA’s $400 million, 6.13% senior notes in January 2017, (iii) repayment of PAA’s $600 million, 6.50% senior notes and $350 million, 8.75% senior notes in December 2017 and (iv) other general partnership purposes.</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year ended December 31, 2016, we had net repayments under the credit facilities and PAA commercial paper program of $676 million. The net repayments resulted primarily from cash flow from operating activities as well as cash received from PAA’s equity issuances and asset divestitures, which offset borrowings during the period related to funding needs for (i) inventory purchases and related margin balances required as part of our hedging activities, (ii) capital investments, (iii) repayment of PAA’s $175 million senior notes in August 2016, (iv) repayment of $642 million of borrowings that PAA assumed under AAP’s senior secured credit agreement in connection with the Simplification Transactions and (v) other general partnership purposes.</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During the year ended December 31, 2015, we had net borrowings under the credit facilities and PAA commercial paper program of $954 million. These net borrowings resulted primarily from funding needs for (i) capital investments, (ii) repayment of PAA senior notes that matured during 2015 and (iii) other general partnership purposes, and were partially offset by repayments from cash received from PAA’s debt and equity issuances.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the credit facilities or the PAA commercial paper program, as well as payment of distributions to our Class A shareholders and noncontrolling interests.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PAGP Registration Statements. </w:t>
      </w:r>
      <w:r>
        <w:rPr>
          <w:rFonts w:ascii="Arial" w:cs="Arial" w:eastAsia="Arial" w:hAnsi="Arial"/>
          <w:sz w:val="18"/>
          <w:szCs w:val="18"/>
          <w:color w:val="auto"/>
        </w:rPr>
        <w:t>We have filed with the SEC a shelf registration statement that, subject to effectiveness at the time of use, allows us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up to an aggregate of $1.0 billion of equity securities ( the “PAGP Traditional Shelf”). Our issuances of equity securities associated with our Continuous Offering Program have been issued pursuant to the PAGP Traditional Shelf. At December 31, 2017, we had approximately $939 million of unsold securities available under the PAGP Traditional Shelf. Additionally, in February 2017, we filed a universal shelf registration statement (the “PAGP WKSI Shelf”), which provides us with the ability to offer and sell an unlimited amount of equity securities, subject to market conditions and capital needs. Our 2017 underwritten equity offering was conducted under the PAGP WKSI Shelf.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Sales of Class A Shares</w:t>
      </w:r>
      <w:r>
        <w:rPr>
          <w:rFonts w:ascii="Arial" w:cs="Arial" w:eastAsia="Arial" w:hAnsi="Arial"/>
          <w:sz w:val="18"/>
          <w:szCs w:val="18"/>
          <w:color w:val="auto"/>
        </w:rPr>
        <w:t>. The following table summarizes our sales of Class A shares during the year ended December 31, 2017, all of which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occurred in the first four months of the year (net proceeds in millions). We did not sell any Class A shares during the years ended December 31, 2016 or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60" w:type="dxa"/>
            <w:vAlign w:val="bottom"/>
            <w:tcBorders>
              <w:bottom w:val="single" w:sz="8" w:color="auto"/>
            </w:tcBorders>
          </w:tcPr>
          <w:p>
            <w:pPr>
              <w:spacing w:after="0"/>
              <w:rPr>
                <w:sz w:val="16"/>
                <w:szCs w:val="16"/>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1,786,326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 (3)</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20" w:type="dxa"/>
            <w:vAlign w:val="bottom"/>
          </w:tcPr>
          <w:p>
            <w:pPr>
              <w:jc w:val="right"/>
              <w:ind w:right="34"/>
              <w:spacing w:after="0"/>
              <w:rPr>
                <w:sz w:val="20"/>
                <w:szCs w:val="20"/>
                <w:color w:val="auto"/>
              </w:rPr>
            </w:pPr>
            <w:r>
              <w:rPr>
                <w:rFonts w:ascii="Arial" w:cs="Arial" w:eastAsia="Arial" w:hAnsi="Arial"/>
                <w:sz w:val="18"/>
                <w:szCs w:val="18"/>
                <w:color w:val="auto"/>
              </w:rPr>
              <w:t>48,300,000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4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560" w:type="dxa"/>
            <w:vAlign w:val="bottom"/>
          </w:tcPr>
          <w:p>
            <w:pPr>
              <w:ind w:left="20"/>
              <w:spacing w:after="0"/>
              <w:rPr>
                <w:sz w:val="20"/>
                <w:szCs w:val="20"/>
                <w:color w:val="auto"/>
              </w:rPr>
            </w:pPr>
            <w:r>
              <w:rPr>
                <w:rFonts w:ascii="Arial" w:cs="Arial" w:eastAsia="Arial" w:hAnsi="Arial"/>
                <w:sz w:val="13"/>
                <w:szCs w:val="13"/>
                <w:color w:val="auto"/>
              </w:rPr>
              <w:t>(3)</w:t>
            </w: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50,086,326</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1,535</w:t>
            </w:r>
          </w:p>
        </w:tc>
        <w:tc>
          <w:tcPr>
            <w:tcW w:w="560" w:type="dxa"/>
            <w:vAlign w:val="bottom"/>
            <w:tcBorders>
              <w:bottom w:val="single" w:sz="8" w:color="CCEEFF"/>
            </w:tcBorders>
            <w:shd w:val="clear" w:color="auto" w:fill="CCEEFF"/>
          </w:tcPr>
          <w:p>
            <w:pPr>
              <w:spacing w:after="0"/>
              <w:rPr>
                <w:sz w:val="22"/>
                <w:szCs w:val="22"/>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78"/>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year ended December 31, 2017.</w:t>
      </w:r>
    </w:p>
    <w:p>
      <w:pPr>
        <w:spacing w:after="0" w:line="94"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78"/>
        </w:numPr>
        <w:rPr>
          <w:rFonts w:ascii="Arial" w:cs="Arial" w:eastAsia="Arial" w:hAnsi="Arial"/>
          <w:sz w:val="25"/>
          <w:szCs w:val="25"/>
          <w:color w:val="auto"/>
          <w:vertAlign w:val="superscript"/>
        </w:rPr>
      </w:pPr>
      <w:r>
        <w:rPr>
          <w:rFonts w:ascii="Arial" w:cs="Arial" w:eastAsia="Arial" w:hAnsi="Arial"/>
          <w:sz w:val="18"/>
          <w:szCs w:val="18"/>
          <w:color w:val="auto"/>
        </w:rPr>
        <w:t>Pursuant to the Omnibus Agreement entered into in conjunction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PAA Registration Statements</w:t>
      </w:r>
      <w:r>
        <w:rPr>
          <w:rFonts w:ascii="Arial" w:cs="Arial" w:eastAsia="Arial" w:hAnsi="Arial"/>
          <w:sz w:val="18"/>
          <w:szCs w:val="18"/>
          <w:color w:val="auto"/>
        </w:rPr>
        <w:t>. 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(the “ PAA Traditional Shelf”). All issuances of PAA equity securities associated with PAA’s continuous offering program have been issued pursuant to the PAA Traditional Shelf. At December 31, 2017, PAA had approximately $1.1 billion of unsold securities available under the PAA Traditional Shelf. PAA also has access to a universal shelf registration statement (“PAA WKSI Shelf”), which provides it with the ability to offer and sell an unlimited amount of debt and equity securities, subject to market conditions and capital needs. The issuance of PAA’s Series B preferred units in October 2017, discussed below, was conducted under the PAA WKSI Shelf.</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PAA Sales of Common Units</w:t>
      </w:r>
      <w:r>
        <w:rPr>
          <w:rFonts w:ascii="Arial" w:cs="Arial" w:eastAsia="Arial" w:hAnsi="Arial"/>
          <w:sz w:val="18"/>
          <w:szCs w:val="18"/>
          <w:color w:val="auto"/>
        </w:rPr>
        <w:t>. The following table summarizes the sales of PAA’s common units during the three years ended December 31, 2017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CCEEFF"/>
            </w:tcBorders>
          </w:tcPr>
          <w:p>
            <w:pPr>
              <w:spacing w:after="0"/>
              <w:rPr>
                <w:sz w:val="16"/>
                <w:szCs w:val="16"/>
                <w:color w:val="auto"/>
              </w:rPr>
            </w:pPr>
          </w:p>
        </w:tc>
      </w:tr>
      <w:tr>
        <w:trPr>
          <w:trHeight w:val="263"/>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2017 Total</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4,033,567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129</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r>
      <w:tr>
        <w:trPr>
          <w:trHeight w:val="257"/>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2016 Total</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26,278,288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796</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Continuous Offering Program</w:t>
            </w:r>
          </w:p>
        </w:tc>
        <w:tc>
          <w:tcPr>
            <w:tcW w:w="2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1,133,904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36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Underwritten Offering</w:t>
            </w:r>
          </w:p>
        </w:tc>
        <w:tc>
          <w:tcPr>
            <w:tcW w:w="2140" w:type="dxa"/>
            <w:vAlign w:val="bottom"/>
          </w:tcPr>
          <w:p>
            <w:pPr>
              <w:jc w:val="right"/>
              <w:ind w:right="33"/>
              <w:spacing w:after="0"/>
              <w:rPr>
                <w:sz w:val="20"/>
                <w:szCs w:val="20"/>
                <w:color w:val="auto"/>
              </w:rPr>
            </w:pPr>
            <w:r>
              <w:rPr>
                <w:rFonts w:ascii="Arial" w:cs="Arial" w:eastAsia="Arial" w:hAnsi="Arial"/>
                <w:sz w:val="18"/>
                <w:szCs w:val="18"/>
                <w:color w:val="auto"/>
              </w:rPr>
              <w:t>21,000,000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1,041</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(3)</w:t>
            </w:r>
          </w:p>
        </w:tc>
      </w:tr>
      <w:tr>
        <w:trPr>
          <w:trHeight w:val="27"/>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2015 Total</w:t>
            </w:r>
          </w:p>
        </w:tc>
        <w:tc>
          <w:tcPr>
            <w:tcW w:w="3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22,133,904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1,099</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140" w:hanging="652"/>
        <w:spacing w:after="0" w:line="225" w:lineRule="auto"/>
        <w:tabs>
          <w:tab w:leader="none" w:pos="66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PAA pays commissions to its sales agents in connection with common unit issuances under its Continuous Offering Program. PAA paid $1 million, $8 million and $1 million of such commissions during 2017, 2016 and 2015, respectively. The net proceeds from these offerings were used for general partnership purposes.</w:t>
      </w:r>
    </w:p>
    <w:p>
      <w:pPr>
        <w:spacing w:after="0" w:line="94" w:lineRule="exact"/>
        <w:rPr>
          <w:rFonts w:ascii="Arial" w:cs="Arial" w:eastAsia="Arial" w:hAnsi="Arial"/>
          <w:sz w:val="25"/>
          <w:szCs w:val="25"/>
          <w:color w:val="auto"/>
          <w:vertAlign w:val="superscript"/>
        </w:rPr>
      </w:pPr>
    </w:p>
    <w:p>
      <w:pPr>
        <w:ind w:left="660" w:right="340" w:hanging="652"/>
        <w:spacing w:after="0" w:line="216" w:lineRule="auto"/>
        <w:tabs>
          <w:tab w:leader="none" w:pos="66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A portion of the net proceeds from such offering was used to repay borrowings under the PAA commercial paper program and the remaining net proceeds were used for general partnership purposes, including expenditures for our 2015 capital program.</w:t>
      </w:r>
    </w:p>
    <w:p>
      <w:pPr>
        <w:spacing w:after="0" w:line="203" w:lineRule="exact"/>
        <w:rPr>
          <w:sz w:val="20"/>
          <w:szCs w:val="20"/>
          <w:color w:val="auto"/>
        </w:rPr>
      </w:pPr>
    </w:p>
    <w:p>
      <w:pPr>
        <w:ind w:right="120" w:firstLine="716"/>
        <w:spacing w:after="0" w:line="259"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PAA may sell common units to AAP pursuant to the Omnibus Agreement entered into by the Plains Entities.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pursuant to the Omnibus Agreement, PAA sold (i) approximately 1.8 million common units to AAP in connection with our issuance of Class A shares under our Continuous Offering Program and (ii) 48.3 million common units to AAP in connection with our March 2017 underwritten offering. See Note 11 to our Consolidated Financial Statements for additional information.</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PAA Series A Preferred Units</w:t>
      </w:r>
      <w:r>
        <w:rPr>
          <w:rFonts w:ascii="Arial" w:cs="Arial" w:eastAsia="Arial" w:hAnsi="Arial"/>
          <w:sz w:val="18"/>
          <w:szCs w:val="18"/>
          <w:color w:val="auto"/>
        </w:rPr>
        <w:t>. In January 2016, PAA completed the private placement of approximately 61.0 million Series A preferred units at a</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$26.25 per unit resulting in total net proceeds, after deducting offering expenses and the 2% transaction fee due to the purchasers, of approximately $1.6 billion. The net proceeds were used for capital expenditures, repayment of debt and general partnership purposes. See Note 11 to our Consolidated Financial Statements for further discussion of PAA’s Series A preferred units.</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PAA Series B Preferred Units</w:t>
      </w:r>
      <w:r>
        <w:rPr>
          <w:rFonts w:ascii="Arial" w:cs="Arial" w:eastAsia="Arial" w:hAnsi="Arial"/>
          <w:sz w:val="16"/>
          <w:szCs w:val="16"/>
          <w:color w:val="auto"/>
        </w:rPr>
        <w:t>. On October 10, 2017, PAA issued 800,000 Series B preferred units at a price to the public of $1,000 per unit. PAA</w:t>
      </w:r>
      <w:r>
        <w:rPr>
          <w:rFonts w:ascii="Arial" w:cs="Arial" w:eastAsia="Arial" w:hAnsi="Arial"/>
          <w:sz w:val="16"/>
          <w:szCs w:val="16"/>
          <w:i w:val="1"/>
          <w:iCs w:val="1"/>
          <w:color w:val="auto"/>
        </w:rPr>
        <w:t xml:space="preserve"> </w:t>
      </w:r>
      <w:r>
        <w:rPr>
          <w:rFonts w:ascii="Arial" w:cs="Arial" w:eastAsia="Arial" w:hAnsi="Arial"/>
          <w:sz w:val="16"/>
          <w:szCs w:val="16"/>
          <w:color w:val="auto"/>
        </w:rPr>
        <w:t>used the net proceeds of $788 million, after deducting the underwriters’ discounts and offering expenses, from the issuance of the Series B preferred units to repay amounts outstanding under its credit facilities and commercial paper program and for general partnership purposes, including expenditures for our capital program. See Note 11 to our Consolidated Financial Statements for additional information regarding PAA’s Series B preferred units.</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While PAA’s Series A and Series B preferred units are considered equity securities and are classified within partners’ capital on our Consolidated Balance Sheet, two out of the three rating agencies only ascribe 50% equity credit with the remaining 50% considered debt for purposes of determining PAA’s credit ratings. The remaining rating agency ascribes 100% equity credit.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Issuances of PAA Senior Notes. </w:t>
      </w:r>
      <w:r>
        <w:rPr>
          <w:rFonts w:ascii="Arial" w:cs="Arial" w:eastAsia="Arial" w:hAnsi="Arial"/>
          <w:sz w:val="18"/>
          <w:szCs w:val="18"/>
          <w:color w:val="auto"/>
        </w:rPr>
        <w:t>During 2016 and 2015, PAA issued senior unsecured notes as summarized in the table below (in millions). PAA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issue any senior unsecured notes during the year ended December 31,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5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Face Value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56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89"/>
              </w:rPr>
              <w:t xml:space="preserve">4.50% PAA Senior Notes issued at 99.716% of face value </w:t>
            </w:r>
            <w:r>
              <w:rPr>
                <w:rFonts w:ascii="Arial" w:cs="Arial" w:eastAsia="Arial" w:hAnsi="Arial"/>
                <w:sz w:val="25"/>
                <w:szCs w:val="25"/>
                <w:color w:val="auto"/>
                <w:w w:val="89"/>
                <w:vertAlign w:val="superscript"/>
              </w:rPr>
              <w:t>(3)</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December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56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89"/>
              </w:rPr>
              <w:t xml:space="preserve">4.65% PAA Senior Notes issued at 99.846% of face value </w:t>
            </w:r>
            <w:r>
              <w:rPr>
                <w:rFonts w:ascii="Arial" w:cs="Arial" w:eastAsia="Arial" w:hAnsi="Arial"/>
                <w:sz w:val="25"/>
                <w:szCs w:val="25"/>
                <w:color w:val="auto"/>
                <w:w w:val="89"/>
                <w:vertAlign w:val="superscript"/>
              </w:rPr>
              <w:t>(3)</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21"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98" w:lineRule="exact"/>
        <w:rPr>
          <w:rFonts w:ascii="Arial" w:cs="Arial" w:eastAsia="Arial" w:hAnsi="Arial"/>
          <w:sz w:val="25"/>
          <w:szCs w:val="25"/>
          <w:color w:val="auto"/>
          <w:vertAlign w:val="superscript"/>
        </w:rPr>
      </w:pPr>
    </w:p>
    <w:p>
      <w:pPr>
        <w:ind w:left="660" w:right="160" w:hanging="652"/>
        <w:spacing w:after="0" w:line="214" w:lineRule="auto"/>
        <w:tabs>
          <w:tab w:leader="none" w:pos="66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color w:val="auto"/>
        </w:rPr>
        <w:t>The net proceeds from this offering were used to repay outstanding borrowings under PAA’s credit facilities or the PAA commercial paper program and for general partnership purposes.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Repayments of PAA Senior Notes. </w:t>
      </w:r>
      <w:r>
        <w:rPr>
          <w:rFonts w:ascii="Arial" w:cs="Arial" w:eastAsia="Arial" w:hAnsi="Arial"/>
          <w:sz w:val="18"/>
          <w:szCs w:val="18"/>
          <w:color w:val="auto"/>
        </w:rPr>
        <w:t>During the last three years, PAA repaid the following senior unsecured notes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$400 million 6.13% PAA Senior Notes due January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243"/>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5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$600 million 6.50% PAA Senior Notes due May 2018</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2017</w:t>
            </w:r>
          </w:p>
        </w:tc>
        <w:tc>
          <w:tcPr>
            <w:tcW w:w="560" w:type="dxa"/>
            <w:vAlign w:val="bottom"/>
          </w:tcPr>
          <w:p>
            <w:pPr>
              <w:ind w:left="20"/>
              <w:spacing w:after="0"/>
              <w:rPr>
                <w:sz w:val="20"/>
                <w:szCs w:val="20"/>
                <w:color w:val="auto"/>
              </w:rPr>
            </w:pPr>
            <w:r>
              <w:rPr>
                <w:rFonts w:ascii="Arial" w:cs="Arial" w:eastAsia="Arial" w:hAnsi="Arial"/>
                <w:sz w:val="13"/>
                <w:szCs w:val="13"/>
                <w:color w:val="auto"/>
              </w:rPr>
              <w:t>(1) (2)</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$350 million 8.75% PAA Senior Notes due May 2019</w:t>
            </w: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 (2)</w:t>
            </w: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$175 million 5.88% PAA Senior Notes due August 2016</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2016</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$150 million 5.25% PAA Senior Notes due June 2015</w:t>
            </w: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2015</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w:t>
            </w:r>
          </w:p>
        </w:tc>
      </w:tr>
      <w:tr>
        <w:trPr>
          <w:trHeight w:val="243"/>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5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$400 million 3.95% PAA Senior Notes due September 2015</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2015</w:t>
            </w:r>
          </w:p>
        </w:tc>
        <w:tc>
          <w:tcPr>
            <w:tcW w:w="560" w:type="dxa"/>
            <w:vAlign w:val="bottom"/>
          </w:tcPr>
          <w:p>
            <w:pPr>
              <w:ind w:left="20"/>
              <w:spacing w:after="0"/>
              <w:rPr>
                <w:sz w:val="20"/>
                <w:szCs w:val="20"/>
                <w:color w:val="auto"/>
              </w:rPr>
            </w:pPr>
            <w:r>
              <w:rPr>
                <w:rFonts w:ascii="Arial" w:cs="Arial" w:eastAsia="Arial" w:hAnsi="Arial"/>
                <w:sz w:val="13"/>
                <w:szCs w:val="13"/>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8"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color w:val="auto"/>
          <w:vertAlign w:val="superscript"/>
        </w:rPr>
      </w:pPr>
      <w:r>
        <w:rPr>
          <w:rFonts w:ascii="Arial" w:cs="Arial" w:eastAsia="Arial" w:hAnsi="Arial"/>
          <w:sz w:val="16"/>
          <w:szCs w:val="16"/>
          <w:color w:val="auto"/>
        </w:rPr>
        <w:t>These senior notes were repaid with cash on hand and proceeds from borrowings under the PAA credit facilities and commercial paper program.</w:t>
      </w:r>
    </w:p>
    <w:p>
      <w:pPr>
        <w:spacing w:after="0" w:line="98" w:lineRule="exact"/>
        <w:rPr>
          <w:rFonts w:ascii="Arial" w:cs="Arial" w:eastAsia="Arial" w:hAnsi="Arial"/>
          <w:sz w:val="22"/>
          <w:szCs w:val="22"/>
          <w:color w:val="auto"/>
          <w:vertAlign w:val="superscript"/>
        </w:rPr>
      </w:pPr>
    </w:p>
    <w:p>
      <w:pPr>
        <w:ind w:left="660" w:right="740" w:hanging="652"/>
        <w:spacing w:after="0" w:line="214" w:lineRule="auto"/>
        <w:tabs>
          <w:tab w:leader="none" w:pos="66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In conjunction with the early redemptions of these PAA senior notes, we recognized a loss of approximately $40 million, recorded to Other income/(expense), net in our Consolidated Statement of Operations.</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These senior notes were repaid with proceeds from borrowings under the PAA commercial paper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distribute 100%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On February 14, 2018, we paid a quarterly distribution of $0.30 per Class A share ($1.20 per Class A share on an annualized basis). See Note 11 to our Consolidated Financial Statements for details of distributions paid during the three years ended December 31, 2017. Also, see Item 5. “Market for Registrant’s Shares, Related Shareholder Matters and Issuer Purchases of Equity Securities—Cash Distribution Policy” for additional discussion regarding distributions.</w:t>
      </w:r>
    </w:p>
    <w:p>
      <w:pPr>
        <w:spacing w:after="0" w:line="19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During the years ended December 31, 2017, 2016 and 2015, distributions of approximately $1.1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$1.4 billion and $1.5 billion, respectively, were paid to noncontrolling interests. These amounts represent distributions paid on interests in PAA, AAP and SLC Pipeline LLC that were not owned by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17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2017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2023 and</w:t>
            </w: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Long-term debt and related interest payments</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657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910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941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9,987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14,438</w:t>
            </w:r>
          </w:p>
        </w:tc>
        <w:tc>
          <w:tcPr>
            <w:tcW w:w="0" w:type="dxa"/>
            <w:vAlign w:val="bottom"/>
          </w:tcPr>
          <w:p>
            <w:pPr>
              <w:spacing w:after="0"/>
              <w:rPr>
                <w:sz w:val="1"/>
                <w:szCs w:val="1"/>
                <w:color w:val="auto"/>
              </w:rPr>
            </w:pPr>
          </w:p>
        </w:tc>
      </w:tr>
      <w:tr>
        <w:trPr>
          <w:trHeight w:val="1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w w:val="93"/>
              </w:rPr>
              <w:t xml:space="preserve">Leases, rights-of-way easements and other </w:t>
            </w:r>
            <w:r>
              <w:rPr>
                <w:rFonts w:ascii="Arial" w:cs="Arial" w:eastAsia="Arial" w:hAnsi="Arial"/>
                <w:sz w:val="25"/>
                <w:szCs w:val="25"/>
                <w:color w:val="auto"/>
                <w:w w:val="93"/>
                <w:vertAlign w:val="superscript"/>
              </w:rPr>
              <w:t>(2)</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Crude oil, natural gas, NGL and 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5"/>
                <w:szCs w:val="25"/>
                <w:color w:val="auto"/>
                <w:vertAlign w:val="superscript"/>
              </w:rPr>
              <w:t>(4)</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8,250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3,742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9,032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34,975</w:t>
            </w:r>
          </w:p>
        </w:tc>
        <w:tc>
          <w:tcPr>
            <w:tcW w:w="0" w:type="dxa"/>
            <w:vAlign w:val="bottom"/>
          </w:tcPr>
          <w:p>
            <w:pPr>
              <w:spacing w:after="0"/>
              <w:rPr>
                <w:sz w:val="1"/>
                <w:szCs w:val="1"/>
                <w:color w:val="auto"/>
              </w:rPr>
            </w:pP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9,392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6,564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5,640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19,834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51,822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jc w:val="both"/>
        <w:ind w:left="660" w:hanging="652"/>
        <w:spacing w:after="0" w:line="271" w:lineRule="auto"/>
        <w:tabs>
          <w:tab w:leader="none" w:pos="660" w:val="left"/>
        </w:tabs>
        <w:numPr>
          <w:ilvl w:val="0"/>
          <w:numId w:val="82"/>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PAA’s senior notes and the commitment fee on assumed available capacity under the PAA credit facilities and long-term borrowings under the PAA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 For additional information regarding our debt obligations, see Note 10 to our Consolidated Financial Statements.</w:t>
      </w:r>
    </w:p>
    <w:p>
      <w:pPr>
        <w:spacing w:after="0" w:line="71" w:lineRule="exact"/>
        <w:rPr>
          <w:rFonts w:ascii="Arial" w:cs="Arial" w:eastAsia="Arial" w:hAnsi="Arial"/>
          <w:sz w:val="22"/>
          <w:szCs w:val="22"/>
          <w:color w:val="auto"/>
          <w:vertAlign w:val="superscript"/>
        </w:rPr>
      </w:pPr>
    </w:p>
    <w:p>
      <w:pPr>
        <w:ind w:left="660" w:right="380" w:hanging="652"/>
        <w:spacing w:after="0" w:line="216" w:lineRule="auto"/>
        <w:tabs>
          <w:tab w:leader="none" w:pos="660" w:val="left"/>
        </w:tabs>
        <w:numPr>
          <w:ilvl w:val="0"/>
          <w:numId w:val="82"/>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20" w:hanging="652"/>
        <w:spacing w:after="0" w:line="235" w:lineRule="auto"/>
        <w:tabs>
          <w:tab w:leader="none" w:pos="660" w:val="left"/>
        </w:tabs>
        <w:numPr>
          <w:ilvl w:val="0"/>
          <w:numId w:val="82"/>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$760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80" w:hanging="652"/>
        <w:spacing w:after="0" w:line="238" w:lineRule="auto"/>
        <w:tabs>
          <w:tab w:leader="none" w:pos="660" w:val="left"/>
        </w:tabs>
        <w:numPr>
          <w:ilvl w:val="0"/>
          <w:numId w:val="83"/>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December 2017.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2017 and 2016, we had outstanding letters of credit of approximately $166 million and $73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None of these entities are borrowers under credit facilities, and we are neither a co-borrower nor a guarantor under any facilities of such entities. We may elect at any time to make additional capital contributions to any of these entities. The following table sets forth selected information regarding these entities as of December 31, 2017 (unaudited, dollars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Our</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Cash</w:t>
            </w:r>
          </w:p>
        </w:tc>
        <w:tc>
          <w:tcPr>
            <w:tcW w:w="22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vMerge w:val="restart"/>
          </w:tcPr>
          <w:p>
            <w:pPr>
              <w:spacing w:after="0"/>
              <w:rPr>
                <w:sz w:val="12"/>
                <w:szCs w:val="12"/>
                <w:color w:val="auto"/>
              </w:rPr>
            </w:pPr>
          </w:p>
        </w:tc>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40" w:type="dxa"/>
            <w:vAlign w:val="bottom"/>
            <w:vMerge w:val="restart"/>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Entity</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20" w:type="dxa"/>
            <w:vAlign w:val="bottom"/>
          </w:tcPr>
          <w:p>
            <w:pPr>
              <w:spacing w:after="0"/>
              <w:rPr>
                <w:sz w:val="12"/>
                <w:szCs w:val="12"/>
                <w:color w:val="auto"/>
              </w:rPr>
            </w:pPr>
          </w:p>
        </w:tc>
        <w:tc>
          <w:tcPr>
            <w:tcW w:w="8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Entity</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Cash</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Advantage Pipeline, L.L.C.</w:t>
            </w:r>
          </w:p>
        </w:tc>
        <w:tc>
          <w:tcPr>
            <w:tcW w:w="3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w:t>
            </w:r>
          </w:p>
        </w:tc>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Caddo Pipeline LLC</w:t>
            </w:r>
          </w:p>
        </w:tc>
        <w:tc>
          <w:tcPr>
            <w:tcW w:w="31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Cheyenne Pipeline LLC</w:t>
            </w:r>
          </w:p>
        </w:tc>
        <w:tc>
          <w:tcPr>
            <w:tcW w:w="310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 LLC</w:t>
            </w:r>
          </w:p>
        </w:tc>
        <w:tc>
          <w:tcPr>
            <w:tcW w:w="31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Ford Pipeline LLC</w:t>
            </w:r>
          </w:p>
        </w:tc>
        <w:tc>
          <w:tcPr>
            <w:tcW w:w="310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Terminals Corpus Christi LLC</w:t>
            </w:r>
          </w:p>
        </w:tc>
        <w:tc>
          <w:tcPr>
            <w:tcW w:w="310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Midway Pipeline LLC</w:t>
            </w:r>
          </w:p>
        </w:tc>
        <w:tc>
          <w:tcPr>
            <w:tcW w:w="310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Saddlehorn Pipeline Company, LLC</w:t>
            </w:r>
          </w:p>
        </w:tc>
        <w:tc>
          <w:tcPr>
            <w:tcW w:w="3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Settoon Towing, LLC</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Barge Transportation Services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STACK Pipeline LLC</w:t>
            </w:r>
          </w:p>
        </w:tc>
        <w:tc>
          <w:tcPr>
            <w:tcW w:w="31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White Cliffs Pipeline, L.L.C.</w:t>
            </w:r>
          </w:p>
        </w:tc>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25"/>
          <w:szCs w:val="25"/>
          <w:color w:val="auto"/>
          <w:vertAlign w:val="superscript"/>
        </w:rPr>
      </w:pPr>
      <w:r>
        <w:rPr>
          <w:rFonts w:ascii="Arial" w:cs="Arial" w:eastAsia="Arial" w:hAnsi="Arial"/>
          <w:sz w:val="18"/>
          <w:szCs w:val="18"/>
          <w:color w:val="auto"/>
        </w:rPr>
        <w:t>We serve as operator of the pipeline.</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84"/>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200"/>
        <w:spacing w:after="0" w:line="312" w:lineRule="auto"/>
        <w:rPr>
          <w:rFonts w:ascii="Arial" w:cs="Arial" w:eastAsia="Arial" w:hAnsi="Arial"/>
          <w:sz w:val="13"/>
          <w:szCs w:val="13"/>
          <w:i w:val="1"/>
          <w:iCs w:val="1"/>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38" w:lineRule="exact"/>
        <w:rPr>
          <w:rFonts w:ascii="Arial" w:cs="Arial" w:eastAsia="Arial" w:hAnsi="Arial"/>
          <w:sz w:val="13"/>
          <w:szCs w:val="13"/>
          <w:i w:val="1"/>
          <w:iCs w:val="1"/>
          <w:color w:val="auto"/>
        </w:rPr>
      </w:pPr>
    </w:p>
    <w:p>
      <w:pPr>
        <w:ind w:left="980" w:hanging="324"/>
        <w:spacing w:after="0"/>
        <w:tabs>
          <w:tab w:leader="none" w:pos="980" w:val="left"/>
        </w:tabs>
        <w:numPr>
          <w:ilvl w:val="0"/>
          <w:numId w:val="85"/>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right="220"/>
        <w:spacing w:after="0" w:line="264"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73" w:lineRule="exact"/>
        <w:rPr>
          <w:rFonts w:ascii="Arial" w:cs="Arial" w:eastAsia="Arial" w:hAnsi="Arial"/>
          <w:sz w:val="13"/>
          <w:szCs w:val="13"/>
          <w:color w:val="auto"/>
        </w:rPr>
      </w:pPr>
    </w:p>
    <w:p>
      <w:pPr>
        <w:ind w:left="980" w:hanging="324"/>
        <w:spacing w:after="0"/>
        <w:tabs>
          <w:tab w:leader="none" w:pos="980" w:val="left"/>
        </w:tabs>
        <w:numPr>
          <w:ilvl w:val="0"/>
          <w:numId w:val="85"/>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40"/>
        <w:spacing w:after="0" w:line="286" w:lineRule="auto"/>
        <w:rPr>
          <w:rFonts w:ascii="Arial" w:cs="Arial" w:eastAsia="Arial" w:hAnsi="Arial"/>
          <w:sz w:val="13"/>
          <w:szCs w:val="13"/>
          <w:color w:val="auto"/>
        </w:rPr>
      </w:pPr>
      <w:r>
        <w:rPr>
          <w:rFonts w:ascii="Arial" w:cs="Arial" w:eastAsia="Arial" w:hAnsi="Arial"/>
          <w:sz w:val="17"/>
          <w:szCs w:val="17"/>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12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2017 that would be expected from a 10% price increase or decrease is shown in the table below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2017, approximately $911 million, was subject to interest rate re-sets that range from less than one week to approximately three weeks. The average interest rate on variable rate debt that was outstanding during the year ended December 31, 2017 was 2.1%, based upon rates in effect during the year. The fair value of our interest rate derivatives was a liability of $36 million as of December 31, 2017. A 10% increase in the forward LIBOR curve as of December 31, 2017 would have resulted in an increase of $32 million to the fair value of our interest rate derivatives. A 10% decrease in the forward LIBOR curve as of December 31, 2017 would have resulted in a decrease of $32 million to the fair value of our interest rate derivatives. See Note 12 to our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$4 million as of December 31, 2017. A 10% increase in the exchange rate (USD-to-CAD) would have resulted in a decrease of $56 million to the fair value of our foreign currency derivatives. A 10% decrease in the exchange rate (USD-to-CAD) would have resulted in an increase of $56 million to the fair value of our foreign currency derivatives. See Note 12 to our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on our Consolidated Balance Sheets. The valuation model utilized for this embedded derivative contains inputs including PAA’s common unit price, ten-year U.S. treasury rates and default probabilities to ultimately calculate the fair value of PAA’s Series A preferred units with and without the Preferred Distribution Rate Reset Option. The fair value of this embedded derivative was a liability of $22 million as of December 31, 2017. A 10% increase or decrease in the fair value would have an impact of $2 million. See Note 12 to our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2017, the end of the period covered by this report, and, based on such evaluation, our Chief Executive Officer and Chief Financial Officer have concluded that our DCP is effective.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2017. See “Management’s Report on Internal Control Over Financial Reporting” on page F-2 of our Consolidated Financial Statements.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2017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2017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filing this report, the following individuals were serving as our executive officers (for purposes of Item 401(b) of Regulation 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and/or directors: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Occupation or Employment</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Greg L. Armstrong</w:t>
            </w:r>
            <w:r>
              <w:rPr>
                <w:rFonts w:ascii="Arial" w:cs="Arial" w:eastAsia="Arial" w:hAnsi="Arial"/>
                <w:sz w:val="25"/>
                <w:szCs w:val="25"/>
                <w:color w:val="auto"/>
                <w:vertAlign w:val="superscript"/>
              </w:rPr>
              <w:t>(1)(2)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Harry N. Pefanis</w:t>
            </w:r>
            <w:r>
              <w:rPr>
                <w:rFonts w:ascii="Arial" w:cs="Arial" w:eastAsia="Arial" w:hAnsi="Arial"/>
                <w:sz w:val="25"/>
                <w:szCs w:val="25"/>
                <w:color w:val="auto"/>
                <w:vertAlign w:val="superscript"/>
              </w:rPr>
              <w:t>(1)(2)</w:t>
            </w:r>
          </w:p>
        </w:tc>
        <w:tc>
          <w:tcPr>
            <w:tcW w:w="8780" w:type="dxa"/>
            <w:vAlign w:val="bottom"/>
          </w:tcPr>
          <w:p>
            <w:pPr>
              <w:ind w:left="20"/>
              <w:spacing w:after="0"/>
              <w:rPr>
                <w:sz w:val="20"/>
                <w:szCs w:val="20"/>
                <w:color w:val="auto"/>
              </w:rPr>
            </w:pPr>
            <w:r>
              <w:rPr>
                <w:rFonts w:ascii="Arial" w:cs="Arial" w:eastAsia="Arial" w:hAnsi="Arial"/>
                <w:sz w:val="18"/>
                <w:szCs w:val="18"/>
                <w:color w:val="auto"/>
              </w:rPr>
              <w:t>President, Chief Commercial Officer and Director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Willie Chiang</w:t>
            </w:r>
            <w:r>
              <w:rPr>
                <w:rFonts w:ascii="Arial" w:cs="Arial" w:eastAsia="Arial" w:hAnsi="Arial"/>
                <w:sz w:val="25"/>
                <w:szCs w:val="25"/>
                <w:color w:val="auto"/>
                <w:vertAlign w:val="superscript"/>
              </w:rPr>
              <w:t>(1)(2)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Operating Officer and Director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Al Swanson</w:t>
            </w:r>
            <w:r>
              <w:rPr>
                <w:rFonts w:ascii="Arial" w:cs="Arial" w:eastAsia="Arial" w:hAnsi="Arial"/>
                <w:sz w:val="25"/>
                <w:szCs w:val="25"/>
                <w:color w:val="auto"/>
                <w:vertAlign w:val="superscript"/>
              </w:rPr>
              <w:t>(1)</w:t>
            </w:r>
          </w:p>
        </w:tc>
        <w:tc>
          <w:tcPr>
            <w:tcW w:w="8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Richard K. McGee</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Daniel J. Nerbonne</w:t>
            </w:r>
            <w:r>
              <w:rPr>
                <w:rFonts w:ascii="Arial" w:cs="Arial" w:eastAsia="Arial" w:hAnsi="Arial"/>
                <w:sz w:val="25"/>
                <w:szCs w:val="25"/>
                <w:color w:val="auto"/>
                <w:vertAlign w:val="superscript"/>
              </w:rPr>
              <w:t>(1)</w:t>
            </w:r>
          </w:p>
        </w:tc>
        <w:tc>
          <w:tcPr>
            <w:tcW w:w="8780" w:type="dxa"/>
            <w:vAlign w:val="bottom"/>
          </w:tcPr>
          <w:p>
            <w:pPr>
              <w:ind w:left="20"/>
              <w:spacing w:after="0"/>
              <w:rPr>
                <w:sz w:val="20"/>
                <w:szCs w:val="20"/>
                <w:color w:val="auto"/>
              </w:rPr>
            </w:pPr>
            <w:r>
              <w:rPr>
                <w:rFonts w:ascii="Arial" w:cs="Arial" w:eastAsia="Arial" w:hAnsi="Arial"/>
                <w:sz w:val="18"/>
                <w:szCs w:val="18"/>
                <w:color w:val="auto"/>
              </w:rPr>
              <w:t>Executive Vice President, Operations and Engineering</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Chris Herbold</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Accounting and Chief Accounting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Oscar K. Brown</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Senior Vice President, Corporate Strategy and Development, Occidental Petroleum Corporation</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Victor Burk</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Director, Alvarez and Marsal</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Everardo Goyanes</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Founder, Ex Cathedra LLC</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Gary R. Petersen</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Partner, EnCap Investments L.P.</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John T. Raymond</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Managing Partner and Chief Executive Officer, The Energy &amp; Minerals Group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Bobby S. Shackouls</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Chairman and CEO, Burlington Resources Inc.</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Robert V. Sinnott</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Co-Chairman, Kayne Anderson Capital Advisors, L.P.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J. Taft Symonds</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Symonds Investment Company, Inc.</w:t>
            </w:r>
          </w:p>
        </w:tc>
      </w:tr>
      <w:tr>
        <w:trPr>
          <w:trHeight w:val="34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Christopher M. Temple</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President, DelTex Capital LLC</w:t>
            </w:r>
          </w:p>
        </w:tc>
      </w:tr>
    </w:tbl>
    <w:p>
      <w:pPr>
        <w:spacing w:after="0" w:line="127" w:lineRule="exact"/>
        <w:rPr>
          <w:sz w:val="20"/>
          <w:szCs w:val="20"/>
          <w:color w:val="auto"/>
        </w:rPr>
      </w:pPr>
    </w:p>
    <w:p>
      <w:pPr>
        <w:ind w:left="740" w:hanging="651"/>
        <w:spacing w:after="0"/>
        <w:tabs>
          <w:tab w:leader="none" w:pos="740" w:val="left"/>
        </w:tabs>
        <w:numPr>
          <w:ilvl w:val="0"/>
          <w:numId w:val="86"/>
        </w:numPr>
        <w:rPr>
          <w:rFonts w:ascii="Arial" w:cs="Arial" w:eastAsia="Arial" w:hAnsi="Arial"/>
          <w:sz w:val="25"/>
          <w:szCs w:val="25"/>
          <w:color w:val="auto"/>
          <w:vertAlign w:val="superscript"/>
        </w:rPr>
      </w:pPr>
      <w:r>
        <w:rPr>
          <w:rFonts w:ascii="Arial" w:cs="Arial" w:eastAsia="Arial" w:hAnsi="Arial"/>
          <w:sz w:val="18"/>
          <w:szCs w:val="18"/>
          <w:color w:val="auto"/>
        </w:rPr>
        <w:t>Executive officer (for purposes of Item 401(b) of Regulation S-K)</w:t>
      </w:r>
    </w:p>
    <w:p>
      <w:pPr>
        <w:spacing w:after="0" w:line="1" w:lineRule="exact"/>
        <w:rPr>
          <w:rFonts w:ascii="Arial" w:cs="Arial" w:eastAsia="Arial" w:hAnsi="Arial"/>
          <w:sz w:val="25"/>
          <w:szCs w:val="25"/>
          <w:color w:val="auto"/>
          <w:vertAlign w:val="superscript"/>
        </w:rPr>
      </w:pPr>
    </w:p>
    <w:p>
      <w:pPr>
        <w:ind w:left="740" w:hanging="651"/>
        <w:spacing w:after="0" w:line="186" w:lineRule="auto"/>
        <w:tabs>
          <w:tab w:leader="none" w:pos="740" w:val="left"/>
        </w:tabs>
        <w:numPr>
          <w:ilvl w:val="0"/>
          <w:numId w:val="86"/>
        </w:numPr>
        <w:rPr>
          <w:rFonts w:ascii="Arial" w:cs="Arial" w:eastAsia="Arial" w:hAnsi="Arial"/>
          <w:sz w:val="24"/>
          <w:szCs w:val="24"/>
          <w:color w:val="auto"/>
          <w:vertAlign w:val="superscript"/>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3323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complete list of our officers, including the executive officers listed above, is available on our website at plainsallamerican.com under Investor Relations - Company Information -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125" w:right="2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720" w:hanging="388"/>
        <w:spacing w:after="0"/>
        <w:tabs>
          <w:tab w:leader="none" w:pos="7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25" w:lineRule="exact"/>
        <w:rPr>
          <w:sz w:val="20"/>
          <w:szCs w:val="20"/>
          <w:color w:val="auto"/>
        </w:rPr>
      </w:pPr>
    </w:p>
    <w:p>
      <w:pPr>
        <w:ind w:left="1040" w:hanging="384"/>
        <w:spacing w:after="0"/>
        <w:tabs>
          <w:tab w:leader="none" w:pos="1040" w:val="left"/>
        </w:tabs>
        <w:numPr>
          <w:ilvl w:val="0"/>
          <w:numId w:val="88"/>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040" w:hanging="384"/>
        <w:spacing w:after="0"/>
        <w:tabs>
          <w:tab w:leader="none" w:pos="1040" w:val="left"/>
        </w:tabs>
        <w:numPr>
          <w:ilvl w:val="0"/>
          <w:numId w:val="89"/>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w w:val="99"/>
              </w:rPr>
              <w:t>Exhibit No.</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20" w:type="dxa"/>
            <w:vAlign w:val="bottom"/>
            <w:gridSpan w:val="18"/>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10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2.1*</w:t>
            </w:r>
          </w:p>
        </w:tc>
        <w:tc>
          <w:tcPr>
            <w:tcW w:w="58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7"/>
                <w:szCs w:val="17"/>
                <w:color w:val="auto"/>
              </w:rPr>
            </w:pPr>
          </w:p>
        </w:tc>
        <w:tc>
          <w:tcPr>
            <w:tcW w:w="9620" w:type="dxa"/>
            <w:vAlign w:val="bottom"/>
            <w:tcBorders>
              <w:top w:val="single" w:sz="8" w:color="auto"/>
              <w:bottom w:val="single" w:sz="8" w:color="0000FF"/>
            </w:tcBorders>
            <w:gridSpan w:val="16"/>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Share Purchase Agreement dated December 1, 2011 by and among Amoco Canada International Holdings B.V. and Plains Midstream</w:t>
              </w:r>
            </w:hyperlink>
          </w:p>
        </w:tc>
        <w:tc>
          <w:tcPr>
            <w:tcW w:w="160" w:type="dxa"/>
            <w:vAlign w:val="bottom"/>
            <w:tcBorders>
              <w:top w:val="single" w:sz="8" w:color="auto"/>
            </w:tcBorders>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Canada ULC (the schedules and exhibits have been omitted pursuant to Item 601(b)(2) of Regulation S-K) (incorporated by reference</w:t>
              </w:r>
            </w:hyperlink>
          </w:p>
        </w:tc>
        <w:tc>
          <w:tcPr>
            <w:tcW w:w="1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to Exhibit 2.1 to PAA’s Annual Report on Form 10-K for the year ended December 31, 2011).</w:t>
              </w:r>
            </w:hyperlink>
          </w:p>
        </w:tc>
        <w:tc>
          <w:tcPr>
            <w:tcW w:w="3020" w:type="dxa"/>
            <w:vAlign w:val="bottom"/>
            <w:gridSpan w:val="16"/>
          </w:tcPr>
          <w:p>
            <w:pPr>
              <w:spacing w:after="0"/>
              <w:rPr>
                <w:sz w:val="17"/>
                <w:szCs w:val="17"/>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380" w:type="dxa"/>
            <w:vAlign w:val="bottom"/>
            <w:gridSpan w:val="24"/>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67">
              <w:r>
                <w:rPr>
                  <w:rFonts w:ascii="Arial" w:cs="Arial" w:eastAsia="Arial" w:hAnsi="Arial"/>
                  <w:sz w:val="18"/>
                  <w:szCs w:val="18"/>
                  <w:color w:val="0000FF"/>
                  <w:w w:val="96"/>
                </w:rPr>
                <w:t>Agreement and Plan of Merger dated as of October 21, 2013, by and among Plains All American Pipeline, L.P., PAA Acquisition</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Company LLC, PAA Natural Gas Storage, L.P. and PNGS GP LLC (incorporated by reference to Exhibit 2.1 to PAA’s Current Report</w:t>
              </w:r>
            </w:hyperlink>
          </w:p>
        </w:tc>
        <w:tc>
          <w:tcPr>
            <w:tcW w:w="1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on Form 8-K filed October 24, 2013).</w:t>
              </w:r>
            </w:hyperlink>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rPr>
              <w:t>2.3**</w:t>
            </w:r>
          </w:p>
        </w:tc>
        <w:tc>
          <w:tcPr>
            <w:tcW w:w="10380" w:type="dxa"/>
            <w:vAlign w:val="bottom"/>
            <w:gridSpan w:val="24"/>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8">
              <w:r>
                <w:rPr>
                  <w:rFonts w:ascii="Arial" w:cs="Arial" w:eastAsia="Arial" w:hAnsi="Arial"/>
                  <w:sz w:val="18"/>
                  <w:szCs w:val="18"/>
                  <w:color w:val="0000FF"/>
                  <w:w w:val="97"/>
                </w:rPr>
                <w:t>Simplification Agreement, dated as of July 11, 2016, by and among PAA GP Holdings LLC, Plains GP Holdings, L.P., Plains All</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American GP LLC, Plains AAP, L.P., PAA GP LLC and Plains All American Pipeline, L.P. (incorporated by reference to Exhibit 2.1 to</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PAA’s Current Report on Form 8-K filed July 14, 2016).</w:t>
              </w:r>
            </w:hyperlink>
          </w:p>
        </w:tc>
        <w:tc>
          <w:tcPr>
            <w:tcW w:w="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rPr>
              <w:t>2.4**</w:t>
            </w:r>
          </w:p>
        </w:tc>
        <w:tc>
          <w:tcPr>
            <w:tcW w:w="10380" w:type="dxa"/>
            <w:vAlign w:val="bottom"/>
            <w:gridSpan w:val="24"/>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69">
              <w:r>
                <w:rPr>
                  <w:rFonts w:ascii="Arial" w:cs="Arial" w:eastAsia="Arial" w:hAnsi="Arial"/>
                  <w:sz w:val="18"/>
                  <w:szCs w:val="18"/>
                  <w:color w:val="0000FF"/>
                  <w:w w:val="91"/>
                </w:rPr>
                <w:t>Securities Purchase Agreement dated as of January 19, 2017 by and between COG Operating LLC, as seller, and Plains Pipeline, L.P.,</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19"/>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as purchaser (the schedules and exhibits have been omitted pursuant to Item 601(b)(2) of Regulation S-K) (incorporated by reference</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to Exhibit 2.1 to PAA’s Quarterly Report on Form 10-Q for the quarter ended March 31, 2017).</w:t>
              </w:r>
            </w:hyperlink>
          </w:p>
        </w:tc>
        <w:tc>
          <w:tcPr>
            <w:tcW w:w="20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628"/>
        </w:trPr>
        <w:tc>
          <w:tcPr>
            <w:tcW w:w="1040" w:type="dxa"/>
            <w:vAlign w:val="bottom"/>
          </w:tcPr>
          <w:p>
            <w:pPr>
              <w:jc w:val="center"/>
              <w:spacing w:after="0"/>
              <w:rPr>
                <w:sz w:val="20"/>
                <w:szCs w:val="20"/>
                <w:color w:val="auto"/>
              </w:rPr>
            </w:pPr>
            <w:r>
              <w:rPr>
                <w:rFonts w:ascii="Arial" w:cs="Arial" w:eastAsia="Arial" w:hAnsi="Arial"/>
                <w:sz w:val="18"/>
                <w:szCs w:val="18"/>
                <w:color w:val="auto"/>
              </w:rPr>
              <w:t>2.5**</w:t>
            </w:r>
          </w:p>
        </w:tc>
        <w:tc>
          <w:tcPr>
            <w:tcW w:w="10380" w:type="dxa"/>
            <w:vAlign w:val="bottom"/>
            <w:gridSpan w:val="24"/>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0">
              <w:r>
                <w:rPr>
                  <w:rFonts w:ascii="Arial" w:cs="Arial" w:eastAsia="Arial" w:hAnsi="Arial"/>
                  <w:sz w:val="18"/>
                  <w:szCs w:val="18"/>
                  <w:color w:val="0000FF"/>
                  <w:w w:val="91"/>
                </w:rPr>
                <w:t>Securities Purchase Agreement dated as of January 19, 2017 by and between Frontier Midstream Solutions, LLC, as seller, and Plains</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Pipeline, L.P., as purchaser (the schedules and exhibits have been omitted pursuant to Item 601(b)(2) of Regulation S-K) (incorporated</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by reference to Exhibit 2.2 to PAA’s Quarterly Report on Form 10-Q for the quarter ended March 31, 2017).</w:t>
              </w:r>
            </w:hyperlink>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38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1">
              <w:r>
                <w:rPr>
                  <w:rFonts w:ascii="Arial" w:cs="Arial" w:eastAsia="Arial" w:hAnsi="Arial"/>
                  <w:sz w:val="18"/>
                  <w:szCs w:val="18"/>
                  <w:color w:val="0000FF"/>
                  <w:w w:val="92"/>
                </w:rPr>
                <w:t>Seventh Amended and Restated Agreement of Limited Partnership of Plains All American Pipeline, L.P. dated as of October 10, 2017</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3.1 to PAA’s Current Report on Form 8-K filed October 12, 2017).</w:t>
              </w:r>
            </w:hyperlink>
          </w:p>
        </w:tc>
        <w:tc>
          <w:tcPr>
            <w:tcW w:w="12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6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380" w:type="dxa"/>
            <w:vAlign w:val="bottom"/>
            <w:gridSpan w:val="24"/>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2">
              <w:r>
                <w:rPr>
                  <w:rFonts w:ascii="Arial" w:cs="Arial" w:eastAsia="Arial" w:hAnsi="Arial"/>
                  <w:sz w:val="18"/>
                  <w:szCs w:val="18"/>
                  <w:color w:val="0000FF"/>
                  <w:w w:val="95"/>
                </w:rPr>
                <w:t>Seventh Amended and Restated Limited Liability Company Agreement of Plains All American GP LLC dated November 15, 2016</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(incorporated by reference to Exhibit 3.3 to our Current Report on Form 8-K filed November 21, 2016).</w:t>
              </w:r>
            </w:hyperlink>
          </w:p>
        </w:tc>
        <w:tc>
          <w:tcPr>
            <w:tcW w:w="34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380" w:type="dxa"/>
            <w:vAlign w:val="bottom"/>
            <w:gridSpan w:val="24"/>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3">
              <w:r>
                <w:rPr>
                  <w:rFonts w:ascii="Arial" w:cs="Arial" w:eastAsia="Arial" w:hAnsi="Arial"/>
                  <w:sz w:val="18"/>
                  <w:szCs w:val="18"/>
                  <w:color w:val="0000FF"/>
                  <w:w w:val="98"/>
                </w:rPr>
                <w:t>Eighth Amended and Restated Limited Partnership Agreement of Plains AAP, L.P. dated November 15, 2016 (incorporated by</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reference to Exhibit 3.4 to our Current Report on Form 8-K filed November 21, 2016).</w:t>
              </w:r>
            </w:hyperlink>
          </w:p>
        </w:tc>
        <w:tc>
          <w:tcPr>
            <w:tcW w:w="66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380" w:type="dxa"/>
            <w:vAlign w:val="bottom"/>
            <w:gridSpan w:val="24"/>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4">
              <w:r>
                <w:rPr>
                  <w:rFonts w:ascii="Arial" w:cs="Arial" w:eastAsia="Arial" w:hAnsi="Arial"/>
                  <w:sz w:val="18"/>
                  <w:szCs w:val="18"/>
                  <w:color w:val="0000FF"/>
                  <w:w w:val="94"/>
                </w:rPr>
                <w:t>Limited Liability Company Agreement of PAA GP LLC dated December 28, 2007 (incorporated by reference to Exhibit 3.3 to PAA’s</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Current Report on Form 8-K filed January 4, 2008).</w:t>
              </w:r>
            </w:hyperlink>
          </w:p>
        </w:tc>
        <w:tc>
          <w:tcPr>
            <w:tcW w:w="18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380" w:type="dxa"/>
            <w:vAlign w:val="bottom"/>
            <w:gridSpan w:val="24"/>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5">
              <w:r>
                <w:rPr>
                  <w:rFonts w:ascii="Arial" w:cs="Arial" w:eastAsia="Arial" w:hAnsi="Arial"/>
                  <w:sz w:val="18"/>
                  <w:szCs w:val="18"/>
                  <w:color w:val="0000FF"/>
                  <w:w w:val="94"/>
                </w:rPr>
                <w:t>Certificate of Limited Partnership of Plains GP Holdings, L.P. (incorporated by reference to Exhibit 3.1 to our Registration Statement</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on Form S-1 (333-190227) filed July 29, 2013).</w:t>
              </w:r>
            </w:hyperlink>
          </w:p>
        </w:tc>
        <w:tc>
          <w:tcPr>
            <w:tcW w:w="18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380" w:type="dxa"/>
            <w:vAlign w:val="bottom"/>
            <w:gridSpan w:val="24"/>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6">
              <w:r>
                <w:rPr>
                  <w:rFonts w:ascii="Arial" w:cs="Arial" w:eastAsia="Arial" w:hAnsi="Arial"/>
                  <w:sz w:val="18"/>
                  <w:szCs w:val="18"/>
                  <w:color w:val="0000FF"/>
                  <w:w w:val="97"/>
                </w:rPr>
                <w:t>Second Amended and Restated Agreement of Limited Partnership of Plains GP Holdings, L.P. dated as of November 15, 2016</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(incorporated by reference to Exhibit 3.2 to our Current Report on Form 8-K filed November 21, 2016).</w:t>
              </w:r>
            </w:hyperlink>
          </w:p>
        </w:tc>
        <w:tc>
          <w:tcPr>
            <w:tcW w:w="680" w:type="dxa"/>
            <w:vAlign w:val="bottom"/>
            <w:gridSpan w:val="12"/>
          </w:tcPr>
          <w:p>
            <w:pPr>
              <w:spacing w:after="0"/>
              <w:rPr>
                <w:sz w:val="17"/>
                <w:szCs w:val="17"/>
                <w:color w:val="auto"/>
              </w:rPr>
            </w:pPr>
          </w:p>
        </w:tc>
      </w:tr>
      <w:tr>
        <w:trPr>
          <w:trHeight w:val="669"/>
        </w:trPr>
        <w:tc>
          <w:tcPr>
            <w:tcW w:w="10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6240" w:type="dxa"/>
            <w:vAlign w:val="bottom"/>
            <w:tcBorders>
              <w:top w:val="single" w:sz="8" w:color="0000FF"/>
            </w:tcBorders>
            <w:gridSpan w:val="5"/>
          </w:tcPr>
          <w:p>
            <w:pPr>
              <w:ind w:left="3940"/>
              <w:spacing w:after="0"/>
              <w:rPr>
                <w:sz w:val="20"/>
                <w:szCs w:val="20"/>
                <w:color w:val="auto"/>
              </w:rPr>
            </w:pPr>
            <w:r>
              <w:rPr>
                <w:rFonts w:ascii="Arial" w:cs="Arial" w:eastAsia="Arial" w:hAnsi="Arial"/>
                <w:sz w:val="18"/>
                <w:szCs w:val="18"/>
                <w:color w:val="auto"/>
              </w:rPr>
              <w:t>112</w:t>
            </w: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tabs>
          <w:tab w:leader="none" w:pos="122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r>
        <w:rPr>
          <w:sz w:val="20"/>
          <w:szCs w:val="20"/>
          <w:color w:val="auto"/>
        </w:rPr>
        <w:tab/>
      </w:r>
      <w:hyperlink r:id="rId77">
        <w:r>
          <w:rPr>
            <w:rFonts w:ascii="Arial" w:cs="Arial" w:eastAsia="Arial" w:hAnsi="Arial"/>
            <w:sz w:val="16"/>
            <w:szCs w:val="16"/>
            <w:u w:val="single" w:color="auto"/>
            <w:color w:val="0000FF"/>
          </w:rPr>
          <w:t>Certificate of Formation of PAA GP Holdings LLC (incorporated by reference to Exhibit 3.3 to our Registration Statement on Form S-</w:t>
        </w:r>
      </w:hyperlink>
    </w:p>
    <w:p>
      <w:pPr>
        <w:spacing w:after="0" w:line="23" w:lineRule="exact"/>
        <w:rPr>
          <w:sz w:val="20"/>
          <w:szCs w:val="20"/>
          <w:color w:val="auto"/>
        </w:rPr>
      </w:pPr>
    </w:p>
    <w:p>
      <w:pPr>
        <w:ind w:left="1640"/>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 (333-190227) filed July 29, 2013).</w:t>
        </w:r>
      </w:hyperlink>
    </w:p>
    <w:p>
      <w:pPr>
        <w:spacing w:after="0" w:line="211" w:lineRule="exact"/>
        <w:rPr>
          <w:sz w:val="20"/>
          <w:szCs w:val="20"/>
          <w:color w:val="auto"/>
        </w:rPr>
      </w:pPr>
    </w:p>
    <w:p>
      <w:pPr>
        <w:ind w:left="1240" w:right="620" w:hanging="1226"/>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70" w:lineRule="exact"/>
        <w:rPr>
          <w:sz w:val="20"/>
          <w:szCs w:val="20"/>
          <w:color w:val="auto"/>
        </w:rPr>
      </w:pPr>
    </w:p>
    <w:p>
      <w:pPr>
        <w:ind w:left="1240" w:right="38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FF"/>
          </w:rPr>
          <w:t>Association, as trustee (incorporated by reference to Exhibit 4.1 to PAA’s Quarterly Report on Form 10-Q for the quarter ended</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September 30, 2002).</w:t>
        </w:r>
      </w:hyperlink>
    </w:p>
    <w:p>
      <w:pPr>
        <w:spacing w:after="0" w:line="181" w:lineRule="exact"/>
        <w:rPr>
          <w:rFonts w:ascii="Arial" w:cs="Arial" w:eastAsia="Arial" w:hAnsi="Arial"/>
          <w:sz w:val="18"/>
          <w:szCs w:val="18"/>
          <w:color w:val="auto"/>
        </w:rPr>
      </w:pPr>
    </w:p>
    <w:p>
      <w:pPr>
        <w:ind w:left="1240" w:right="12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FF"/>
          </w:rPr>
          <w:t>Sixth Supplemental Indenture (Series A and Series B 6.70% Senior Notes due 2036) dated May 12, 2006 among Plains All American</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FF"/>
          </w:rPr>
          <w:t>Pipeline, L.P., PAA Finance Corp., the Subsidiary Guarantors named therein and Wachovia Bank, National Association, as trustee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(incorporated by reference to Exhibit 4.1 to PAA’s Current Report on Form 8-K filed May 12, 2006).</w:t>
        </w:r>
      </w:hyperlink>
    </w:p>
    <w:p>
      <w:pPr>
        <w:spacing w:after="0" w:line="181" w:lineRule="exact"/>
        <w:rPr>
          <w:rFonts w:ascii="Arial" w:cs="Arial" w:eastAsia="Arial" w:hAnsi="Arial"/>
          <w:sz w:val="18"/>
          <w:szCs w:val="18"/>
          <w:color w:val="auto"/>
        </w:rPr>
      </w:pPr>
    </w:p>
    <w:p>
      <w:pPr>
        <w:ind w:left="1240" w:right="6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Tenth Supplemental Indenture (Series A and Series B 6.650% Senior Notes due 2037) dated October 30, 2006 among Plains All</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American Pipeline, L.P., PAA Finance Corp., the Subsidiary Guarantors named therein and U.S. Bank National Association, as trustee</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(incorporated by reference to Exhibit 4.2 to PAA’s Current Report on Form 8-K filed October 30, 2006).</w:t>
        </w:r>
      </w:hyperlink>
    </w:p>
    <w:p>
      <w:pPr>
        <w:spacing w:after="0" w:line="181" w:lineRule="exact"/>
        <w:rPr>
          <w:rFonts w:ascii="Arial" w:cs="Arial" w:eastAsia="Arial" w:hAnsi="Arial"/>
          <w:sz w:val="18"/>
          <w:szCs w:val="18"/>
          <w:color w:val="auto"/>
        </w:rPr>
      </w:pPr>
    </w:p>
    <w:p>
      <w:pPr>
        <w:jc w:val="both"/>
        <w:ind w:left="1240" w:right="20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Seventeenth Supplemental Indenture (5.75% Senior Notes due 2020) dated September 4, 2009 among Plains All American Pipeline,</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L.P., PAA Finance Corp., the Subsidiary Guarantors named therein and U.S. Bank National Association, as trustee (incorporated by</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reference to Exhibit 4.1 to PAA’s Current Report on Form 8-K filed September 4, 2009).</w:t>
        </w:r>
      </w:hyperlink>
    </w:p>
    <w:p>
      <w:pPr>
        <w:spacing w:after="0" w:line="181" w:lineRule="exact"/>
        <w:rPr>
          <w:rFonts w:ascii="Arial" w:cs="Arial" w:eastAsia="Arial" w:hAnsi="Arial"/>
          <w:sz w:val="18"/>
          <w:szCs w:val="18"/>
          <w:color w:val="auto"/>
        </w:rPr>
      </w:pPr>
    </w:p>
    <w:p>
      <w:pPr>
        <w:ind w:left="1240" w:right="6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FF"/>
          </w:rPr>
          <w:t>Nineteenth Supplemental Indenture (5.00% Senior Notes due 2021) dated January 14, 2011 among Plains All American Pipeline, L.P.,</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FF"/>
          </w:rPr>
          <w:t>PAA Finance Corp., the Subsidiary Guarantors named therein and U.S. Bank National Association, as trustee (incorporated by</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reference to Exhibit 4.1 to PAA’s Current Report on Form 8-K filed January 11, 2011).</w:t>
        </w:r>
      </w:hyperlink>
    </w:p>
    <w:p>
      <w:pPr>
        <w:spacing w:after="0" w:line="181" w:lineRule="exact"/>
        <w:rPr>
          <w:rFonts w:ascii="Arial" w:cs="Arial" w:eastAsia="Arial" w:hAnsi="Arial"/>
          <w:sz w:val="18"/>
          <w:szCs w:val="18"/>
          <w:color w:val="auto"/>
        </w:rPr>
      </w:pPr>
    </w:p>
    <w:p>
      <w:pPr>
        <w:jc w:val="both"/>
        <w:ind w:left="1240" w:right="12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FF"/>
          </w:rPr>
          <w:t>Twentieth Supplemental Indenture (3.65% Senior Notes due 2022) dated March 22, 2012 among Plains All American Pipeline, L.P.,</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FF"/>
          </w:rPr>
          <w:t>PAA Finance Corp. and U.S. Bank National Association, as trustee (incorporated by reference to Exhibit 4.1 to PAA’s Current Report</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on Form 8-K filed March 26, 2012).</w:t>
        </w:r>
      </w:hyperlink>
    </w:p>
    <w:p>
      <w:pPr>
        <w:spacing w:after="0" w:line="181" w:lineRule="exact"/>
        <w:rPr>
          <w:rFonts w:ascii="Arial" w:cs="Arial" w:eastAsia="Arial" w:hAnsi="Arial"/>
          <w:sz w:val="18"/>
          <w:szCs w:val="18"/>
          <w:color w:val="auto"/>
        </w:rPr>
      </w:pPr>
    </w:p>
    <w:p>
      <w:pPr>
        <w:ind w:left="124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Twenty-First Supplemental Indenture (5.15% Senior Notes due 2042) dated March 22, 2012 among Plains All American Pipeline, L.P.,</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PAA Finance Corp. and U.S. Bank National Association, as trustee (incorporated by reference to Exhibit 4.3 to PAA’s Current Report</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on Form 8-K filed March 26, 2012).</w:t>
        </w:r>
      </w:hyperlink>
    </w:p>
    <w:p>
      <w:pPr>
        <w:spacing w:after="0" w:line="181" w:lineRule="exact"/>
        <w:rPr>
          <w:rFonts w:ascii="Arial" w:cs="Arial" w:eastAsia="Arial" w:hAnsi="Arial"/>
          <w:sz w:val="18"/>
          <w:szCs w:val="18"/>
          <w:color w:val="auto"/>
        </w:rPr>
      </w:pPr>
    </w:p>
    <w:p>
      <w:pPr>
        <w:ind w:left="124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Twenty-Second Supplemental Indenture (2.85% Senior Notes due 2023) dated December 10, 2012, by and among Plains All American</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Current Report on Form 8-K filed December 12, 2012).</w:t>
        </w:r>
      </w:hyperlink>
    </w:p>
    <w:p>
      <w:pPr>
        <w:spacing w:after="0" w:line="181" w:lineRule="exact"/>
        <w:rPr>
          <w:rFonts w:ascii="Arial" w:cs="Arial" w:eastAsia="Arial" w:hAnsi="Arial"/>
          <w:sz w:val="18"/>
          <w:szCs w:val="18"/>
          <w:color w:val="auto"/>
        </w:rPr>
      </w:pPr>
    </w:p>
    <w:p>
      <w:pPr>
        <w:jc w:val="both"/>
        <w:ind w:left="1240" w:right="14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Twenty-Third Supplemental Indenture (4.30% Senior Notes due 2043) dated December 10, 2012, by and among Plains All American</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Pipeline, L.P., PAA Finance Corp. and U.S. Bank National Association, as trustee (incorporated by reference to Exhibit 4.3 to PAA’s</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Current Report on Form 8-K filed December 12, 2012).</w:t>
        </w:r>
      </w:hyperlink>
    </w:p>
    <w:p>
      <w:pPr>
        <w:spacing w:after="0" w:line="181" w:lineRule="exact"/>
        <w:rPr>
          <w:rFonts w:ascii="Arial" w:cs="Arial" w:eastAsia="Arial" w:hAnsi="Arial"/>
          <w:sz w:val="18"/>
          <w:szCs w:val="18"/>
          <w:color w:val="auto"/>
        </w:rPr>
      </w:pPr>
    </w:p>
    <w:p>
      <w:pPr>
        <w:ind w:left="1240" w:right="28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Twenty-Fourth Supplemental Indenture (3.85% Senior Notes due 2023) dated August 15, 2013, by and among Plains All American</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Current Report on Form 8-K filed August 15, 2013).</w:t>
        </w:r>
      </w:hyperlink>
    </w:p>
    <w:p>
      <w:pPr>
        <w:spacing w:after="0" w:line="181" w:lineRule="exact"/>
        <w:rPr>
          <w:rFonts w:ascii="Arial" w:cs="Arial" w:eastAsia="Arial" w:hAnsi="Arial"/>
          <w:sz w:val="18"/>
          <w:szCs w:val="18"/>
          <w:color w:val="auto"/>
        </w:rPr>
      </w:pPr>
    </w:p>
    <w:p>
      <w:pPr>
        <w:ind w:left="1240" w:right="400" w:hanging="1267"/>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Current Report on Form 8-K filed April 29, 2014).</w:t>
        </w:r>
      </w:hyperlink>
    </w:p>
    <w:p>
      <w:pPr>
        <w:spacing w:after="0" w:line="181" w:lineRule="exact"/>
        <w:rPr>
          <w:rFonts w:ascii="Arial" w:cs="Arial" w:eastAsia="Arial" w:hAnsi="Arial"/>
          <w:sz w:val="18"/>
          <w:szCs w:val="18"/>
          <w:color w:val="auto"/>
        </w:rPr>
      </w:pPr>
    </w:p>
    <w:p>
      <w:pPr>
        <w:ind w:left="1240" w:right="22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Twenty-Sixth Supplemental Indenture (3.60% Senior Notes due 2024) dated September 9, 2014, by and among Plains All American</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Current Report on Form 8-K filed September 11, 2014).</w:t>
        </w:r>
      </w:hyperlink>
    </w:p>
    <w:p>
      <w:pPr>
        <w:spacing w:after="0" w:line="181" w:lineRule="exact"/>
        <w:rPr>
          <w:rFonts w:ascii="Arial" w:cs="Arial" w:eastAsia="Arial" w:hAnsi="Arial"/>
          <w:sz w:val="18"/>
          <w:szCs w:val="18"/>
          <w:color w:val="auto"/>
        </w:rPr>
      </w:pPr>
    </w:p>
    <w:p>
      <w:pPr>
        <w:ind w:left="1240" w:right="4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Twenty-Seventh Supplemental Indenture (2.60% Senior Notes due 2019) dated December 9, 2014, by and among Plains All American</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Current Report on Form 8-K filed December 11, 2014).</w:t>
        </w:r>
      </w:hyperlink>
    </w:p>
    <w:p>
      <w:pPr>
        <w:sectPr>
          <w:pgSz w:w="11900" w:h="16838" w:orient="portrait"/>
          <w:cols w:equalWidth="0" w:num="1">
            <w:col w:w="11380"/>
          </w:cols>
          <w:pgMar w:left="240" w:top="125" w:right="279" w:bottom="1440" w:gutter="0" w:footer="0" w:header="0"/>
        </w:sectPr>
      </w:pPr>
    </w:p>
    <w:p>
      <w:pPr>
        <w:spacing w:after="0" w:line="3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80"/>
          </w:cols>
          <w:pgMar w:left="240" w:top="125" w:right="27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240" w:right="16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Twenty-Eighth Supplemental Indenture (4.90% Senior Notes due 2045) dated December 9, 2014, by and among Plains All American</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Pipeline, L.P., PAA Finance Corp. and U.S. Bank National Association, as trustee (incorporated by reference to Exhibit 4.3 to our</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Current Report on Form 8-K filed December 11, 2014).</w:t>
        </w:r>
      </w:hyperlink>
    </w:p>
    <w:p>
      <w:pPr>
        <w:spacing w:after="0" w:line="181" w:lineRule="exact"/>
        <w:rPr>
          <w:rFonts w:ascii="Arial" w:cs="Arial" w:eastAsia="Arial" w:hAnsi="Arial"/>
          <w:sz w:val="18"/>
          <w:szCs w:val="18"/>
          <w:color w:val="auto"/>
        </w:rPr>
      </w:pPr>
    </w:p>
    <w:p>
      <w:pPr>
        <w:ind w:left="1240" w:right="22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Twenty-Ninth Supplemental Indenture (4.65% Senior Notes due 2025) dated August 24, 2015, by and among Plains All American</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Current Report on Form 8-K filed August 26, 2015).</w:t>
        </w:r>
      </w:hyperlink>
    </w:p>
    <w:p>
      <w:pPr>
        <w:spacing w:after="0" w:line="181" w:lineRule="exact"/>
        <w:rPr>
          <w:rFonts w:ascii="Arial" w:cs="Arial" w:eastAsia="Arial" w:hAnsi="Arial"/>
          <w:sz w:val="18"/>
          <w:szCs w:val="18"/>
          <w:color w:val="auto"/>
        </w:rPr>
      </w:pPr>
    </w:p>
    <w:p>
      <w:pPr>
        <w:ind w:left="1240" w:right="22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Thirtieth Supplemental Indenture (4.50% Senior Notes due 2026) dated November 22, 2016, by and among Plains All American</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Current Report on Form 8-K filed November 29, 2016).</w:t>
        </w:r>
      </w:hyperlink>
    </w:p>
    <w:p>
      <w:pPr>
        <w:spacing w:after="0" w:line="181" w:lineRule="exact"/>
        <w:rPr>
          <w:rFonts w:ascii="Arial" w:cs="Arial" w:eastAsia="Arial" w:hAnsi="Arial"/>
          <w:sz w:val="18"/>
          <w:szCs w:val="18"/>
          <w:color w:val="auto"/>
        </w:rPr>
      </w:pPr>
    </w:p>
    <w:p>
      <w:pPr>
        <w:ind w:left="1240" w:right="160" w:hanging="1271"/>
        <w:spacing w:after="0" w:line="308"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color w:val="auto"/>
        </w:rPr>
        <w:t xml:space="preserve">— </w:t>
      </w:r>
      <w:hyperlink r:id="rId95">
        <w:r>
          <w:rPr>
            <w:rFonts w:ascii="Arial" w:cs="Arial" w:eastAsia="Arial" w:hAnsi="Arial"/>
            <w:sz w:val="17"/>
            <w:szCs w:val="17"/>
            <w:u w:val="single" w:color="auto"/>
            <w:color w:val="0000FF"/>
          </w:rPr>
          <w:t>Shareholder and Registration Rights Agreement dated October 21, 2013 by and among Plains GP Holdings, L.P. and the other parties</w:t>
        </w:r>
      </w:hyperlink>
      <w:r>
        <w:rPr>
          <w:rFonts w:ascii="Arial" w:cs="Arial" w:eastAsia="Arial" w:hAnsi="Arial"/>
          <w:sz w:val="17"/>
          <w:szCs w:val="17"/>
          <w:color w:val="auto"/>
        </w:rPr>
        <w:t xml:space="preserve"> </w:t>
      </w:r>
      <w:hyperlink r:id="rId95">
        <w:r>
          <w:rPr>
            <w:rFonts w:ascii="Arial" w:cs="Arial" w:eastAsia="Arial" w:hAnsi="Arial"/>
            <w:sz w:val="17"/>
            <w:szCs w:val="17"/>
            <w:u w:val="single" w:color="auto"/>
            <w:color w:val="0000FF"/>
          </w:rPr>
          <w:t>signatory thereto (incorporated by reference to Exhibit 4.1 to our Current Report on Form 8-K filed October 25, 2013).</w:t>
        </w:r>
      </w:hyperlink>
    </w:p>
    <w:p>
      <w:pPr>
        <w:spacing w:after="0" w:line="147" w:lineRule="exact"/>
        <w:rPr>
          <w:sz w:val="20"/>
          <w:szCs w:val="20"/>
          <w:color w:val="auto"/>
        </w:rPr>
      </w:pPr>
    </w:p>
    <w:p>
      <w:pPr>
        <w:ind w:left="1240" w:right="22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Credit Agreement dated as of August 19, 2011 among Plains All American Pipeline, L.P., as Borrower; certain subsidiaries of Plains</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All American Pipeline, L.P. from time to time party thereto, as Designated Borrowers; Bank of America, N.A., as Administrative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Agent; and the other Lenders party thereto (incorporated by reference to Exhibit 10.1 to PAA’s Current Report on Form 8-K filed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August 25, 2011).</w:t>
        </w:r>
      </w:hyperlink>
    </w:p>
    <w:p>
      <w:pPr>
        <w:spacing w:after="0" w:line="187" w:lineRule="exact"/>
        <w:rPr>
          <w:rFonts w:ascii="Arial" w:cs="Arial" w:eastAsia="Arial" w:hAnsi="Arial"/>
          <w:sz w:val="18"/>
          <w:szCs w:val="18"/>
          <w:u w:val="single" w:color="auto"/>
          <w:color w:val="0000FF"/>
        </w:rPr>
      </w:pPr>
    </w:p>
    <w:p>
      <w:pPr>
        <w:ind w:left="1240" w:right="2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First Amendment to Credit Agreement dated as of June 27, 2012, among Plains All American Pipeline, L.P. and Plains Midstream</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Canada ULC, as Borrowers; Bank of America, N.A., as Administrative Agent, Swing Line Lender and L/C Issuer; Wells Fargo Bank,</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National Association, as an L/C Issuer; and the other Lenders party thereto (incorporated by reference to Exhibit 10.2 to PAA’s Current</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Report on Form 8-K filed July 3, 2012).</w:t>
        </w:r>
      </w:hyperlink>
    </w:p>
    <w:p>
      <w:pPr>
        <w:spacing w:after="0" w:line="187" w:lineRule="exact"/>
        <w:rPr>
          <w:rFonts w:ascii="Arial" w:cs="Arial" w:eastAsia="Arial" w:hAnsi="Arial"/>
          <w:sz w:val="18"/>
          <w:szCs w:val="18"/>
          <w:u w:val="single" w:color="auto"/>
          <w:color w:val="0000FF"/>
        </w:rPr>
      </w:pPr>
    </w:p>
    <w:p>
      <w:pPr>
        <w:ind w:left="1240" w:right="18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Second Amendment to Credit Agreement dated as of August 16, 2013, among Plains All American Pipeline, L.P. and Plains</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Midstream Canada ULC, as Borrowers; Bank of America, N.A., as Administrative Agent, Swing Line Lender and L/C Issuer; Wells</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Fargo Bank, National Association, as an L/C Issuer; and the other Lenders party thereto (incorporated by reference to Exhibit 10.2 to</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PAA’s Current Report on Form 8-K filed August 20, 2013).</w:t>
        </w:r>
      </w:hyperlink>
    </w:p>
    <w:p>
      <w:pPr>
        <w:spacing w:after="0" w:line="187" w:lineRule="exact"/>
        <w:rPr>
          <w:rFonts w:ascii="Arial" w:cs="Arial" w:eastAsia="Arial" w:hAnsi="Arial"/>
          <w:sz w:val="18"/>
          <w:szCs w:val="18"/>
          <w:u w:val="single" w:color="auto"/>
          <w:color w:val="0000FF"/>
        </w:rPr>
      </w:pPr>
    </w:p>
    <w:p>
      <w:pPr>
        <w:ind w:left="1240" w:right="2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Third Amendment to Credit Agreement dated as of August 11, 2016, among Plains All American Pipeline, L.P. and Plains Midstream</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Canada ULC, as Borrowers; Bank of America, N.A., as Administrative Agent, Swing Line Lender and L/C Issuer; Wells Fargo Bank,</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National Association, as an L/C Issuer; and the other Lenders party thereto (incorporated by reference to Exhibit 10.1 to PAA’s Current</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Report on Form 8-K filed August 17, 2016).</w:t>
        </w:r>
      </w:hyperlink>
    </w:p>
    <w:p>
      <w:pPr>
        <w:spacing w:after="0" w:line="187" w:lineRule="exact"/>
        <w:rPr>
          <w:rFonts w:ascii="Arial" w:cs="Arial" w:eastAsia="Arial" w:hAnsi="Arial"/>
          <w:sz w:val="18"/>
          <w:szCs w:val="18"/>
          <w:u w:val="single" w:color="auto"/>
          <w:color w:val="0000FF"/>
        </w:rPr>
      </w:pPr>
    </w:p>
    <w:p>
      <w:pPr>
        <w:ind w:left="1240" w:right="4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Third Amended and Restated Credit Agreement dated as of August 19, 2011 by and among Plains Marketing, L.P., as Borrower, Plains</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All American Pipeline, L.P., as Guarantor, Bank of America, N.A., as Administrative Agent, and the other Lenders party thereto</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(incorporated by reference to Exhibit 10.2 to PAA’s Current Report on Form 8-K filed August 25, 2011).</w:t>
        </w:r>
      </w:hyperlink>
    </w:p>
    <w:p>
      <w:pPr>
        <w:spacing w:after="0" w:line="181" w:lineRule="exact"/>
        <w:rPr>
          <w:rFonts w:ascii="Arial" w:cs="Arial" w:eastAsia="Arial" w:hAnsi="Arial"/>
          <w:sz w:val="18"/>
          <w:szCs w:val="18"/>
          <w:color w:val="auto"/>
        </w:rPr>
      </w:pPr>
    </w:p>
    <w:p>
      <w:pPr>
        <w:ind w:left="1240" w:right="40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First Amendment to Third Amended and Restated Credit Agreement dated as of June 27, 2012, among Plains Marketing, L.P. and</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Administrative Agent, Swing Line Lender and L/C Issuer; and the other Lenders and L/C Issuers party thereto (incorporated by</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reference to Exhibit 10.1 to PAA’s Current Report on Form 8-K filed July 3, 2012).</w:t>
        </w:r>
      </w:hyperlink>
    </w:p>
    <w:p>
      <w:pPr>
        <w:spacing w:after="0" w:line="187" w:lineRule="exact"/>
        <w:rPr>
          <w:rFonts w:ascii="Arial" w:cs="Arial" w:eastAsia="Arial" w:hAnsi="Arial"/>
          <w:sz w:val="18"/>
          <w:szCs w:val="18"/>
          <w:u w:val="single" w:color="auto"/>
          <w:color w:val="0000FF"/>
        </w:rPr>
      </w:pPr>
    </w:p>
    <w:p>
      <w:pPr>
        <w:ind w:left="1240" w:hanging="1271"/>
        <w:spacing w:after="0" w:line="269"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 xml:space="preserve">— </w:t>
      </w:r>
      <w:hyperlink r:id="rId102">
        <w:r>
          <w:rPr>
            <w:rFonts w:ascii="Arial" w:cs="Arial" w:eastAsia="Arial" w:hAnsi="Arial"/>
            <w:sz w:val="17"/>
            <w:szCs w:val="17"/>
            <w:u w:val="single" w:color="auto"/>
            <w:color w:val="0000FF"/>
          </w:rPr>
          <w:t>Second Amendment to Third Amended and Restated Credit Agreement dated as of August 16, 2013, among Plains Marketing, L.P. and</w:t>
        </w:r>
      </w:hyperlink>
      <w:r>
        <w:rPr>
          <w:rFonts w:ascii="Arial" w:cs="Arial" w:eastAsia="Arial" w:hAnsi="Arial"/>
          <w:sz w:val="17"/>
          <w:szCs w:val="17"/>
          <w:color w:val="auto"/>
        </w:rPr>
        <w:t xml:space="preserve"> </w:t>
      </w:r>
      <w:hyperlink r:id="rId102">
        <w:r>
          <w:rPr>
            <w:rFonts w:ascii="Arial" w:cs="Arial" w:eastAsia="Arial" w:hAnsi="Arial"/>
            <w:sz w:val="17"/>
            <w:szCs w:val="17"/>
            <w:u w:val="single" w:color="auto"/>
            <w:color w:val="0000FF"/>
          </w:rPr>
          <w:t>Plains Midstream Canada ULC, as Borrowers; Plains All American Pipeline, L.P., as Guarantor; Bank of America, N.A., as</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Administrative Agent, Swing Line Lender and L/C Issuer; Wells Fargo Bank, National Association, as an L/C Issuer; and the other</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Lenders and L/C Issuers party thereto (incorporated by reference to Exhibit 10.1 to PAA’s Current Report on Form 8-K filed</w:t>
        </w:r>
      </w:hyperlink>
    </w:p>
    <w:p>
      <w:pPr>
        <w:spacing w:after="0" w:line="2" w:lineRule="exact"/>
        <w:rPr>
          <w:rFonts w:ascii="Arial" w:cs="Arial" w:eastAsia="Arial" w:hAnsi="Arial"/>
          <w:sz w:val="17"/>
          <w:szCs w:val="17"/>
          <w:u w:val="single" w:color="auto"/>
          <w:color w:val="0000FF"/>
        </w:rPr>
      </w:pPr>
    </w:p>
    <w:p>
      <w:pPr>
        <w:ind w:left="164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August 20, 2013).</w:t>
        </w:r>
      </w:hyperlink>
    </w:p>
    <w:p>
      <w:pPr>
        <w:spacing w:after="0" w:line="211" w:lineRule="exact"/>
        <w:rPr>
          <w:rFonts w:ascii="Arial" w:cs="Arial" w:eastAsia="Arial" w:hAnsi="Arial"/>
          <w:sz w:val="17"/>
          <w:szCs w:val="17"/>
          <w:u w:val="single" w:color="auto"/>
          <w:color w:val="0000FF"/>
        </w:rPr>
      </w:pPr>
    </w:p>
    <w:p>
      <w:pPr>
        <w:ind w:left="1240" w:right="140" w:hanging="1271"/>
        <w:spacing w:after="0" w:line="25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Third Amendment to Third Amended and Restated Credit Agreement dated as of August 11, 2016, among Plains Marketing, L.P. and</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Lenders and L/C Issuers party thereto (incorporated by reference to Exhibit 10.3 to PAA’s Current Report on Form 8-K filed August</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17, 2016).</w:t>
        </w:r>
      </w:hyperlink>
    </w:p>
    <w:p>
      <w:pPr>
        <w:spacing w:after="0" w:line="200" w:lineRule="exact"/>
        <w:rPr>
          <w:rFonts w:ascii="Arial" w:cs="Arial" w:eastAsia="Arial" w:hAnsi="Arial"/>
          <w:sz w:val="18"/>
          <w:szCs w:val="18"/>
          <w:u w:val="single" w:color="auto"/>
          <w:color w:val="0000FF"/>
        </w:rPr>
      </w:pPr>
    </w:p>
    <w:p>
      <w:pPr>
        <w:spacing w:after="0" w:line="204"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240" w:right="40" w:hanging="1271"/>
        <w:spacing w:after="0" w:line="25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Fourth Amendment to Third Amended and Restated Credit Agreement dated as of August 16, 2017, among Plains Marketing, L.P. and</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Lenders and L/C Issuers party thereto (incorporated by reference to Exhibit 10.6 to our Quarterly Report on Form 10-Q for the quarter</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ended September 30, 2017).</w:t>
        </w:r>
      </w:hyperlink>
    </w:p>
    <w:p>
      <w:pPr>
        <w:spacing w:after="0" w:line="188" w:lineRule="exact"/>
        <w:rPr>
          <w:rFonts w:ascii="Arial" w:cs="Arial" w:eastAsia="Arial" w:hAnsi="Arial"/>
          <w:sz w:val="18"/>
          <w:szCs w:val="18"/>
          <w:u w:val="single" w:color="auto"/>
          <w:color w:val="0000FF"/>
        </w:rPr>
      </w:pPr>
    </w:p>
    <w:p>
      <w:pPr>
        <w:ind w:left="1240" w:right="20" w:hanging="1316"/>
        <w:spacing w:after="0" w:line="255"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364-Day Credit Agreement dated January 16, 2015 among Plains All American Pipeline, L.P., as Borrower; Bank of America, N.A., as</w:t>
        </w:r>
      </w:hyperlink>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Administrative Agent; Citibank, N.A., JPMorgan Chase Bank N.A. and Wells Fargo Bank, National Association, as Co-Syndication</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Agents; DNB Bank ASA, New York Branch and Mizuho Bank, Ltd., as Co-Documentation Agents; the other Lenders party thereto;</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and Merrill Lynch, Pierce, Fenner &amp; Smith Incorporated, Citigroup Global Markets Inc., DNB Markets, Inc., J.P. Morgan Securities</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LLC, Mizuho Bank, Ltd. and Wells Fargo Securities, LLC, as Joint Lead Arrangers and Joint Bookrunners (incorporated by reference</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to Exhibit 10.1 to our Current Report on Form 8-K filed January 20, 2015).</w:t>
        </w:r>
      </w:hyperlink>
    </w:p>
    <w:p>
      <w:pPr>
        <w:spacing w:after="0" w:line="193" w:lineRule="exact"/>
        <w:rPr>
          <w:rFonts w:ascii="Arial" w:cs="Arial" w:eastAsia="Arial" w:hAnsi="Arial"/>
          <w:sz w:val="18"/>
          <w:szCs w:val="18"/>
          <w:u w:val="single" w:color="auto"/>
          <w:color w:val="0000FF"/>
        </w:rPr>
      </w:pPr>
    </w:p>
    <w:p>
      <w:pPr>
        <w:ind w:left="1240" w:right="60" w:hanging="1312"/>
        <w:spacing w:after="0" w:line="273"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 xml:space="preserve">— </w:t>
      </w:r>
      <w:hyperlink r:id="rId106">
        <w:r>
          <w:rPr>
            <w:rFonts w:ascii="Arial" w:cs="Arial" w:eastAsia="Arial" w:hAnsi="Arial"/>
            <w:sz w:val="17"/>
            <w:szCs w:val="17"/>
            <w:u w:val="single" w:color="auto"/>
            <w:color w:val="0000FF"/>
          </w:rPr>
          <w:t>First Amendment to 364-Day Credit Agreement dated August 14, 2015 among Plains All American Pipeline, L.P., as Borrower; Bank</w:t>
        </w:r>
      </w:hyperlink>
      <w:r>
        <w:rPr>
          <w:rFonts w:ascii="Arial" w:cs="Arial" w:eastAsia="Arial" w:hAnsi="Arial"/>
          <w:sz w:val="17"/>
          <w:szCs w:val="17"/>
          <w:color w:val="auto"/>
        </w:rPr>
        <w:t xml:space="preserve"> </w:t>
      </w:r>
      <w:hyperlink r:id="rId106">
        <w:r>
          <w:rPr>
            <w:rFonts w:ascii="Arial" w:cs="Arial" w:eastAsia="Arial" w:hAnsi="Arial"/>
            <w:sz w:val="17"/>
            <w:szCs w:val="17"/>
            <w:u w:val="single" w:color="auto"/>
            <w:color w:val="0000FF"/>
          </w:rPr>
          <w:t>of America, N.A., as Administrative Agent; Citibank, N.A., JPMorgan Chase Bank N.A. and Wells Fargo Bank, National Association,</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as Co-Syndication Agents; DNB Bank ASA, New York Branch and Mizuho Bank, Ltd., as Co-Documentation Agents; the other</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Lenders party thereto; and Merrill Lynch, Pierce, Fenner &amp; Smith Incorporated, Citigroup Global Markets Inc., DNB Markets, Inc.,</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J.P. Morgan Securities LLC, Mizuho Bank, Ltd. and Wells Fargo Securities, LLC, as Joint Lead Arrangers and Joint Bookrunners</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(incorporated by reference to Exhibit 10.1 to PAA’s Current Report on Form 8-K filed August 14, 2015).</w:t>
        </w:r>
      </w:hyperlink>
    </w:p>
    <w:p>
      <w:pPr>
        <w:spacing w:after="0" w:line="178" w:lineRule="exact"/>
        <w:rPr>
          <w:rFonts w:ascii="Arial" w:cs="Arial" w:eastAsia="Arial" w:hAnsi="Arial"/>
          <w:sz w:val="17"/>
          <w:szCs w:val="17"/>
          <w:u w:val="single" w:color="auto"/>
          <w:color w:val="0000FF"/>
        </w:rPr>
      </w:pPr>
    </w:p>
    <w:p>
      <w:pPr>
        <w:ind w:left="1240" w:right="20" w:hanging="1316"/>
        <w:spacing w:after="0" w:line="273"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 xml:space="preserve">— </w:t>
      </w:r>
      <w:hyperlink r:id="rId107">
        <w:r>
          <w:rPr>
            <w:rFonts w:ascii="Arial" w:cs="Arial" w:eastAsia="Arial" w:hAnsi="Arial"/>
            <w:sz w:val="17"/>
            <w:szCs w:val="17"/>
            <w:u w:val="single" w:color="auto"/>
            <w:color w:val="0000FF"/>
          </w:rPr>
          <w:t>Second Amendment to 364-Day Credit Agreement dated as of August 11, 2016 among Plains All American Pipeline, L.P., as</w:t>
        </w:r>
      </w:hyperlink>
      <w:r>
        <w:rPr>
          <w:rFonts w:ascii="Arial" w:cs="Arial" w:eastAsia="Arial" w:hAnsi="Arial"/>
          <w:sz w:val="17"/>
          <w:szCs w:val="17"/>
          <w:color w:val="auto"/>
        </w:rPr>
        <w:t xml:space="preserve"> </w:t>
      </w:r>
      <w:hyperlink r:id="rId107">
        <w:r>
          <w:rPr>
            <w:rFonts w:ascii="Arial" w:cs="Arial" w:eastAsia="Arial" w:hAnsi="Arial"/>
            <w:sz w:val="17"/>
            <w:szCs w:val="17"/>
            <w:u w:val="single" w:color="auto"/>
            <w:color w:val="0000FF"/>
          </w:rPr>
          <w:t>Borrower; Bank of America, N.A., as Administrative Agent; Citibank, N.A., JPMorgan Chase Bank N.A. and Wells Fargo Bank,</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National Association, as Co-Syndication Agents; DNB Bank ASA, New York Branch and Mizuho Bank Ltd., as Co-Documentation</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Agents; the other Lenders party thereto; and Merrill Lynch, Pierce, Fenner &amp; Smith Incorporated, Citigroup Global Markets Inc., DNB</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Markets, Inc., J.P. Morgan Securities LLC, Mizuho Bank, Ltd. and Wells Fargo Securities, LLC, as Joint Lead Arrangers and Joint</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Bookrunners (incorporated by reference to Exhibit 10.2 to PAA’s Current Report on Form 8-K filed August 17, 2016).</w:t>
        </w:r>
      </w:hyperlink>
    </w:p>
    <w:p>
      <w:pPr>
        <w:spacing w:after="0" w:line="178" w:lineRule="exact"/>
        <w:rPr>
          <w:rFonts w:ascii="Arial" w:cs="Arial" w:eastAsia="Arial" w:hAnsi="Arial"/>
          <w:sz w:val="17"/>
          <w:szCs w:val="17"/>
          <w:u w:val="single" w:color="auto"/>
          <w:color w:val="0000FF"/>
        </w:rPr>
      </w:pPr>
    </w:p>
    <w:p>
      <w:pPr>
        <w:ind w:left="1240" w:right="20" w:hanging="1316"/>
        <w:spacing w:after="0" w:line="251" w:lineRule="auto"/>
        <w:tabs>
          <w:tab w:leader="none" w:pos="1220" w:val="left"/>
        </w:tabs>
        <w:rPr>
          <w:rFonts w:ascii="Arial" w:cs="Arial" w:eastAsia="Arial" w:hAnsi="Arial"/>
          <w:sz w:val="15"/>
          <w:szCs w:val="15"/>
          <w:u w:val="single" w:color="auto"/>
          <w:color w:val="0000FF"/>
        </w:rPr>
      </w:pPr>
      <w:hyperlink r:id="rId108"/>
      <w:r>
        <w:rPr>
          <w:rFonts w:ascii="Arial" w:cs="Arial" w:eastAsia="Arial" w:hAnsi="Arial"/>
          <w:sz w:val="36"/>
          <w:szCs w:val="36"/>
          <w:color w:val="000000"/>
          <w:vertAlign w:val="superscript"/>
        </w:rPr>
        <w:t>10.13</w:t>
      </w:r>
      <w:r>
        <w:rPr>
          <w:rFonts w:ascii="Arial" w:cs="Arial" w:eastAsia="Arial" w:hAnsi="Arial"/>
          <w:sz w:val="18"/>
          <w:szCs w:val="18"/>
          <w:color w:val="0000FF"/>
        </w:rPr>
        <w:tab/>
      </w:r>
      <w:r>
        <w:rPr>
          <w:rFonts w:ascii="Arial" w:cs="Arial" w:eastAsia="Arial" w:hAnsi="Arial"/>
          <w:sz w:val="28"/>
          <w:szCs w:val="28"/>
          <w:color w:val="0000FF"/>
          <w:vertAlign w:val="superscript"/>
        </w:rPr>
        <w:t xml:space="preserve">— </w:t>
      </w:r>
      <w:hyperlink r:id="rId108">
        <w:r>
          <w:rPr>
            <w:rFonts w:ascii="Arial" w:cs="Arial" w:eastAsia="Arial" w:hAnsi="Arial"/>
            <w:sz w:val="28"/>
            <w:szCs w:val="28"/>
            <w:u w:val="single" w:color="auto"/>
            <w:color w:val="0000FF"/>
          </w:rPr>
          <w:t>Third Amendment to 364-Day Credit Agreement dated as of August 10, 2017 among Plains All American Pipeline, L.P., as Borrower;</w:t>
        </w:r>
      </w:hyperlink>
      <w:r>
        <w:rPr>
          <w:rFonts w:ascii="Arial" w:cs="Arial" w:eastAsia="Arial" w:hAnsi="Arial"/>
          <w:sz w:val="28"/>
          <w:szCs w:val="28"/>
          <w:color w:val="0000FF"/>
        </w:rPr>
        <w:t xml:space="preserve"> </w:t>
      </w:r>
      <w:hyperlink r:id="rId108">
        <w:r>
          <w:rPr>
            <w:rFonts w:ascii="Arial" w:cs="Arial" w:eastAsia="Arial" w:hAnsi="Arial"/>
            <w:sz w:val="15"/>
            <w:szCs w:val="15"/>
            <w:u w:val="single" w:color="auto"/>
            <w:color w:val="0000FF"/>
          </w:rPr>
          <w:t>Bank of America, N.A., as Administrative Agent; Citibank, N.A., JPMorgan Chase Bank N.A. and Wells Fargo Bank, National</w:t>
        </w:r>
      </w:hyperlink>
      <w:r>
        <w:rPr>
          <w:rFonts w:ascii="Arial" w:cs="Arial" w:eastAsia="Arial" w:hAnsi="Arial"/>
          <w:sz w:val="15"/>
          <w:szCs w:val="15"/>
          <w:u w:val="single" w:color="auto"/>
          <w:color w:val="0000FF"/>
        </w:rPr>
        <w:t xml:space="preserve"> </w:t>
      </w:r>
      <w:hyperlink r:id="rId108">
        <w:r>
          <w:rPr>
            <w:rFonts w:ascii="Arial" w:cs="Arial" w:eastAsia="Arial" w:hAnsi="Arial"/>
            <w:sz w:val="15"/>
            <w:szCs w:val="15"/>
            <w:u w:val="single" w:color="auto"/>
            <w:color w:val="0000FF"/>
          </w:rPr>
          <w:t>Association, as Co-Syndication Agents; DNB Bank ASA, New York Branch and Mizuho Bank Ltd., as Co-Documentation Agents; the</w:t>
        </w:r>
      </w:hyperlink>
      <w:r>
        <w:rPr>
          <w:rFonts w:ascii="Arial" w:cs="Arial" w:eastAsia="Arial" w:hAnsi="Arial"/>
          <w:sz w:val="15"/>
          <w:szCs w:val="15"/>
          <w:u w:val="single" w:color="auto"/>
          <w:color w:val="0000FF"/>
        </w:rPr>
        <w:t xml:space="preserve"> </w:t>
      </w:r>
      <w:hyperlink r:id="rId108">
        <w:r>
          <w:rPr>
            <w:rFonts w:ascii="Arial" w:cs="Arial" w:eastAsia="Arial" w:hAnsi="Arial"/>
            <w:sz w:val="15"/>
            <w:szCs w:val="15"/>
            <w:u w:val="single" w:color="auto"/>
            <w:color w:val="0000FF"/>
          </w:rPr>
          <w:t>other Lenders party thereto; and Merrill Lynch, Pierce, Fenner &amp; Smith Incorporated, Citigroup Global Markets Inc., DNB Markets,</w:t>
        </w:r>
      </w:hyperlink>
      <w:r>
        <w:rPr>
          <w:rFonts w:ascii="Arial" w:cs="Arial" w:eastAsia="Arial" w:hAnsi="Arial"/>
          <w:sz w:val="15"/>
          <w:szCs w:val="15"/>
          <w:u w:val="single" w:color="auto"/>
          <w:color w:val="0000FF"/>
        </w:rPr>
        <w:t xml:space="preserve"> </w:t>
      </w:r>
      <w:hyperlink r:id="rId108">
        <w:r>
          <w:rPr>
            <w:rFonts w:ascii="Arial" w:cs="Arial" w:eastAsia="Arial" w:hAnsi="Arial"/>
            <w:sz w:val="15"/>
            <w:szCs w:val="15"/>
            <w:u w:val="single" w:color="auto"/>
            <w:color w:val="0000FF"/>
          </w:rPr>
          <w:t>Inc., J.P. Morgan Securities LLC, Mizuho Bank, Ltd. and Wells Fargo Securities, LLC, as Joint Lead Arrangers and Joint Bookrunners</w:t>
        </w:r>
      </w:hyperlink>
      <w:r>
        <w:rPr>
          <w:rFonts w:ascii="Arial" w:cs="Arial" w:eastAsia="Arial" w:hAnsi="Arial"/>
          <w:sz w:val="15"/>
          <w:szCs w:val="15"/>
          <w:u w:val="single" w:color="auto"/>
          <w:color w:val="0000FF"/>
        </w:rPr>
        <w:t xml:space="preserve"> </w:t>
      </w:r>
      <w:hyperlink r:id="rId108">
        <w:r>
          <w:rPr>
            <w:rFonts w:ascii="Arial" w:cs="Arial" w:eastAsia="Arial" w:hAnsi="Arial"/>
            <w:sz w:val="15"/>
            <w:szCs w:val="15"/>
            <w:u w:val="single" w:color="auto"/>
            <w:color w:val="0000FF"/>
          </w:rPr>
          <w:t>(incorporated by reference to Exhibit 10.5 to our Quarterly Report on Form 10-Q for the quarter ended September 30, 2017).</w:t>
        </w:r>
      </w:hyperlink>
    </w:p>
    <w:p>
      <w:pPr>
        <w:spacing w:after="0" w:line="200" w:lineRule="exact"/>
        <w:rPr>
          <w:rFonts w:ascii="Arial" w:cs="Arial" w:eastAsia="Arial" w:hAnsi="Arial"/>
          <w:sz w:val="15"/>
          <w:szCs w:val="15"/>
          <w:u w:val="single" w:color="auto"/>
          <w:color w:val="0000FF"/>
        </w:rPr>
      </w:pPr>
    </w:p>
    <w:p>
      <w:pPr>
        <w:spacing w:after="0" w:line="296" w:lineRule="exact"/>
        <w:rPr>
          <w:rFonts w:ascii="Arial" w:cs="Arial" w:eastAsia="Arial" w:hAnsi="Arial"/>
          <w:sz w:val="15"/>
          <w:szCs w:val="15"/>
          <w:u w:val="single" w:color="auto"/>
          <w:color w:val="0000FF"/>
        </w:rPr>
      </w:pPr>
    </w:p>
    <w:p>
      <w:pPr>
        <w:ind w:left="1240" w:right="12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Contribution, Conveyance and Assumption Agreement among Plains All American Pipeline, L.P. and certain other parties dated as of</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November 23, 1998. (incorporated by reference to Exhibit 10.3 to PAA’s Annual Report on Form 10-K for the year ended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December 31, 1998).</w:t>
        </w:r>
      </w:hyperlink>
    </w:p>
    <w:p>
      <w:pPr>
        <w:spacing w:after="0" w:line="181" w:lineRule="exact"/>
        <w:rPr>
          <w:rFonts w:ascii="Arial" w:cs="Arial" w:eastAsia="Arial" w:hAnsi="Arial"/>
          <w:sz w:val="18"/>
          <w:szCs w:val="18"/>
          <w:color w:val="auto"/>
        </w:rPr>
      </w:pPr>
    </w:p>
    <w:p>
      <w:pPr>
        <w:ind w:left="1240" w:right="40" w:hanging="1316"/>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First Amendment to Contribution, Conveyance and Assumption Agreement dated as of December 15, 1998 (incorporated by reference</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to Exhibit 10.13 to PAA’s Annual Report on Form 10-K for the year ended December 31, 1998).</w:t>
        </w:r>
      </w:hyperlink>
    </w:p>
    <w:p>
      <w:pPr>
        <w:spacing w:after="0" w:line="170" w:lineRule="exact"/>
        <w:rPr>
          <w:sz w:val="20"/>
          <w:szCs w:val="20"/>
          <w:color w:val="auto"/>
        </w:rPr>
      </w:pPr>
    </w:p>
    <w:p>
      <w:pPr>
        <w:ind w:left="1240" w:right="28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Contribution, Assignment and Amendment Agreement dated as of June 27, 2001, among Plains All American Pipeline, L.P., Plains</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Marketing, L.P., All American Pipeline, L.P., Plains AAP, L.P., Plains All American GP LLC and Plains Marketing GP Inc.</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(incorporated by reference to Exhibit 10.1 to PAA’s Current Report on Form 8-K filed June 27, 2001).</w:t>
        </w:r>
      </w:hyperlink>
    </w:p>
    <w:p>
      <w:pPr>
        <w:spacing w:after="0" w:line="181" w:lineRule="exact"/>
        <w:rPr>
          <w:rFonts w:ascii="Arial" w:cs="Arial" w:eastAsia="Arial" w:hAnsi="Arial"/>
          <w:sz w:val="18"/>
          <w:szCs w:val="18"/>
          <w:color w:val="auto"/>
        </w:rPr>
      </w:pPr>
    </w:p>
    <w:p>
      <w:pPr>
        <w:ind w:left="1240" w:hanging="1316"/>
        <w:spacing w:after="0" w:line="308"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Contribution, Assignment and Amendment Agreement dated as of June 8, 2001, among Plains All American Inc., Plains AAP, L.P. and</w:t>
        </w:r>
      </w:hyperlink>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Plains All American GP LLC (incorporated by reference to Exhibit 10.1 to PAA’s Current Report on Form 8-K filed June 11, 2001).</w:t>
        </w:r>
      </w:hyperlink>
    </w:p>
    <w:p>
      <w:pPr>
        <w:spacing w:after="0" w:line="147" w:lineRule="exact"/>
        <w:rPr>
          <w:sz w:val="20"/>
          <w:szCs w:val="20"/>
          <w:color w:val="auto"/>
        </w:rPr>
      </w:pPr>
    </w:p>
    <w:p>
      <w:pPr>
        <w:ind w:left="1240" w:right="8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Separation Agreement dated as of June 8, 2001 among Plains Resources Inc., Plains All American Inc., Plains All American GP LLC,</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Plains AAP, L.P. and Plains All American Pipeline, L.P. (incorporated by reference to Exhibit 10.2 to PAA’s Current Report on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Form 8-K filed June 11, 2001).</w:t>
        </w:r>
      </w:hyperlink>
    </w:p>
    <w:p>
      <w:pPr>
        <w:spacing w:after="0" w:line="181" w:lineRule="exact"/>
        <w:rPr>
          <w:rFonts w:ascii="Arial" w:cs="Arial" w:eastAsia="Arial" w:hAnsi="Arial"/>
          <w:sz w:val="18"/>
          <w:szCs w:val="18"/>
          <w:color w:val="auto"/>
        </w:rPr>
      </w:pPr>
    </w:p>
    <w:p>
      <w:pPr>
        <w:jc w:val="both"/>
        <w:ind w:left="1240" w:right="100" w:hanging="145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Pension and Employee Benefits Assumption and Transition Agreement dated as of June 8, 2001 among Plains Resources Inc., Plains</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All American Inc. and Plains All American GP LLC (incorporated by reference to Exhibit 10.3 to PAA’s Current Report on Form 8-K</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filed June 11, 2001).</w:t>
        </w:r>
      </w:hyperlink>
    </w:p>
    <w:p>
      <w:pPr>
        <w:sectPr>
          <w:pgSz w:w="11900" w:h="16838" w:orient="portrait"/>
          <w:cols w:equalWidth="0" w:num="1">
            <w:col w:w="11380"/>
          </w:cols>
          <w:pgMar w:left="240" w:top="125" w:right="279" w:bottom="1440" w:gutter="0" w:footer="0" w:header="0"/>
        </w:sectPr>
      </w:pPr>
    </w:p>
    <w:p>
      <w:pPr>
        <w:spacing w:after="0" w:line="3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380"/>
          </w:cols>
          <w:pgMar w:left="240" w:top="125" w:right="27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10.20</w:t>
            </w:r>
          </w:p>
        </w:tc>
        <w:tc>
          <w:tcPr>
            <w:tcW w:w="10320" w:type="dxa"/>
            <w:vAlign w:val="bottom"/>
            <w:gridSpan w:val="30"/>
          </w:tcPr>
          <w:p>
            <w:pPr>
              <w:ind w:left="1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14">
              <w:r>
                <w:rPr>
                  <w:rFonts w:ascii="Arial" w:cs="Arial" w:eastAsia="Arial" w:hAnsi="Arial"/>
                  <w:sz w:val="18"/>
                  <w:szCs w:val="18"/>
                  <w:color w:val="0000FF"/>
                  <w:w w:val="91"/>
                </w:rPr>
                <w:t>Contribution and Assumption Agreement dated December 28, 2007, by and between Plains AAP, L.P. and PAA GP LLC (incorporated</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by reference to Exhibit 10.2 to PAA’s Current Report on Form 8-K filed January 4, 2008).</w:t>
              </w:r>
            </w:hyperlink>
          </w:p>
        </w:tc>
        <w:tc>
          <w:tcPr>
            <w:tcW w:w="3220" w:type="dxa"/>
            <w:vAlign w:val="bottom"/>
            <w:tcBorders>
              <w:top w:val="single" w:sz="8" w:color="0000FF"/>
            </w:tcBorders>
            <w:gridSpan w:val="21"/>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10.21</w:t>
            </w:r>
          </w:p>
        </w:tc>
        <w:tc>
          <w:tcPr>
            <w:tcW w:w="10320" w:type="dxa"/>
            <w:vAlign w:val="bottom"/>
            <w:gridSpan w:val="30"/>
          </w:tcPr>
          <w:p>
            <w:pPr>
              <w:ind w:left="1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15">
              <w:r>
                <w:rPr>
                  <w:rFonts w:ascii="Arial" w:cs="Arial" w:eastAsia="Arial" w:hAnsi="Arial"/>
                  <w:sz w:val="18"/>
                  <w:szCs w:val="18"/>
                  <w:color w:val="0000FF"/>
                  <w:w w:val="92"/>
                </w:rPr>
                <w:t>Asset Purchase and Sale Agreement dated February 28, 2001 between Murphy Oil Company Ltd. and Plains Marketing Canada, L.P.</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(incorporated by reference to Exhibit 99.1 to PAA’s Current Report on Form 8-K filed May 10, 2001).</w:t>
              </w:r>
            </w:hyperlink>
          </w:p>
        </w:tc>
        <w:tc>
          <w:tcPr>
            <w:tcW w:w="160" w:type="dxa"/>
            <w:vAlign w:val="bottom"/>
            <w:gridSpan w:val="5"/>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10.22</w:t>
            </w:r>
          </w:p>
        </w:tc>
        <w:tc>
          <w:tcPr>
            <w:tcW w:w="10320" w:type="dxa"/>
            <w:vAlign w:val="bottom"/>
            <w:gridSpan w:val="30"/>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16">
              <w:r>
                <w:rPr>
                  <w:rFonts w:ascii="Arial" w:cs="Arial" w:eastAsia="Arial" w:hAnsi="Arial"/>
                  <w:sz w:val="18"/>
                  <w:szCs w:val="18"/>
                  <w:color w:val="0000FF"/>
                  <w:w w:val="93"/>
                </w:rPr>
                <w:t>Transportation Agreement dated July 30, 1993, between All American Pipeline Company and Exxon Company, U.S.A. (incorporated</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tcBorders>
              <w:top w:val="single" w:sz="8" w:color="0000FF"/>
            </w:tcBorders>
            <w:gridSpan w:val="26"/>
          </w:tcPr>
          <w:p>
            <w:pPr>
              <w:spacing w:after="0" w:line="196"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by reference to Exhibit 10.9 to PAA’s Registration Statement on Form S-1 filed September 23, 1998, File No. 333-64107).</w:t>
              </w:r>
            </w:hyperlink>
          </w:p>
        </w:tc>
        <w:tc>
          <w:tcPr>
            <w:tcW w:w="120" w:type="dxa"/>
            <w:vAlign w:val="bottom"/>
            <w:gridSpan w:val="3"/>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10.23</w:t>
            </w:r>
          </w:p>
        </w:tc>
        <w:tc>
          <w:tcPr>
            <w:tcW w:w="10320" w:type="dxa"/>
            <w:vAlign w:val="bottom"/>
            <w:gridSpan w:val="30"/>
          </w:tcPr>
          <w:p>
            <w:pPr>
              <w:ind w:left="1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16">
              <w:r>
                <w:rPr>
                  <w:rFonts w:ascii="Arial" w:cs="Arial" w:eastAsia="Arial" w:hAnsi="Arial"/>
                  <w:sz w:val="18"/>
                  <w:szCs w:val="18"/>
                  <w:color w:val="0000FF"/>
                  <w:w w:val="94"/>
                </w:rPr>
                <w:t>Transportation Agreement dated August 2, 1993, among All American Pipeline Company, Texaco Trading and Transportation Inc.,</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9"/>
          </w:tcPr>
          <w:p>
            <w:pPr>
              <w:spacing w:after="0" w:line="19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Chevron U.S.A. and Sun Operating Limited Partnership (incorporated by reference to Exhibit 10.10 to PAA’s Registration Statement</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on Form S-1 filed September 23, 1998, File No. 333-64107).</w:t>
              </w:r>
            </w:hyperlink>
          </w:p>
        </w:tc>
        <w:tc>
          <w:tcPr>
            <w:tcW w:w="18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10.24</w:t>
            </w:r>
          </w:p>
        </w:tc>
        <w:tc>
          <w:tcPr>
            <w:tcW w:w="10320" w:type="dxa"/>
            <w:vAlign w:val="bottom"/>
            <w:gridSpan w:val="30"/>
          </w:tcPr>
          <w:p>
            <w:pPr>
              <w:ind w:left="1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09">
              <w:r>
                <w:rPr>
                  <w:rFonts w:ascii="Arial" w:cs="Arial" w:eastAsia="Arial" w:hAnsi="Arial"/>
                  <w:sz w:val="18"/>
                  <w:szCs w:val="18"/>
                  <w:color w:val="0000FF"/>
                  <w:w w:val="96"/>
                </w:rPr>
                <w:t>Agreement for Purchase and Sale of Membership Interest in Scurlock Permian LLC between Marathon Ashland LLC and Plains</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Marketing, L.P. dated as of March 17, 1999 (incorporated by reference to Exhibit 10.16 to PAA’s Annual Report on Form 10-K for the</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109">
              <w:r>
                <w:rPr>
                  <w:rFonts w:ascii="Arial" w:cs="Arial" w:eastAsia="Arial" w:hAnsi="Arial"/>
                  <w:sz w:val="18"/>
                  <w:szCs w:val="18"/>
                  <w:color w:val="0000FF"/>
                  <w:w w:val="88"/>
                </w:rPr>
                <w:t>year ended December 31, 1998).</w:t>
              </w:r>
            </w:hyperlink>
          </w:p>
        </w:tc>
        <w:tc>
          <w:tcPr>
            <w:tcW w:w="7380" w:type="dxa"/>
            <w:vAlign w:val="bottom"/>
            <w:gridSpan w:val="25"/>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10.25</w:t>
            </w:r>
          </w:p>
        </w:tc>
        <w:tc>
          <w:tcPr>
            <w:tcW w:w="10320" w:type="dxa"/>
            <w:vAlign w:val="bottom"/>
            <w:gridSpan w:val="30"/>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17">
              <w:r>
                <w:rPr>
                  <w:rFonts w:ascii="Arial" w:cs="Arial" w:eastAsia="Arial" w:hAnsi="Arial"/>
                  <w:sz w:val="18"/>
                  <w:szCs w:val="18"/>
                  <w:color w:val="0000FF"/>
                  <w:w w:val="93"/>
                </w:rPr>
                <w:t>Membership Interest Purchase Agreement by and between Sempra Energy Trading Corporation and PAA/Vulcan Gas Storage, LLC</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dated August 19, 2005 (incorporated by reference to Exhibit 1.2 to PAA’s Current Report on Form 8-K filed September 19, 2005).</w:t>
              </w:r>
            </w:hyperlink>
          </w:p>
        </w:tc>
        <w:tc>
          <w:tcPr>
            <w:tcW w:w="80" w:type="dxa"/>
            <w:vAlign w:val="bottom"/>
            <w:tcBorders>
              <w:top w:val="single" w:sz="8" w:color="0000FF"/>
            </w:tcBorders>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10.26</w:t>
            </w:r>
          </w:p>
        </w:tc>
        <w:tc>
          <w:tcPr>
            <w:tcW w:w="10320" w:type="dxa"/>
            <w:vAlign w:val="bottom"/>
            <w:gridSpan w:val="30"/>
          </w:tcPr>
          <w:p>
            <w:pPr>
              <w:ind w:left="18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18">
              <w:r>
                <w:rPr>
                  <w:rFonts w:ascii="Arial" w:cs="Arial" w:eastAsia="Arial" w:hAnsi="Arial"/>
                  <w:sz w:val="18"/>
                  <w:szCs w:val="18"/>
                  <w:color w:val="0000FF"/>
                  <w:w w:val="99"/>
                </w:rPr>
                <w:t>Contribution Agreement dated as of April 29, 2010 by and among PAA Natural Gas Storage, L.P., PNGS GP LLC, Plains All</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9"/>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American Pipeline, L.P., PAA Natural Gas Storage, LLC, PAA/Vulcan Gas Storage, LLC, Plains Marketing, L.P. and Plains Marketing</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GP Inc. (incorporated by reference to Exhibit 10.1 to PNG’s Current Report on Form 8-K filed May 4, 2010).</w:t>
              </w:r>
            </w:hyperlink>
          </w:p>
        </w:tc>
        <w:tc>
          <w:tcPr>
            <w:tcW w:w="1800" w:type="dxa"/>
            <w:vAlign w:val="bottom"/>
            <w:tcBorders>
              <w:top w:val="single" w:sz="8" w:color="0000FF"/>
            </w:tcBorders>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10.27</w:t>
            </w:r>
          </w:p>
        </w:tc>
        <w:tc>
          <w:tcPr>
            <w:tcW w:w="10320" w:type="dxa"/>
            <w:vAlign w:val="bottom"/>
            <w:gridSpan w:val="30"/>
          </w:tcPr>
          <w:p>
            <w:pPr>
              <w:ind w:left="1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19">
              <w:r>
                <w:rPr>
                  <w:rFonts w:ascii="Arial" w:cs="Arial" w:eastAsia="Arial" w:hAnsi="Arial"/>
                  <w:sz w:val="18"/>
                  <w:szCs w:val="18"/>
                  <w:color w:val="0000FF"/>
                  <w:w w:val="94"/>
                </w:rPr>
                <w:t>Omnibus Agreement dated May 5, 2010 by and among Plains All American GP LLC, Plains All American Pipeline, L.P., PNGS GP</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top w:val="single" w:sz="8" w:color="0000FF"/>
            </w:tcBorders>
            <w:gridSpan w:val="22"/>
          </w:tcPr>
          <w:p>
            <w:pPr>
              <w:spacing w:after="0" w:line="196"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LLC and PAA Natural Gas Storage, L.P. (incorporated by reference to Exhibit 10.1 to PNG’s Current Report on Form 8-K filed</w:t>
              </w:r>
            </w:hyperlink>
          </w:p>
        </w:tc>
        <w:tc>
          <w:tcPr>
            <w:tcW w:w="20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May 11, 2010).</w:t>
              </w:r>
            </w:hyperlink>
          </w:p>
        </w:tc>
        <w:tc>
          <w:tcPr>
            <w:tcW w:w="560" w:type="dxa"/>
            <w:vAlign w:val="bottom"/>
            <w:gridSpan w:val="11"/>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10.28</w:t>
            </w:r>
          </w:p>
        </w:tc>
        <w:tc>
          <w:tcPr>
            <w:tcW w:w="10320" w:type="dxa"/>
            <w:vAlign w:val="bottom"/>
            <w:gridSpan w:val="30"/>
          </w:tcPr>
          <w:p>
            <w:pPr>
              <w:ind w:left="1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20">
              <w:r>
                <w:rPr>
                  <w:rFonts w:ascii="Arial" w:cs="Arial" w:eastAsia="Arial" w:hAnsi="Arial"/>
                  <w:sz w:val="18"/>
                  <w:szCs w:val="18"/>
                  <w:color w:val="0000FF"/>
                  <w:w w:val="96"/>
                </w:rPr>
                <w:t>Omnibus Agreement by and among PAA GP Holdings LLC, Plains GP Holdings, L.P., Plains All American GP LLC, Plains AAP,</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L.P., PAA GP LLC, and Plains All American Pipeline, L.P., dated November 15, 2016 (incorporated by reference to Exhibit 10.1 to our</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Current Report on Form 8-K filed November 21, 2016).</w:t>
              </w:r>
            </w:hyperlink>
          </w:p>
        </w:tc>
        <w:tc>
          <w:tcPr>
            <w:tcW w:w="5700" w:type="dxa"/>
            <w:vAlign w:val="bottom"/>
            <w:gridSpan w:val="24"/>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10.29</w:t>
            </w:r>
          </w:p>
        </w:tc>
        <w:tc>
          <w:tcPr>
            <w:tcW w:w="10320" w:type="dxa"/>
            <w:vAlign w:val="bottom"/>
            <w:gridSpan w:val="30"/>
          </w:tcPr>
          <w:p>
            <w:pPr>
              <w:ind w:left="1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21">
              <w:r>
                <w:rPr>
                  <w:rFonts w:ascii="Arial" w:cs="Arial" w:eastAsia="Arial" w:hAnsi="Arial"/>
                  <w:sz w:val="18"/>
                  <w:szCs w:val="18"/>
                  <w:color w:val="0000FF"/>
                  <w:w w:val="98"/>
                </w:rPr>
                <w:t>Amended and Restated Administrative Agreement by and among PAA GP Holdings LLC, Plains GP Holdings, L.P., Plains All</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20" w:type="dxa"/>
            <w:vAlign w:val="bottom"/>
            <w:gridSpan w:val="5"/>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American GP LLC, Plains AAP, L.P., PAA GP LLC, and Plains All American Pipeline, L.P., dated November 15, 2016 (incorporated</w:t>
              </w:r>
            </w:hyperlink>
          </w:p>
        </w:tc>
        <w:tc>
          <w:tcPr>
            <w:tcW w:w="14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9"/>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by reference to Exhibit 10.2 to our Current Report on Form 8-K filed November 21, 2016).</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20" w:type="dxa"/>
            <w:vAlign w:val="bottom"/>
            <w:gridSpan w:val="5"/>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10.30***</w:t>
            </w:r>
          </w:p>
        </w:tc>
        <w:tc>
          <w:tcPr>
            <w:tcW w:w="10320" w:type="dxa"/>
            <w:vAlign w:val="bottom"/>
            <w:gridSpan w:val="30"/>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2">
              <w:r>
                <w:rPr>
                  <w:rFonts w:ascii="Arial" w:cs="Arial" w:eastAsia="Arial" w:hAnsi="Arial"/>
                  <w:sz w:val="18"/>
                  <w:szCs w:val="18"/>
                  <w:color w:val="0000FF"/>
                  <w:w w:val="93"/>
                </w:rPr>
                <w:t>Amended and Restated Employment Agreement between Plains All American GP LLC and Greg L. Armstrong dated as of June 30,</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120" w:type="dxa"/>
            <w:vAlign w:val="bottom"/>
            <w:gridSpan w:val="7"/>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2001 (incorporated by reference to Exhibit 10.1 to PAA’s Quarterly Report on Form 10-Q for the quarter ended September 30, 2001).</w:t>
              </w:r>
            </w:hyperlink>
          </w:p>
        </w:tc>
        <w:tc>
          <w:tcPr>
            <w:tcW w:w="140" w:type="dxa"/>
            <w:vAlign w:val="bottom"/>
            <w:gridSpan w:val="4"/>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10.31***</w:t>
            </w:r>
          </w:p>
        </w:tc>
        <w:tc>
          <w:tcPr>
            <w:tcW w:w="10320" w:type="dxa"/>
            <w:vAlign w:val="bottom"/>
            <w:gridSpan w:val="30"/>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3">
              <w:r>
                <w:rPr>
                  <w:rFonts w:ascii="Arial" w:cs="Arial" w:eastAsia="Arial" w:hAnsi="Arial"/>
                  <w:sz w:val="18"/>
                  <w:szCs w:val="18"/>
                  <w:color w:val="0000FF"/>
                  <w:w w:val="93"/>
                </w:rPr>
                <w:t>First Amendment to Amended and Restated Employment Agreement dated December 4, 2008 between Plains All American GP LLC</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top w:val="single" w:sz="8" w:color="0000FF"/>
            </w:tcBorders>
            <w:gridSpan w:val="25"/>
          </w:tcPr>
          <w:p>
            <w:pPr>
              <w:spacing w:after="0" w:line="196" w:lineRule="exact"/>
              <w:rPr>
                <w:rFonts w:ascii="Arial" w:cs="Arial" w:eastAsia="Arial" w:hAnsi="Arial"/>
                <w:sz w:val="18"/>
                <w:szCs w:val="18"/>
                <w:color w:val="0000FF"/>
                <w:w w:val="96"/>
              </w:rPr>
            </w:pPr>
            <w:hyperlink r:id="rId123">
              <w:r>
                <w:rPr>
                  <w:rFonts w:ascii="Arial" w:cs="Arial" w:eastAsia="Arial" w:hAnsi="Arial"/>
                  <w:sz w:val="18"/>
                  <w:szCs w:val="18"/>
                  <w:color w:val="0000FF"/>
                  <w:w w:val="96"/>
                </w:rPr>
                <w:t>and Greg L. Armstrong (incorporated by reference to Exhibit 10.49 to PAA’s Annual Report on Form 10-K for the year ended</w:t>
              </w:r>
            </w:hyperlink>
          </w:p>
        </w:tc>
        <w:tc>
          <w:tcPr>
            <w:tcW w:w="14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December 31, 2008).</w:t>
              </w:r>
            </w:hyperlink>
          </w:p>
        </w:tc>
        <w:tc>
          <w:tcPr>
            <w:tcW w:w="7520" w:type="dxa"/>
            <w:vAlign w:val="bottom"/>
            <w:tcBorders>
              <w:top w:val="single" w:sz="8" w:color="0000FF"/>
            </w:tcBorders>
            <w:gridSpan w:val="13"/>
          </w:tcPr>
          <w:p>
            <w:pPr>
              <w:spacing w:after="0"/>
              <w:rPr>
                <w:sz w:val="17"/>
                <w:szCs w:val="17"/>
                <w:color w:val="auto"/>
              </w:rPr>
            </w:pPr>
          </w:p>
        </w:tc>
        <w:tc>
          <w:tcPr>
            <w:tcW w:w="680" w:type="dxa"/>
            <w:vAlign w:val="bottom"/>
            <w:gridSpan w:val="13"/>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10.32***</w:t>
            </w:r>
          </w:p>
        </w:tc>
        <w:tc>
          <w:tcPr>
            <w:tcW w:w="10320" w:type="dxa"/>
            <w:vAlign w:val="bottom"/>
            <w:gridSpan w:val="30"/>
          </w:tcPr>
          <w:p>
            <w:pPr>
              <w:ind w:left="1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4">
              <w:r>
                <w:rPr>
                  <w:rFonts w:ascii="Arial" w:cs="Arial" w:eastAsia="Arial" w:hAnsi="Arial"/>
                  <w:sz w:val="18"/>
                  <w:szCs w:val="18"/>
                  <w:color w:val="0000FF"/>
                  <w:w w:val="95"/>
                </w:rPr>
                <w:t>Waiver Agreement dated as of December 23, 2010 between Plains All American GP LLC and Greg L. Armstrong (incorporated by</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reference to Exhibit 10.31 to PAA’s Annual Report on Form 10-K for the year ended December 31, 2010).</w:t>
              </w:r>
            </w:hyperlink>
          </w:p>
        </w:tc>
        <w:tc>
          <w:tcPr>
            <w:tcW w:w="1800" w:type="dxa"/>
            <w:vAlign w:val="bottom"/>
            <w:tcBorders>
              <w:top w:val="single" w:sz="8" w:color="0000FF"/>
            </w:tcBorders>
            <w:gridSpan w:val="11"/>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10.33***</w:t>
            </w:r>
          </w:p>
        </w:tc>
        <w:tc>
          <w:tcPr>
            <w:tcW w:w="10320" w:type="dxa"/>
            <w:vAlign w:val="bottom"/>
            <w:gridSpan w:val="30"/>
          </w:tcPr>
          <w:p>
            <w:pPr>
              <w:ind w:left="1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5">
              <w:r>
                <w:rPr>
                  <w:rFonts w:ascii="Arial" w:cs="Arial" w:eastAsia="Arial" w:hAnsi="Arial"/>
                  <w:sz w:val="18"/>
                  <w:szCs w:val="18"/>
                  <w:color w:val="0000FF"/>
                  <w:w w:val="94"/>
                </w:rPr>
                <w:t>Waiver Agreement dated October 21, 2013 to the Amended and Restated Employment Agreement dated June 30, 2001 of Greg L.</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Armstrong (incorporated by reference to Exhibit 10.4 to our Current Report on Form 8-K filed October 25, 2013).</w:t>
              </w:r>
            </w:hyperlink>
          </w:p>
        </w:tc>
        <w:tc>
          <w:tcPr>
            <w:tcW w:w="360" w:type="dxa"/>
            <w:vAlign w:val="bottom"/>
            <w:gridSpan w:val="9"/>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700" w:type="dxa"/>
            <w:vAlign w:val="bottom"/>
            <w:gridSpan w:val="10"/>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10.34***</w:t>
            </w:r>
          </w:p>
        </w:tc>
        <w:tc>
          <w:tcPr>
            <w:tcW w:w="10320" w:type="dxa"/>
            <w:vAlign w:val="bottom"/>
            <w:gridSpan w:val="30"/>
          </w:tcPr>
          <w:p>
            <w:pPr>
              <w:ind w:left="1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26">
              <w:r>
                <w:rPr>
                  <w:rFonts w:ascii="Arial" w:cs="Arial" w:eastAsia="Arial" w:hAnsi="Arial"/>
                  <w:sz w:val="18"/>
                  <w:szCs w:val="18"/>
                  <w:color w:val="0000FF"/>
                  <w:w w:val="91"/>
                </w:rPr>
                <w:t>Amended and Restated Employment Agreement between Plains All American GP LLC and Harry N. Pefanis dated as of June 30, 2001</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(incorporated by reference to Exhibit 10.2 to PAA’s Quarterly Report on Form 10-Q for the quarter ended September 30, 2001).</w:t>
              </w:r>
            </w:hyperlink>
          </w:p>
        </w:tc>
        <w:tc>
          <w:tcPr>
            <w:tcW w:w="480" w:type="dxa"/>
            <w:vAlign w:val="bottom"/>
            <w:tcBorders>
              <w:top w:val="single" w:sz="8" w:color="0000FF"/>
            </w:tcBorders>
            <w:gridSpan w:val="10"/>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10.35***</w:t>
            </w:r>
          </w:p>
        </w:tc>
        <w:tc>
          <w:tcPr>
            <w:tcW w:w="10320" w:type="dxa"/>
            <w:vAlign w:val="bottom"/>
            <w:gridSpan w:val="30"/>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7">
              <w:r>
                <w:rPr>
                  <w:rFonts w:ascii="Arial" w:cs="Arial" w:eastAsia="Arial" w:hAnsi="Arial"/>
                  <w:sz w:val="18"/>
                  <w:szCs w:val="18"/>
                  <w:color w:val="0000FF"/>
                  <w:w w:val="93"/>
                </w:rPr>
                <w:t>First Amendment to Amended and Restated Employment Agreement dated December 4, 2008 between Plains All American GP LLC</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and Harry N. Pefanis (incorporated by reference to Exhibit 10.50 to PAA’s Annual Report on Form 10-K for the year ended</w:t>
              </w:r>
            </w:hyperlink>
          </w:p>
        </w:tc>
        <w:tc>
          <w:tcPr>
            <w:tcW w:w="700" w:type="dxa"/>
            <w:vAlign w:val="bottom"/>
            <w:tcBorders>
              <w:top w:val="single" w:sz="8" w:color="0000FF"/>
            </w:tcBorders>
            <w:gridSpan w:val="11"/>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9"/>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December 31, 2008).</w:t>
              </w:r>
            </w:hyperlink>
          </w:p>
        </w:tc>
      </w:tr>
      <w:tr>
        <w:trPr>
          <w:trHeight w:val="669"/>
        </w:trPr>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Borders>
              <w:top w:val="single" w:sz="8" w:color="0000FF"/>
            </w:tcBorders>
            <w:gridSpan w:val="2"/>
          </w:tcPr>
          <w:p>
            <w:pPr>
              <w:spacing w:after="0"/>
              <w:rPr>
                <w:sz w:val="24"/>
                <w:szCs w:val="24"/>
                <w:color w:val="auto"/>
              </w:rPr>
            </w:pPr>
          </w:p>
        </w:tc>
        <w:tc>
          <w:tcPr>
            <w:tcW w:w="2860" w:type="dxa"/>
            <w:vAlign w:val="bottom"/>
            <w:gridSpan w:val="4"/>
          </w:tcPr>
          <w:p>
            <w:pPr>
              <w:jc w:val="right"/>
              <w:ind w:right="180"/>
              <w:spacing w:after="0"/>
              <w:rPr>
                <w:sz w:val="20"/>
                <w:szCs w:val="20"/>
                <w:color w:val="auto"/>
              </w:rPr>
            </w:pPr>
            <w:r>
              <w:rPr>
                <w:rFonts w:ascii="Arial" w:cs="Arial" w:eastAsia="Arial" w:hAnsi="Arial"/>
                <w:sz w:val="18"/>
                <w:szCs w:val="18"/>
                <w:color w:val="auto"/>
              </w:rPr>
              <w:t>116</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10.36***</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5"/>
              </w:rPr>
            </w:pPr>
            <w:hyperlink r:id="rId128">
              <w:r>
                <w:rPr>
                  <w:rFonts w:ascii="Arial" w:cs="Arial" w:eastAsia="Arial" w:hAnsi="Arial"/>
                  <w:sz w:val="18"/>
                  <w:szCs w:val="18"/>
                  <w:color w:val="0000FF"/>
                  <w:w w:val="95"/>
                </w:rPr>
                <w:t>Waiver Agreement dated as of December 23, 2010 between Plains All American GP LLC and Harry N. Pefanis (incorporated by</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reference to Exhibit 10.32 to PAA’s Annual Report on Form 10-K for the year ended December 31, 2010).</w:t>
              </w:r>
            </w:hyperlink>
          </w:p>
        </w:tc>
        <w:tc>
          <w:tcPr>
            <w:tcW w:w="1600" w:type="dxa"/>
            <w:vAlign w:val="bottom"/>
            <w:tcBorders>
              <w:top w:val="single" w:sz="8" w:color="0000FF"/>
            </w:tcBorders>
            <w:gridSpan w:val="8"/>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10.37***</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6"/>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Waiver Agreement dated October 21, 2013 to the Amended and Restated Employment Agreement dated June 30, 2001 of Harry N.</w:t>
              </w:r>
            </w:hyperlink>
          </w:p>
        </w:tc>
        <w:tc>
          <w:tcPr>
            <w:tcW w:w="26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Pefanis (incorporated by reference to Exhibit 10.5 to PAA’s Current Report on Form 8-K filed October 25, 2013).</w:t>
              </w:r>
            </w:hyperlink>
          </w:p>
        </w:tc>
        <w:tc>
          <w:tcPr>
            <w:tcW w:w="1540" w:type="dxa"/>
            <w:vAlign w:val="bottom"/>
            <w:gridSpan w:val="18"/>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10.38***</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Employment Agreement between Plains All American GP LLC and Willie Chiang dated July 10, 2015 (incorporated by reference to</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Exhibit 10.53 to PAA’s Annual Report on Form 10-K for the year ended December 31, 2015).</w:t>
              </w:r>
            </w:hyperlink>
          </w:p>
        </w:tc>
        <w:tc>
          <w:tcPr>
            <w:tcW w:w="2780" w:type="dxa"/>
            <w:vAlign w:val="bottom"/>
            <w:tcBorders>
              <w:top w:val="single" w:sz="8" w:color="0000FF"/>
            </w:tcBorders>
            <w:gridSpan w:val="17"/>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10.39***</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25"/>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First Amendment to Plains AAP, L.P. Class B Restricted Units Agreement dated August 25, 2016 (Willie Chiang) (incorporated by</w:t>
              </w:r>
            </w:hyperlink>
          </w:p>
        </w:tc>
        <w:tc>
          <w:tcPr>
            <w:tcW w:w="28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reference to Exhibit 10.8 to PAA’s Quarterly Report on Form 10-Q for the quarter ended September 30, 2016).</w:t>
              </w:r>
            </w:hyperlink>
          </w:p>
        </w:tc>
        <w:tc>
          <w:tcPr>
            <w:tcW w:w="1760" w:type="dxa"/>
            <w:vAlign w:val="bottom"/>
            <w:gridSpan w:val="19"/>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10.40***</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31"/>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Amendment dated August 25, 2016 to LTIP Grant Letter dated August 24, 2015 (Willie Chiang)(incorporated by reference to Exhibit</w:t>
              </w:r>
            </w:hyperlink>
          </w:p>
        </w:tc>
        <w:tc>
          <w:tcPr>
            <w:tcW w:w="1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gridSpan w:val="33"/>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10.</w:t>
              </w:r>
              <w:r>
                <w:rPr>
                  <w:rFonts w:ascii="Arial" w:cs="Arial" w:eastAsia="Arial" w:hAnsi="Arial"/>
                  <w:sz w:val="18"/>
                  <w:szCs w:val="18"/>
                  <w:u w:val="single" w:color="auto"/>
                  <w:color w:val="0000FF"/>
                </w:rPr>
                <w:t>7</w:t>
              </w:r>
              <w:r>
                <w:rPr>
                  <w:rFonts w:ascii="Arial" w:cs="Arial" w:eastAsia="Arial" w:hAnsi="Arial"/>
                  <w:sz w:val="18"/>
                  <w:szCs w:val="18"/>
                  <w:color w:val="0000FF"/>
                </w:rPr>
                <w:t xml:space="preserve"> to PAA’s Quarterly Report on Form 10-Q for the quarter ended September 30, 2016 filed November 8, 2016).</w:t>
              </w:r>
            </w:hyperlink>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10.41***</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Quarterly Bonus Program Summary (incorporated by reference to Exhibit 10.21 to PAA’s Annual Report on Form 10-K for the year</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ended December 31, 2005).</w:t>
              </w:r>
            </w:hyperlink>
          </w:p>
        </w:tc>
        <w:tc>
          <w:tcPr>
            <w:tcW w:w="7500" w:type="dxa"/>
            <w:vAlign w:val="bottom"/>
            <w:tcBorders>
              <w:top w:val="single" w:sz="8" w:color="0000FF"/>
            </w:tcBorders>
            <w:gridSpan w:val="25"/>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10.42***</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5"/>
              </w:rPr>
            </w:pPr>
            <w:hyperlink r:id="rId134">
              <w:r>
                <w:rPr>
                  <w:rFonts w:ascii="Arial" w:cs="Arial" w:eastAsia="Arial" w:hAnsi="Arial"/>
                  <w:sz w:val="18"/>
                  <w:szCs w:val="18"/>
                  <w:color w:val="0000FF"/>
                  <w:w w:val="95"/>
                </w:rPr>
                <w:t>Director Compensation Summary (incorporated by reference to Exhibit 10.43 to PAA’s Annual Report on Form 10-K for the year</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34">
              <w:r>
                <w:rPr>
                  <w:rFonts w:ascii="Arial" w:cs="Arial" w:eastAsia="Arial" w:hAnsi="Arial"/>
                  <w:sz w:val="18"/>
                  <w:szCs w:val="18"/>
                  <w:color w:val="0000FF"/>
                  <w:w w:val="88"/>
                </w:rPr>
                <w:t>ended December 31, 2016).</w:t>
              </w:r>
            </w:hyperlink>
          </w:p>
        </w:tc>
        <w:tc>
          <w:tcPr>
            <w:tcW w:w="7320" w:type="dxa"/>
            <w:vAlign w:val="bottom"/>
            <w:tcBorders>
              <w:top w:val="single" w:sz="8" w:color="0000FF"/>
            </w:tcBorders>
            <w:gridSpan w:val="20"/>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10.43***</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580" w:type="dxa"/>
            <w:vAlign w:val="bottom"/>
            <w:tcBorders>
              <w:bottom w:val="single" w:sz="8" w:color="0000FF"/>
            </w:tcBorders>
            <w:gridSpan w:val="29"/>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Plains All American GP LLC 2005 Long-Term Incentive Plan (incorporated by reference to Exhibit 10.1 to PAA’s Current Report on</w:t>
              </w:r>
            </w:hyperlink>
          </w:p>
        </w:tc>
        <w:tc>
          <w:tcPr>
            <w:tcW w:w="14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Form 8-K filed January 26, 2005).</w:t>
              </w:r>
            </w:hyperlink>
          </w:p>
        </w:tc>
        <w:tc>
          <w:tcPr>
            <w:tcW w:w="7240" w:type="dxa"/>
            <w:vAlign w:val="bottom"/>
            <w:gridSpan w:val="28"/>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10.44***</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tcBorders>
              <w:bottom w:val="single" w:sz="8" w:color="0000FF"/>
            </w:tcBorders>
            <w:gridSpan w:val="33"/>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First Amendment to Plains All American GP LLC 2005 Long-Term Incentive Plan dated December 4, 2008 (incorporated by reference</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to Exhibit 10.51 to PAA’s Annual Report on Form 10-K for the year ended December 31, 2008).</w:t>
              </w:r>
            </w:hyperlink>
          </w:p>
        </w:tc>
        <w:tc>
          <w:tcPr>
            <w:tcW w:w="2780" w:type="dxa"/>
            <w:vAlign w:val="bottom"/>
            <w:gridSpan w:val="21"/>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10.45***</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7"/>
              </w:rPr>
            </w:pPr>
            <w:hyperlink r:id="rId137">
              <w:r>
                <w:rPr>
                  <w:rFonts w:ascii="Arial" w:cs="Arial" w:eastAsia="Arial" w:hAnsi="Arial"/>
                  <w:sz w:val="18"/>
                  <w:szCs w:val="18"/>
                  <w:color w:val="0000FF"/>
                  <w:w w:val="97"/>
                </w:rPr>
                <w:t>Plains All American GP LLC 1998 Long-Term Incentive Plan (incorporated by reference to Exhibit 99.1 to PAA’s Registration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Statement on Form S-8, File No. 333-74920).</w:t>
              </w:r>
            </w:hyperlink>
          </w:p>
        </w:tc>
        <w:tc>
          <w:tcPr>
            <w:tcW w:w="580" w:type="dxa"/>
            <w:vAlign w:val="bottom"/>
            <w:gridSpan w:val="1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tcBorders>
              <w:bottom w:val="single" w:sz="8" w:color="0000FF"/>
            </w:tcBorders>
            <w:gridSpan w:val="30"/>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First Amendment to Plains All American GP LLC 1998 Long-Term Incentive Plan dated June 27, 2003 (incorporated by reference to</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Exhibit 10.1 to PAA’s Quarterly Report on Form 10-Q for the quarter ended June 30, 2003).</w:t>
              </w:r>
            </w:hyperlink>
          </w:p>
        </w:tc>
        <w:tc>
          <w:tcPr>
            <w:tcW w:w="3100" w:type="dxa"/>
            <w:vAlign w:val="bottom"/>
            <w:gridSpan w:val="23"/>
          </w:tcPr>
          <w:p>
            <w:pPr>
              <w:spacing w:after="0"/>
              <w:rPr>
                <w:sz w:val="17"/>
                <w:szCs w:val="17"/>
                <w:color w:val="auto"/>
              </w:rPr>
            </w:pPr>
          </w:p>
        </w:tc>
      </w:tr>
      <w:tr>
        <w:trPr>
          <w:trHeight w:val="628"/>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10.47***</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0"/>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Second Amendment to Plains All American GP LLC 1998 Long-Term Incentive Plan dated December 4, 2008 (incorporated by</w:t>
              </w:r>
            </w:hyperlink>
          </w:p>
        </w:tc>
        <w:tc>
          <w:tcPr>
            <w:tcW w:w="500" w:type="dxa"/>
            <w:vAlign w:val="bottom"/>
            <w:gridSpan w:val="1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reference to Exhibit 10.52 to PAA’s Annual Report on Form 10-K for the year ended December 31, 2008).</w:t>
              </w:r>
            </w:hyperlink>
          </w:p>
        </w:tc>
        <w:tc>
          <w:tcPr>
            <w:tcW w:w="2060" w:type="dxa"/>
            <w:vAlign w:val="bottom"/>
            <w:gridSpan w:val="20"/>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10.48***</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tcBorders>
              <w:bottom w:val="single" w:sz="8" w:color="0000FF"/>
            </w:tcBorders>
            <w:gridSpan w:val="33"/>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Plains All American PPX Successor Long-Term Incentive Plan (incorporated by reference to Exhibit 10.45 to PAA’s Annual Report 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gridSpan w:val="33"/>
          </w:tcPr>
          <w:p>
            <w:pPr>
              <w:spacing w:after="0" w:line="196" w:lineRule="exact"/>
              <w:rPr>
                <w:rFonts w:ascii="Arial" w:cs="Arial" w:eastAsia="Arial" w:hAnsi="Arial"/>
                <w:sz w:val="18"/>
                <w:szCs w:val="18"/>
                <w:color w:val="0000FF"/>
              </w:rPr>
            </w:pPr>
            <w:hyperlink r:id="rId140">
              <w:r>
                <w:rPr>
                  <w:rFonts w:ascii="Arial" w:cs="Arial" w:eastAsia="Arial" w:hAnsi="Arial"/>
                  <w:sz w:val="18"/>
                  <w:szCs w:val="18"/>
                  <w:color w:val="0000FF"/>
                </w:rPr>
                <w:t>Form 10-K for the year ended December 31, 2006).</w:t>
              </w:r>
            </w:hyperlink>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10.49***</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Form of Plains AAP, L.P. Class B Restricted Units Agreement (incorporated by reference to Exhibit 10.1 to PAA’s Current Report 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Form 8-K filed January 4, 2008).</w:t>
              </w:r>
            </w:hyperlink>
          </w:p>
        </w:tc>
        <w:tc>
          <w:tcPr>
            <w:tcW w:w="140" w:type="dxa"/>
            <w:vAlign w:val="bottom"/>
            <w:gridSpan w:val="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10.50***</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30"/>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Form of Amendment to the Plains AAP, L.P. Class B Restricted Units Agreement, dated October 18, 2013 (incorporated by reference</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gridSpan w:val="33"/>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to Exhibit 10.6 to our Current Report on Form 8-K filed October 25, 2013).</w:t>
              </w:r>
            </w:hyperlink>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10.51***</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4"/>
          </w:tcPr>
          <w:p>
            <w:pPr>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Form of Amendment to Plains AAP, L.P. Class B Restricted Units Agreement dated August 25, 2016 (incorporated by reference to</w:t>
              </w:r>
            </w:hyperlink>
          </w:p>
        </w:tc>
        <w:tc>
          <w:tcPr>
            <w:tcW w:w="30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Exhibit 10.6 to PAA’s Quarterly Report on Form 10-Q for the quarter ended September 30, 2016 filed November 8, 2016).</w:t>
              </w:r>
            </w:hyperlink>
          </w:p>
        </w:tc>
        <w:tc>
          <w:tcPr>
            <w:tcW w:w="900" w:type="dxa"/>
            <w:vAlign w:val="bottom"/>
            <w:gridSpan w:val="16"/>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10.52***</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5"/>
              </w:rPr>
            </w:pPr>
            <w:hyperlink r:id="rId144">
              <w:r>
                <w:rPr>
                  <w:rFonts w:ascii="Arial" w:cs="Arial" w:eastAsia="Arial" w:hAnsi="Arial"/>
                  <w:sz w:val="18"/>
                  <w:szCs w:val="18"/>
                  <w:color w:val="0000FF"/>
                  <w:w w:val="95"/>
                </w:rPr>
                <w:t>Plains All American 2013 Long-Term Incentive Plan (incorporated by reference to Exhibit A to PAA’s Definitive Proxy Statement</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filed on October 3, 2013).</w:t>
              </w:r>
            </w:hyperlink>
          </w:p>
        </w:tc>
        <w:tc>
          <w:tcPr>
            <w:tcW w:w="7500" w:type="dxa"/>
            <w:vAlign w:val="bottom"/>
            <w:tcBorders>
              <w:top w:val="single" w:sz="8" w:color="0000FF"/>
            </w:tcBorders>
            <w:gridSpan w:val="22"/>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10.53***</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7"/>
              </w:rPr>
            </w:pPr>
            <w:hyperlink r:id="rId145">
              <w:r>
                <w:rPr>
                  <w:rFonts w:ascii="Arial" w:cs="Arial" w:eastAsia="Arial" w:hAnsi="Arial"/>
                  <w:sz w:val="18"/>
                  <w:szCs w:val="18"/>
                  <w:color w:val="0000FF"/>
                  <w:w w:val="97"/>
                </w:rPr>
                <w:t>Plains All American PNG Successor Long-Term Incentive Plan (incorporated by reference to Exhibit 4.4 to PAA’s Registration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Statement on Form S-8 (333-193139) filed December 31, 2013).</w:t>
              </w:r>
            </w:hyperlink>
          </w:p>
        </w:tc>
        <w:tc>
          <w:tcPr>
            <w:tcW w:w="4500" w:type="dxa"/>
            <w:vAlign w:val="bottom"/>
            <w:tcBorders>
              <w:top w:val="single" w:sz="8" w:color="0000FF"/>
            </w:tcBorders>
            <w:gridSpan w:val="11"/>
          </w:tcPr>
          <w:p>
            <w:pPr>
              <w:spacing w:after="0"/>
              <w:rPr>
                <w:sz w:val="17"/>
                <w:szCs w:val="17"/>
                <w:color w:val="auto"/>
              </w:rPr>
            </w:pPr>
          </w:p>
        </w:tc>
        <w:tc>
          <w:tcPr>
            <w:tcW w:w="560" w:type="dxa"/>
            <w:vAlign w:val="bottom"/>
            <w:gridSpan w:val="14"/>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10.54***</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gridSpan w:val="33"/>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PAA Natural Gas Storage, L.P. 2010 Long-Term Incentive Plan (incorporated by reference to Exhibit 10.2 to PNG’s Current Report 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0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Form 8-K filed May 11, 2010).</w:t>
              </w:r>
            </w:hyperlink>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08" w:right="29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360"/>
          </w:cols>
          <w:pgMar w:left="240" w:top="108" w:right="29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10.55***</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Form of PAA LTIP Grant Letter for Officers (February 2013) (incorporated by reference to Exhibit 10.1 to PAA’s Quarterly Report on</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Form 10-Q for the quarter ended March 31, 2013).</w:t>
              </w:r>
            </w:hyperlink>
          </w:p>
        </w:tc>
        <w:tc>
          <w:tcPr>
            <w:tcW w:w="600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10.56***</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540" w:type="dxa"/>
            <w:vAlign w:val="bottom"/>
            <w:tcBorders>
              <w:bottom w:val="single" w:sz="8" w:color="0000FF"/>
            </w:tcBorders>
            <w:gridSpan w:val="21"/>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Form of PAA LTIP Grant Letter for Officers (August 2016) (incorporated by reference to Exhibit 10.5 to PAA’s Quarterly Report on</w:t>
              </w:r>
            </w:hyperlink>
          </w:p>
        </w:tc>
        <w:tc>
          <w:tcPr>
            <w:tcW w:w="14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Form 10-Q for the quarter ended September 30, 2016).</w:t>
              </w:r>
            </w:hyperlink>
          </w:p>
        </w:tc>
        <w:tc>
          <w:tcPr>
            <w:tcW w:w="5720" w:type="dxa"/>
            <w:vAlign w:val="bottom"/>
            <w:gridSpan w:val="19"/>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10.57***</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rFonts w:ascii="Arial" w:cs="Arial" w:eastAsia="Arial" w:hAnsi="Arial"/>
                <w:sz w:val="18"/>
                <w:szCs w:val="18"/>
                <w:color w:val="0000FF"/>
                <w:w w:val="94"/>
              </w:rPr>
            </w:pPr>
            <w:hyperlink r:id="rId149">
              <w:r>
                <w:rPr>
                  <w:rFonts w:ascii="Arial" w:cs="Arial" w:eastAsia="Arial" w:hAnsi="Arial"/>
                  <w:sz w:val="18"/>
                  <w:szCs w:val="18"/>
                  <w:color w:val="0000FF"/>
                  <w:w w:val="94"/>
                </w:rPr>
                <w:t>Form of Director LTIP Grant Letter (February 2017) - Director Grant - Designated Directors and Audit Committee Members (PAA</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Plan) (incorporated by reference to Exhibit 10.1 to PAA’s Quarterly Report on Form 10-Q for the quarter ended March 31, 2017).</w:t>
              </w:r>
            </w:hyperlink>
          </w:p>
        </w:tc>
        <w:tc>
          <w:tcPr>
            <w:tcW w:w="120" w:type="dxa"/>
            <w:vAlign w:val="bottom"/>
            <w:tcBorders>
              <w:top w:val="single" w:sz="8" w:color="0000FF"/>
            </w:tcBorders>
            <w:gridSpan w:val="2"/>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10.58***</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tcBorders>
              <w:bottom w:val="single" w:sz="8" w:color="0000FF"/>
            </w:tcBorders>
            <w:gridSpan w:val="25"/>
          </w:tcPr>
          <w:p>
            <w:pPr>
              <w:spacing w:after="0"/>
              <w:rPr>
                <w:rFonts w:ascii="Arial" w:cs="Arial" w:eastAsia="Arial" w:hAnsi="Arial"/>
                <w:sz w:val="18"/>
                <w:szCs w:val="18"/>
                <w:color w:val="0000FF"/>
                <w:w w:val="92"/>
              </w:rPr>
            </w:pPr>
            <w:hyperlink r:id="rId150">
              <w:r>
                <w:rPr>
                  <w:rFonts w:ascii="Arial" w:cs="Arial" w:eastAsia="Arial" w:hAnsi="Arial"/>
                  <w:sz w:val="18"/>
                  <w:szCs w:val="18"/>
                  <w:color w:val="0000FF"/>
                  <w:w w:val="92"/>
                </w:rPr>
                <w:t>Form of Director LTIP Grant Letter (February 2017) - Audit Committee Supplement (PAA Plan) (incorporated by reference to Exhibit</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PAA’s Quarterly Report on Form 10-Q for the quarter ended March 31, 2017).</w:t>
              </w:r>
            </w:hyperlink>
          </w:p>
        </w:tc>
        <w:tc>
          <w:tcPr>
            <w:tcW w:w="3500" w:type="dxa"/>
            <w:vAlign w:val="bottom"/>
            <w:gridSpan w:val="15"/>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10.59***</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520" w:type="dxa"/>
            <w:vAlign w:val="bottom"/>
            <w:tcBorders>
              <w:bottom w:val="single" w:sz="8" w:color="0000FF"/>
            </w:tcBorders>
            <w:gridSpan w:val="20"/>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Form of Director LTIP Grant Letter (February 2017) - Independent Director Grant (PAA Plan) (incorporated by reference to Exhibit</w:t>
              </w:r>
            </w:hyperlink>
          </w:p>
        </w:tc>
        <w:tc>
          <w:tcPr>
            <w:tcW w:w="16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PAA’s Quarterly Report on Form 10-Q for the quarter ended March 31, 2017).</w:t>
              </w:r>
            </w:hyperlink>
          </w:p>
        </w:tc>
        <w:tc>
          <w:tcPr>
            <w:tcW w:w="3500" w:type="dxa"/>
            <w:vAlign w:val="bottom"/>
            <w:gridSpan w:val="15"/>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10.60***</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Form of Director LTIP Grant Letter (February 2017) - Director Grant - Designated Directors and Audit Committee Members (PAGP</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Plan) (incorporated by reference to Exhibit 10.1 to our Quarterly Report on Form 10-Q for the quarter ended March 31, 2017).</w:t>
              </w:r>
            </w:hyperlink>
          </w:p>
        </w:tc>
        <w:tc>
          <w:tcPr>
            <w:tcW w:w="420" w:type="dxa"/>
            <w:vAlign w:val="bottom"/>
            <w:tcBorders>
              <w:top w:val="single" w:sz="8" w:color="0000FF"/>
            </w:tcBorders>
            <w:gridSpan w:val="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10.61***</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16"/>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Form of Director LTIP Grant Letter (February 2017) - Audit Committee Supplement (PAGP Plan) (incorporated by reference to</w:t>
              </w:r>
            </w:hyperlink>
          </w:p>
        </w:tc>
        <w:tc>
          <w:tcPr>
            <w:tcW w:w="460" w:type="dxa"/>
            <w:vAlign w:val="bottom"/>
            <w:gridSpan w:val="9"/>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Exhibit 10.2 to our Quarterly Report on Form 10-Q for the quarter ended March 31, 2017).</w:t>
              </w:r>
            </w:hyperlink>
          </w:p>
        </w:tc>
        <w:tc>
          <w:tcPr>
            <w:tcW w:w="3120" w:type="dxa"/>
            <w:vAlign w:val="bottom"/>
            <w:gridSpan w:val="14"/>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10.62***</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22"/>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Form of Director LTIP Grant Letter (February 2017) - Independent Director Grant (PAGP Plan) (incorporated by reference to Exhibit</w:t>
              </w:r>
            </w:hyperlink>
          </w:p>
        </w:tc>
        <w:tc>
          <w:tcPr>
            <w:tcW w:w="6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our Quarterly Report on Form 10-Q for the quarter ended March 31, 2017).</w:t>
              </w:r>
            </w:hyperlink>
          </w:p>
        </w:tc>
        <w:tc>
          <w:tcPr>
            <w:tcW w:w="3700" w:type="dxa"/>
            <w:vAlign w:val="bottom"/>
            <w:gridSpan w:val="16"/>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10.63***</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Form of LTIP Grant Letter for Officers (July 2017) (incorporated by reference to Exhibit 10.4 to PAA’s Quarterly Report on Form 10-</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55">
              <w:r>
                <w:rPr>
                  <w:rFonts w:ascii="Arial" w:cs="Arial" w:eastAsia="Arial" w:hAnsi="Arial"/>
                  <w:sz w:val="18"/>
                  <w:szCs w:val="18"/>
                  <w:color w:val="0000FF"/>
                  <w:w w:val="88"/>
                </w:rPr>
                <w:t>Q for the quarter ended June 30, 2017).</w:t>
              </w:r>
            </w:hyperlink>
          </w:p>
        </w:tc>
        <w:tc>
          <w:tcPr>
            <w:tcW w:w="6800" w:type="dxa"/>
            <w:vAlign w:val="bottom"/>
            <w:tcBorders>
              <w:top w:val="single" w:sz="8" w:color="0000FF"/>
            </w:tcBorders>
            <w:gridSpan w:val="2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FF"/>
                <w:w w:val="94"/>
              </w:rPr>
            </w:pPr>
            <w:hyperlink r:id="rId156">
              <w:r>
                <w:rPr>
                  <w:rFonts w:ascii="Arial" w:cs="Arial" w:eastAsia="Arial" w:hAnsi="Arial"/>
                  <w:sz w:val="18"/>
                  <w:szCs w:val="18"/>
                  <w:color w:val="0000FF"/>
                  <w:w w:val="94"/>
                </w:rPr>
                <w:t>Plains GP Holdings, L.P. Long Term Incentive Plan, (incorporated by reference to Exhibit 10.3 to our Current Report on Form 8-K</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filed October 25, 2013).</w:t>
              </w:r>
            </w:hyperlink>
          </w:p>
        </w:tc>
        <w:tc>
          <w:tcPr>
            <w:tcW w:w="7680" w:type="dxa"/>
            <w:vAlign w:val="bottom"/>
            <w:tcBorders>
              <w:top w:val="single" w:sz="8" w:color="0000FF"/>
            </w:tcBorders>
            <w:gridSpan w:val="17"/>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3"/>
              </w:rPr>
              <w:t>10.65</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rFonts w:ascii="Arial" w:cs="Arial" w:eastAsia="Arial" w:hAnsi="Arial"/>
                <w:sz w:val="18"/>
                <w:szCs w:val="18"/>
                <w:color w:val="0000FF"/>
                <w:w w:val="95"/>
              </w:rPr>
            </w:pPr>
            <w:hyperlink r:id="rId157">
              <w:r>
                <w:rPr>
                  <w:rFonts w:ascii="Arial" w:cs="Arial" w:eastAsia="Arial" w:hAnsi="Arial"/>
                  <w:sz w:val="18"/>
                  <w:szCs w:val="18"/>
                  <w:color w:val="0000FF"/>
                  <w:w w:val="95"/>
                </w:rPr>
                <w:t>Contribution Agreement dated October 21, 2013, by and among Plains GP Holdings, L.P., PAA GP Holdings LLC and the other</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parties signatory thereto (incorporated by reference to Exhibit 10.2 to our Current Report on Form 8-K filed October 25, 2013).</w:t>
              </w:r>
            </w:hyperlink>
          </w:p>
        </w:tc>
        <w:tc>
          <w:tcPr>
            <w:tcW w:w="40" w:type="dxa"/>
            <w:vAlign w:val="bottom"/>
            <w:tcBorders>
              <w:top w:val="single" w:sz="8" w:color="0000FF"/>
            </w:tcBorders>
          </w:tcPr>
          <w:p>
            <w:pPr>
              <w:spacing w:after="0"/>
              <w:rPr>
                <w:sz w:val="17"/>
                <w:szCs w:val="17"/>
                <w:color w:val="auto"/>
              </w:rPr>
            </w:pPr>
          </w:p>
        </w:tc>
        <w:tc>
          <w:tcPr>
            <w:tcW w:w="460" w:type="dxa"/>
            <w:vAlign w:val="bottom"/>
            <w:gridSpan w:val="9"/>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21.1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86">
              <w:r>
                <w:rPr>
                  <w:rFonts w:ascii="Arial" w:cs="Arial" w:eastAsia="Arial" w:hAnsi="Arial"/>
                  <w:sz w:val="18"/>
                  <w:szCs w:val="18"/>
                  <w:color w:val="0000FF"/>
                  <w:w w:val="91"/>
                </w:rPr>
                <w:t>List of Subsidiaries of Plains GP Holdings, L.P.</w:t>
              </w:r>
            </w:hyperlink>
          </w:p>
        </w:tc>
        <w:tc>
          <w:tcPr>
            <w:tcW w:w="6240" w:type="dxa"/>
            <w:vAlign w:val="bottom"/>
            <w:gridSpan w:val="21"/>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23.1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88">
              <w:r>
                <w:rPr>
                  <w:rFonts w:ascii="Arial" w:cs="Arial" w:eastAsia="Arial" w:hAnsi="Arial"/>
                  <w:sz w:val="18"/>
                  <w:szCs w:val="18"/>
                  <w:color w:val="0000FF"/>
                  <w:w w:val="89"/>
                </w:rPr>
                <w:t>Consent of PricewaterhouseCoopers LLP.</w:t>
              </w:r>
            </w:hyperlink>
          </w:p>
        </w:tc>
        <w:tc>
          <w:tcPr>
            <w:tcW w:w="6660" w:type="dxa"/>
            <w:vAlign w:val="bottom"/>
            <w:gridSpan w:val="22"/>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31.1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Certification of Principal Executive Officer pursuant to Exchange Act Rules 13a-14(a) and 15d-14(a).</w:t>
              </w:r>
            </w:hyperlink>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31.2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3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w:anchor="page190">
              <w:r>
                <w:rPr>
                  <w:rFonts w:ascii="Arial" w:cs="Arial" w:eastAsia="Arial" w:hAnsi="Arial"/>
                  <w:sz w:val="18"/>
                  <w:szCs w:val="18"/>
                  <w:color w:val="0000FF"/>
                  <w:w w:val="91"/>
                </w:rPr>
                <w:t>Certification of Principal Financial Officer pursuant to Exchange Act Rules 13a-14(a) and 15d-14(a).</w:t>
              </w:r>
            </w:hyperlink>
          </w:p>
        </w:tc>
        <w:tc>
          <w:tcPr>
            <w:tcW w:w="40" w:type="dxa"/>
            <w:vAlign w:val="bottom"/>
            <w:tcBorders>
              <w:top w:val="single" w:sz="8" w:color="0000FF"/>
            </w:tcBorders>
          </w:tcPr>
          <w:p>
            <w:pPr>
              <w:spacing w:after="0"/>
              <w:rPr>
                <w:sz w:val="24"/>
                <w:szCs w:val="24"/>
                <w:color w:val="auto"/>
              </w:rPr>
            </w:pPr>
          </w:p>
        </w:tc>
        <w:tc>
          <w:tcPr>
            <w:tcW w:w="2340" w:type="dxa"/>
            <w:vAlign w:val="bottom"/>
            <w:gridSpan w:val="12"/>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Certification of Principal Executive Officer pursuant to 18 U.S.C. 1350.</w:t>
              </w:r>
            </w:hyperlink>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1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192">
              <w:r>
                <w:rPr>
                  <w:rFonts w:ascii="Arial" w:cs="Arial" w:eastAsia="Arial" w:hAnsi="Arial"/>
                  <w:sz w:val="18"/>
                  <w:szCs w:val="18"/>
                  <w:color w:val="0000FF"/>
                  <w:w w:val="92"/>
                </w:rPr>
                <w:t>Certification of Principal Financial Officer pursuant to 18 U.S.C. 1350.</w:t>
              </w:r>
            </w:hyperlink>
          </w:p>
        </w:tc>
        <w:tc>
          <w:tcPr>
            <w:tcW w:w="40" w:type="dxa"/>
            <w:vAlign w:val="bottom"/>
            <w:tcBorders>
              <w:top w:val="single" w:sz="8" w:color="0000FF"/>
            </w:tcBorders>
          </w:tcPr>
          <w:p>
            <w:pPr>
              <w:spacing w:after="0"/>
              <w:rPr>
                <w:sz w:val="24"/>
                <w:szCs w:val="24"/>
                <w:color w:val="auto"/>
              </w:rPr>
            </w:pPr>
          </w:p>
        </w:tc>
        <w:tc>
          <w:tcPr>
            <w:tcW w:w="4500" w:type="dxa"/>
            <w:vAlign w:val="bottom"/>
            <w:gridSpan w:val="17"/>
          </w:tcPr>
          <w:p>
            <w:pPr>
              <w:spacing w:after="0"/>
              <w:rPr>
                <w:sz w:val="24"/>
                <w:szCs w:val="24"/>
                <w:color w:val="auto"/>
              </w:rPr>
            </w:pPr>
          </w:p>
        </w:tc>
      </w:tr>
      <w:tr>
        <w:trPr>
          <w:trHeight w:val="453"/>
        </w:trPr>
        <w:tc>
          <w:tcPr>
            <w:tcW w:w="1080" w:type="dxa"/>
            <w:vAlign w:val="bottom"/>
          </w:tcPr>
          <w:p>
            <w:pPr>
              <w:ind w:left="160"/>
              <w:spacing w:after="0"/>
              <w:rPr>
                <w:sz w:val="20"/>
                <w:szCs w:val="20"/>
                <w:color w:val="auto"/>
              </w:rPr>
            </w:pPr>
            <w:r>
              <w:rPr>
                <w:rFonts w:ascii="Arial" w:cs="Arial" w:eastAsia="Arial" w:hAnsi="Arial"/>
                <w:sz w:val="18"/>
                <w:szCs w:val="18"/>
                <w:color w:val="auto"/>
              </w:rPr>
              <w:t>101. INS†</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80" w:type="dxa"/>
            <w:vAlign w:val="bottom"/>
          </w:tcPr>
          <w:p>
            <w:pPr>
              <w:ind w:left="160"/>
              <w:spacing w:after="0"/>
              <w:rPr>
                <w:sz w:val="20"/>
                <w:szCs w:val="20"/>
                <w:color w:val="auto"/>
              </w:rPr>
            </w:pPr>
            <w:r>
              <w:rPr>
                <w:rFonts w:ascii="Arial" w:cs="Arial" w:eastAsia="Arial" w:hAnsi="Arial"/>
                <w:sz w:val="18"/>
                <w:szCs w:val="18"/>
                <w:color w:val="auto"/>
              </w:rPr>
              <w:t>101.SCH†</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80" w:type="dxa"/>
            <w:vAlign w:val="bottom"/>
          </w:tcPr>
          <w:p>
            <w:pPr>
              <w:ind w:left="140"/>
              <w:spacing w:after="0"/>
              <w:rPr>
                <w:sz w:val="20"/>
                <w:szCs w:val="20"/>
                <w:color w:val="auto"/>
              </w:rPr>
            </w:pPr>
            <w:r>
              <w:rPr>
                <w:rFonts w:ascii="Arial" w:cs="Arial" w:eastAsia="Arial" w:hAnsi="Arial"/>
                <w:sz w:val="18"/>
                <w:szCs w:val="18"/>
                <w:color w:val="auto"/>
              </w:rPr>
              <w:t>101.CAL†</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80" w:type="dxa"/>
            <w:vAlign w:val="bottom"/>
          </w:tcPr>
          <w:p>
            <w:pPr>
              <w:ind w:left="160"/>
              <w:spacing w:after="0"/>
              <w:rPr>
                <w:sz w:val="20"/>
                <w:szCs w:val="20"/>
                <w:color w:val="auto"/>
              </w:rPr>
            </w:pPr>
            <w:r>
              <w:rPr>
                <w:rFonts w:ascii="Arial" w:cs="Arial" w:eastAsia="Arial" w:hAnsi="Arial"/>
                <w:sz w:val="18"/>
                <w:szCs w:val="18"/>
                <w:color w:val="auto"/>
              </w:rPr>
              <w:t>101.DEF†</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80" w:type="dxa"/>
            <w:vAlign w:val="bottom"/>
          </w:tcPr>
          <w:p>
            <w:pPr>
              <w:ind w:left="140"/>
              <w:spacing w:after="0"/>
              <w:rPr>
                <w:sz w:val="20"/>
                <w:szCs w:val="20"/>
                <w:color w:val="auto"/>
              </w:rPr>
            </w:pPr>
            <w:r>
              <w:rPr>
                <w:rFonts w:ascii="Arial" w:cs="Arial" w:eastAsia="Arial" w:hAnsi="Arial"/>
                <w:sz w:val="18"/>
                <w:szCs w:val="18"/>
                <w:color w:val="auto"/>
              </w:rPr>
              <w:t>101.LAB†</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80" w:type="dxa"/>
            <w:vAlign w:val="bottom"/>
          </w:tcPr>
          <w:p>
            <w:pPr>
              <w:ind w:left="160"/>
              <w:spacing w:after="0"/>
              <w:rPr>
                <w:sz w:val="20"/>
                <w:szCs w:val="20"/>
                <w:color w:val="auto"/>
              </w:rPr>
            </w:pPr>
            <w:r>
              <w:rPr>
                <w:rFonts w:ascii="Arial" w:cs="Arial" w:eastAsia="Arial" w:hAnsi="Arial"/>
                <w:sz w:val="18"/>
                <w:szCs w:val="18"/>
                <w:color w:val="auto"/>
              </w:rPr>
              <w:t>101.PRE†</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71"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3"/>
          <w:szCs w:val="13"/>
          <w:color w:val="auto"/>
        </w:rPr>
      </w:pPr>
      <w:r>
        <w:rPr>
          <w:rFonts w:ascii="Arial" w:cs="Arial" w:eastAsia="Arial" w:hAnsi="Arial"/>
          <w:sz w:val="18"/>
          <w:szCs w:val="18"/>
          <w:color w:val="auto"/>
        </w:rPr>
        <w:t>Filed herewith.</w:t>
      </w:r>
    </w:p>
    <w:p>
      <w:pPr>
        <w:sectPr>
          <w:pgSz w:w="11900" w:h="16838" w:orient="portrait"/>
          <w:cols w:equalWidth="0" w:num="1">
            <w:col w:w="11320"/>
          </w:cols>
          <w:pgMar w:left="240" w:top="108" w:right="339" w:bottom="1440"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320"/>
          </w:cols>
          <w:pgMar w:left="240" w:top="108" w:right="3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340" w:hanging="332"/>
        <w:spacing w:after="0" w:line="277" w:lineRule="auto"/>
        <w:tabs>
          <w:tab w:leader="none" w:pos="151"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62" w:lineRule="exact"/>
        <w:rPr>
          <w:sz w:val="20"/>
          <w:szCs w:val="20"/>
          <w:color w:val="auto"/>
        </w:rPr>
      </w:pPr>
    </w:p>
    <w:p>
      <w:pPr>
        <w:ind w:left="340" w:right="160" w:hanging="332"/>
        <w:spacing w:after="0" w:line="277" w:lineRule="auto"/>
        <w:tabs>
          <w:tab w:leader="none" w:pos="241"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40"/>
          </w:cols>
          <w:pgMar w:left="240" w:top="125" w:right="3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GP HOLDINGS, L.P.</w:t>
      </w:r>
    </w:p>
    <w:p>
      <w:pPr>
        <w:spacing w:after="0" w:line="67"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PAA GP HOLDINGS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general partner</w:t>
      </w:r>
    </w:p>
    <w:p>
      <w:pPr>
        <w:spacing w:after="0" w:line="33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Greg L. Armstrong,</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Chairman of the Board, 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and Director of PAA GP Holdings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2018</w:t>
      </w:r>
    </w:p>
    <w:p>
      <w:pPr>
        <w:spacing w:after="0" w:line="6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2018</w:t>
      </w:r>
    </w:p>
    <w:p>
      <w:pPr>
        <w:spacing w:after="0" w:line="6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GP Holdings LLC</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684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25"/>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Chairman of the Board, Chief Executive Officer and 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3"/>
              </w:rPr>
              <w:t>Greg L. Armstrong</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President and Chief Commercial Officer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2"/>
              </w:rPr>
              <w:t>Harry N. Pefanis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4"/>
              </w:rPr>
              <w:t>/s/ Willie Chiang</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w w:val="98"/>
              </w:rPr>
              <w:t>Director, Executive Vice President and Chief Operating Officer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5"/>
              </w:rPr>
              <w:t>Willie Chiang</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Al Swanson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w w:val="98"/>
              </w:rPr>
              <w:t>Executive Vice President and Chief Financial Officer of PAA GP Holdings LLC (Principal</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Financial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2"/>
              </w:rPr>
              <w:t>Al Swanson</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Vice President—Accounting and Chief Accounting Officer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2"/>
              </w:rPr>
              <w:t>Chris Herbold</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3"/>
              </w:rPr>
              <w:t>/s/ Oscar K. Brown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3"/>
              </w:rPr>
              <w:t>Oscar K. Brown</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20" w:type="dxa"/>
            <w:vAlign w:val="bottom"/>
          </w:tcPr>
          <w:p>
            <w:pPr>
              <w:jc w:val="center"/>
              <w:spacing w:after="0"/>
              <w:rPr>
                <w:sz w:val="20"/>
                <w:szCs w:val="20"/>
                <w:color w:val="auto"/>
              </w:rPr>
            </w:pPr>
            <w:r>
              <w:rPr>
                <w:rFonts w:ascii="Arial" w:cs="Arial" w:eastAsia="Arial" w:hAnsi="Arial"/>
                <w:sz w:val="18"/>
                <w:szCs w:val="18"/>
                <w:color w:val="auto"/>
                <w:w w:val="96"/>
              </w:rPr>
              <w:t>/s/ Victor Burk</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7"/>
              </w:rPr>
              <w:t>Victor Burk</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Everardo Goyanes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9"/>
              </w:rPr>
              <w:t>Everardo Goyanes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8"/>
              </w:rPr>
              <w:t>/s/ Gary R. Petersen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7"/>
              </w:rPr>
              <w:t>Gary R. Petersen</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John T. Raymond</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Bobby S. Shackouls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0"/>
              </w:rPr>
              <w:t>Bobby S. Shackouls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Robert V. Sinnott</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1"/>
              </w:rPr>
              <w:t>Robert V. Sinnott</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J. Taft Symonds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20" w:type="dxa"/>
            <w:vAlign w:val="bottom"/>
          </w:tcPr>
          <w:p>
            <w:pPr>
              <w:jc w:val="center"/>
              <w:spacing w:after="0"/>
              <w:rPr>
                <w:sz w:val="20"/>
                <w:szCs w:val="20"/>
                <w:color w:val="auto"/>
              </w:rPr>
            </w:pPr>
            <w:r>
              <w:rPr>
                <w:rFonts w:ascii="Arial" w:cs="Arial" w:eastAsia="Arial" w:hAnsi="Arial"/>
                <w:sz w:val="18"/>
                <w:szCs w:val="18"/>
                <w:color w:val="auto"/>
                <w:w w:val="91"/>
              </w:rPr>
              <w:t>/s/ Christopher M. Temple</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26, 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5" w:right="2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230"/>
        </w:trPr>
        <w:tc>
          <w:tcPr>
            <w:tcW w:w="10360" w:type="dxa"/>
            <w:vAlign w:val="bottom"/>
            <w:gridSpan w:val="32"/>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19"/>
                <w:szCs w:val="19"/>
                <w:color w:val="auto"/>
              </w:rPr>
            </w:pPr>
          </w:p>
        </w:tc>
      </w:tr>
      <w:tr>
        <w:trPr>
          <w:trHeight w:val="243"/>
        </w:trPr>
        <w:tc>
          <w:tcPr>
            <w:tcW w:w="490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Management’s Report on Internal Control Over Financial Reporting</w:t>
              </w:r>
            </w:hyperlink>
          </w:p>
        </w:tc>
        <w:tc>
          <w:tcPr>
            <w:tcW w:w="5460" w:type="dxa"/>
            <w:vAlign w:val="bottom"/>
            <w:gridSpan w:val="6"/>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F-2</w:t>
              </w:r>
            </w:hyperlink>
          </w:p>
        </w:tc>
      </w:tr>
      <w:tr>
        <w:trPr>
          <w:trHeight w:val="250"/>
        </w:trPr>
        <w:tc>
          <w:tcPr>
            <w:tcW w:w="422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Report of Independent Registered Public Accounting Firm</w:t>
              </w:r>
            </w:hyperlink>
          </w:p>
        </w:tc>
        <w:tc>
          <w:tcPr>
            <w:tcW w:w="614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F-3</w:t>
              </w:r>
            </w:hyperlink>
          </w:p>
        </w:tc>
      </w:tr>
      <w:tr>
        <w:trPr>
          <w:trHeight w:val="250"/>
        </w:trPr>
        <w:tc>
          <w:tcPr>
            <w:tcW w:w="10360" w:type="dxa"/>
            <w:vAlign w:val="bottom"/>
            <w:gridSpan w:val="32"/>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Consolidated Balance Sheets as of December 31, 2017 and 2016</w:t>
              </w:r>
            </w:hyperlink>
          </w:p>
        </w:tc>
        <w:tc>
          <w:tcPr>
            <w:tcW w:w="1020" w:type="dxa"/>
            <w:vAlign w:val="bottom"/>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F-4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Consolidated Statements of Operations for the years ended December 31, 2017, 2016 and 2015</w:t>
              </w:r>
            </w:hyperlink>
          </w:p>
        </w:tc>
        <w:tc>
          <w:tcPr>
            <w:tcW w:w="1020" w:type="dxa"/>
            <w:vAlign w:val="bottom"/>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F-5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Consolidated Statements of Comprehensive Income/(Loss) for the years ended December 31, 2017, 2016 and 2015</w:t>
              </w:r>
            </w:hyperlink>
          </w:p>
        </w:tc>
        <w:tc>
          <w:tcPr>
            <w:tcW w:w="1020" w:type="dxa"/>
            <w:vAlign w:val="bottom"/>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F-6</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2"/>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Consolidated Statements of Changes in Accumulated Other Comprehensive Income/(Loss) for the years ended December 31, 2017, 2016 and</w:t>
              </w:r>
            </w:hyperlink>
          </w:p>
        </w:tc>
        <w:tc>
          <w:tcPr>
            <w:tcW w:w="1020" w:type="dxa"/>
            <w:vAlign w:val="bottom"/>
          </w:tcPr>
          <w:p>
            <w:pPr>
              <w:spacing w:after="0"/>
              <w:rPr>
                <w:sz w:val="21"/>
                <w:szCs w:val="21"/>
                <w:color w:val="auto"/>
              </w:rPr>
            </w:pPr>
          </w:p>
        </w:tc>
      </w:tr>
      <w:tr>
        <w:trPr>
          <w:trHeight w:val="196"/>
        </w:trPr>
        <w:tc>
          <w:tcPr>
            <w:tcW w:w="520" w:type="dxa"/>
            <w:vAlign w:val="bottom"/>
            <w:tcBorders>
              <w:top w:val="single" w:sz="8" w:color="0000EE"/>
            </w:tcBorders>
            <w:gridSpan w:val="5"/>
          </w:tcPr>
          <w:p>
            <w:pPr>
              <w:ind w:left="160"/>
              <w:spacing w:after="0" w:line="196" w:lineRule="exact"/>
              <w:rPr>
                <w:rFonts w:ascii="Arial" w:cs="Arial" w:eastAsia="Arial" w:hAnsi="Arial"/>
                <w:sz w:val="18"/>
                <w:szCs w:val="18"/>
                <w:color w:val="0000EE"/>
                <w:w w:val="84"/>
              </w:rPr>
            </w:pPr>
            <w:hyperlink w:anchor="page127">
              <w:r>
                <w:rPr>
                  <w:rFonts w:ascii="Arial" w:cs="Arial" w:eastAsia="Arial" w:hAnsi="Arial"/>
                  <w:sz w:val="18"/>
                  <w:szCs w:val="18"/>
                  <w:color w:val="0000EE"/>
                  <w:w w:val="84"/>
                </w:rPr>
                <w:t>2015</w:t>
              </w:r>
            </w:hyperlink>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F-6</w:t>
              </w:r>
            </w:hyperlink>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Consolidated Statements of Cash Flows for the years ended December 31, 2017, 2016 and 2015</w:t>
              </w:r>
            </w:hyperlink>
          </w:p>
        </w:tc>
        <w:tc>
          <w:tcPr>
            <w:tcW w:w="1020" w:type="dxa"/>
            <w:vAlign w:val="bottom"/>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F-7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Changes in Partners’ Capital for the years ended December 31, 2017, 2016 and 2015</w:t>
              </w:r>
            </w:hyperlink>
          </w:p>
        </w:tc>
        <w:tc>
          <w:tcPr>
            <w:tcW w:w="1020" w:type="dxa"/>
            <w:vAlign w:val="bottom"/>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F-8</w:t>
              </w:r>
            </w:hyperlink>
          </w:p>
        </w:tc>
      </w:tr>
      <w:tr>
        <w:trPr>
          <w:trHeight w:val="250"/>
        </w:trPr>
        <w:tc>
          <w:tcPr>
            <w:tcW w:w="34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Notes to the Consolidated Financial Statements:</w:t>
              </w:r>
            </w:hyperlink>
          </w:p>
        </w:tc>
        <w:tc>
          <w:tcPr>
            <w:tcW w:w="4660" w:type="dxa"/>
            <w:vAlign w:val="bottom"/>
            <w:tcBorders>
              <w:top w:val="single" w:sz="8" w:color="0000EE"/>
            </w:tcBorders>
            <w:gridSpan w:val="11"/>
          </w:tcPr>
          <w:p>
            <w:pPr>
              <w:spacing w:after="0"/>
              <w:rPr>
                <w:sz w:val="21"/>
                <w:szCs w:val="21"/>
                <w:color w:val="auto"/>
              </w:rPr>
            </w:pPr>
          </w:p>
        </w:tc>
        <w:tc>
          <w:tcPr>
            <w:tcW w:w="2240" w:type="dxa"/>
            <w:vAlign w:val="bottom"/>
            <w:gridSpan w:val="3"/>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F-9</w:t>
              </w:r>
            </w:hyperlink>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1">
              <w:r>
                <w:rPr>
                  <w:rFonts w:ascii="Arial" w:cs="Arial" w:eastAsia="Arial" w:hAnsi="Arial"/>
                  <w:sz w:val="18"/>
                  <w:szCs w:val="18"/>
                  <w:color w:val="0000EE"/>
                  <w:w w:val="79"/>
                </w:rPr>
                <w:t>1.</w:t>
              </w:r>
            </w:hyperlink>
          </w:p>
        </w:tc>
        <w:tc>
          <w:tcPr>
            <w:tcW w:w="10080" w:type="dxa"/>
            <w:vAlign w:val="bottom"/>
            <w:gridSpan w:val="29"/>
          </w:tcPr>
          <w:p>
            <w:pPr>
              <w:ind w:left="40"/>
              <w:spacing w:after="0"/>
              <w:rPr>
                <w:rFonts w:ascii="Arial" w:cs="Arial" w:eastAsia="Arial" w:hAnsi="Arial"/>
                <w:sz w:val="18"/>
                <w:szCs w:val="18"/>
                <w:color w:val="0000EE"/>
              </w:rPr>
            </w:pPr>
            <w:hyperlink w:anchor="page131">
              <w:r>
                <w:rPr>
                  <w:rFonts w:ascii="Arial" w:cs="Arial" w:eastAsia="Arial" w:hAnsi="Arial"/>
                  <w:sz w:val="18"/>
                  <w:szCs w:val="18"/>
                  <w:color w:val="0000EE"/>
                </w:rPr>
                <w:t>Organization and Basis of Consolidation and Presentation</w:t>
              </w:r>
            </w:hyperlink>
          </w:p>
        </w:tc>
        <w:tc>
          <w:tcPr>
            <w:tcW w:w="1020" w:type="dxa"/>
            <w:vAlign w:val="bottom"/>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F-9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2.</w:t>
              </w:r>
            </w:hyperlink>
          </w:p>
        </w:tc>
        <w:tc>
          <w:tcPr>
            <w:tcW w:w="10080" w:type="dxa"/>
            <w:vAlign w:val="bottom"/>
            <w:gridSpan w:val="29"/>
          </w:tcPr>
          <w:p>
            <w:pPr>
              <w:ind w:left="40"/>
              <w:spacing w:after="0"/>
              <w:rPr>
                <w:rFonts w:ascii="Arial" w:cs="Arial" w:eastAsia="Arial" w:hAnsi="Arial"/>
                <w:sz w:val="18"/>
                <w:szCs w:val="18"/>
                <w:color w:val="0000EE"/>
              </w:rPr>
            </w:pPr>
            <w:hyperlink w:anchor="page133">
              <w:r>
                <w:rPr>
                  <w:rFonts w:ascii="Arial" w:cs="Arial" w:eastAsia="Arial" w:hAnsi="Arial"/>
                  <w:sz w:val="18"/>
                  <w:szCs w:val="18"/>
                  <w:color w:val="0000EE"/>
                </w:rPr>
                <w:t>Summary of Significant Accounting Policies</w:t>
              </w:r>
            </w:hyperlink>
          </w:p>
        </w:tc>
        <w:tc>
          <w:tcPr>
            <w:tcW w:w="1020" w:type="dxa"/>
            <w:vAlign w:val="bottom"/>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F-11</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9">
              <w:r>
                <w:rPr>
                  <w:rFonts w:ascii="Arial" w:cs="Arial" w:eastAsia="Arial" w:hAnsi="Arial"/>
                  <w:sz w:val="18"/>
                  <w:szCs w:val="18"/>
                  <w:color w:val="0000EE"/>
                  <w:w w:val="79"/>
                </w:rPr>
                <w:t>3.</w:t>
              </w:r>
            </w:hyperlink>
          </w:p>
        </w:tc>
        <w:tc>
          <w:tcPr>
            <w:tcW w:w="10080" w:type="dxa"/>
            <w:vAlign w:val="bottom"/>
            <w:gridSpan w:val="29"/>
          </w:tcPr>
          <w:p>
            <w:pPr>
              <w:ind w:left="40"/>
              <w:spacing w:after="0"/>
              <w:rPr>
                <w:rFonts w:ascii="Arial" w:cs="Arial" w:eastAsia="Arial" w:hAnsi="Arial"/>
                <w:sz w:val="18"/>
                <w:szCs w:val="18"/>
                <w:color w:val="0000EE"/>
              </w:rPr>
            </w:pPr>
            <w:hyperlink w:anchor="page139">
              <w:r>
                <w:rPr>
                  <w:rFonts w:ascii="Arial" w:cs="Arial" w:eastAsia="Arial" w:hAnsi="Arial"/>
                  <w:sz w:val="18"/>
                  <w:szCs w:val="18"/>
                  <w:color w:val="0000EE"/>
                </w:rPr>
                <w:t>Net Income/(Loss) Per Class A Share</w:t>
              </w:r>
            </w:hyperlink>
          </w:p>
        </w:tc>
        <w:tc>
          <w:tcPr>
            <w:tcW w:w="1020" w:type="dxa"/>
            <w:vAlign w:val="bottom"/>
          </w:tcPr>
          <w:p>
            <w:pPr>
              <w:jc w:val="right"/>
              <w:spacing w:after="0"/>
              <w:rPr>
                <w:rFonts w:ascii="Arial" w:cs="Arial" w:eastAsia="Arial" w:hAnsi="Arial"/>
                <w:sz w:val="18"/>
                <w:szCs w:val="18"/>
                <w:color w:val="0000EE"/>
              </w:rPr>
            </w:pPr>
            <w:hyperlink w:anchor="page139">
              <w:r>
                <w:rPr>
                  <w:rFonts w:ascii="Arial" w:cs="Arial" w:eastAsia="Arial" w:hAnsi="Arial"/>
                  <w:sz w:val="18"/>
                  <w:szCs w:val="18"/>
                  <w:color w:val="0000EE"/>
                </w:rPr>
                <w:t>F-17</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0">
              <w:r>
                <w:rPr>
                  <w:rFonts w:ascii="Arial" w:cs="Arial" w:eastAsia="Arial" w:hAnsi="Arial"/>
                  <w:sz w:val="18"/>
                  <w:szCs w:val="18"/>
                  <w:color w:val="0000EE"/>
                  <w:w w:val="79"/>
                </w:rPr>
                <w:t>4.</w:t>
              </w:r>
            </w:hyperlink>
          </w:p>
        </w:tc>
        <w:tc>
          <w:tcPr>
            <w:tcW w:w="10080" w:type="dxa"/>
            <w:vAlign w:val="bottom"/>
            <w:gridSpan w:val="29"/>
          </w:tcPr>
          <w:p>
            <w:pPr>
              <w:ind w:left="40"/>
              <w:spacing w:after="0"/>
              <w:rPr>
                <w:rFonts w:ascii="Arial" w:cs="Arial" w:eastAsia="Arial" w:hAnsi="Arial"/>
                <w:sz w:val="18"/>
                <w:szCs w:val="18"/>
                <w:color w:val="0000EE"/>
              </w:rPr>
            </w:pPr>
            <w:hyperlink w:anchor="page140">
              <w:r>
                <w:rPr>
                  <w:rFonts w:ascii="Arial" w:cs="Arial" w:eastAsia="Arial" w:hAnsi="Arial"/>
                  <w:sz w:val="18"/>
                  <w:szCs w:val="18"/>
                  <w:color w:val="0000EE"/>
                </w:rPr>
                <w:t>Inventory, Linefill and Base Gas and Long-term Inventory</w:t>
              </w:r>
            </w:hyperlink>
          </w:p>
        </w:tc>
        <w:tc>
          <w:tcPr>
            <w:tcW w:w="1020" w:type="dxa"/>
            <w:vAlign w:val="bottom"/>
          </w:tcPr>
          <w:p>
            <w:pPr>
              <w:jc w:val="right"/>
              <w:spacing w:after="0"/>
              <w:rPr>
                <w:rFonts w:ascii="Arial" w:cs="Arial" w:eastAsia="Arial" w:hAnsi="Arial"/>
                <w:sz w:val="18"/>
                <w:szCs w:val="18"/>
                <w:color w:val="0000EE"/>
              </w:rPr>
            </w:pPr>
            <w:hyperlink w:anchor="page140">
              <w:r>
                <w:rPr>
                  <w:rFonts w:ascii="Arial" w:cs="Arial" w:eastAsia="Arial" w:hAnsi="Arial"/>
                  <w:sz w:val="18"/>
                  <w:szCs w:val="18"/>
                  <w:color w:val="0000EE"/>
                </w:rPr>
                <w:t>F-18</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5.</w:t>
              </w:r>
            </w:hyperlink>
          </w:p>
        </w:tc>
        <w:tc>
          <w:tcPr>
            <w:tcW w:w="10080" w:type="dxa"/>
            <w:vAlign w:val="bottom"/>
            <w:gridSpan w:val="29"/>
          </w:tcPr>
          <w:p>
            <w:pPr>
              <w:ind w:left="40"/>
              <w:spacing w:after="0"/>
              <w:rPr>
                <w:rFonts w:ascii="Arial" w:cs="Arial" w:eastAsia="Arial" w:hAnsi="Arial"/>
                <w:sz w:val="18"/>
                <w:szCs w:val="18"/>
                <w:color w:val="0000EE"/>
              </w:rPr>
            </w:pPr>
            <w:hyperlink w:anchor="page141">
              <w:r>
                <w:rPr>
                  <w:rFonts w:ascii="Arial" w:cs="Arial" w:eastAsia="Arial" w:hAnsi="Arial"/>
                  <w:sz w:val="18"/>
                  <w:szCs w:val="18"/>
                  <w:color w:val="0000EE"/>
                </w:rPr>
                <w:t>Property and Equipment</w:t>
              </w:r>
            </w:hyperlink>
          </w:p>
        </w:tc>
        <w:tc>
          <w:tcPr>
            <w:tcW w:w="1020" w:type="dxa"/>
            <w:vAlign w:val="bottom"/>
          </w:tcPr>
          <w:p>
            <w:pPr>
              <w:jc w:val="right"/>
              <w:spacing w:after="0"/>
              <w:rPr>
                <w:rFonts w:ascii="Arial" w:cs="Arial" w:eastAsia="Arial" w:hAnsi="Arial"/>
                <w:sz w:val="18"/>
                <w:szCs w:val="18"/>
                <w:color w:val="0000EE"/>
              </w:rPr>
            </w:pPr>
            <w:hyperlink w:anchor="page141">
              <w:r>
                <w:rPr>
                  <w:rFonts w:ascii="Arial" w:cs="Arial" w:eastAsia="Arial" w:hAnsi="Arial"/>
                  <w:sz w:val="18"/>
                  <w:szCs w:val="18"/>
                  <w:color w:val="0000EE"/>
                </w:rPr>
                <w:t>F-19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6.</w:t>
              </w:r>
            </w:hyperlink>
          </w:p>
        </w:tc>
        <w:tc>
          <w:tcPr>
            <w:tcW w:w="10080" w:type="dxa"/>
            <w:vAlign w:val="bottom"/>
            <w:gridSpan w:val="29"/>
          </w:tcPr>
          <w:p>
            <w:pPr>
              <w:ind w:left="40"/>
              <w:spacing w:after="0"/>
              <w:rPr>
                <w:rFonts w:ascii="Arial" w:cs="Arial" w:eastAsia="Arial" w:hAnsi="Arial"/>
                <w:sz w:val="18"/>
                <w:szCs w:val="18"/>
                <w:color w:val="0000EE"/>
              </w:rPr>
            </w:pPr>
            <w:hyperlink w:anchor="page143">
              <w:r>
                <w:rPr>
                  <w:rFonts w:ascii="Arial" w:cs="Arial" w:eastAsia="Arial" w:hAnsi="Arial"/>
                  <w:sz w:val="18"/>
                  <w:szCs w:val="18"/>
                  <w:color w:val="0000EE"/>
                </w:rPr>
                <w:t>Acquisitions and Dispositions</w:t>
              </w:r>
            </w:hyperlink>
          </w:p>
        </w:tc>
        <w:tc>
          <w:tcPr>
            <w:tcW w:w="1020" w:type="dxa"/>
            <w:vAlign w:val="bottom"/>
          </w:tcPr>
          <w:p>
            <w:pPr>
              <w:jc w:val="right"/>
              <w:spacing w:after="0"/>
              <w:rPr>
                <w:rFonts w:ascii="Arial" w:cs="Arial" w:eastAsia="Arial" w:hAnsi="Arial"/>
                <w:sz w:val="18"/>
                <w:szCs w:val="18"/>
                <w:color w:val="0000EE"/>
              </w:rPr>
            </w:pPr>
            <w:hyperlink w:anchor="page143">
              <w:r>
                <w:rPr>
                  <w:rFonts w:ascii="Arial" w:cs="Arial" w:eastAsia="Arial" w:hAnsi="Arial"/>
                  <w:sz w:val="18"/>
                  <w:szCs w:val="18"/>
                  <w:color w:val="0000EE"/>
                </w:rPr>
                <w:t>F-21</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5">
              <w:r>
                <w:rPr>
                  <w:rFonts w:ascii="Arial" w:cs="Arial" w:eastAsia="Arial" w:hAnsi="Arial"/>
                  <w:sz w:val="18"/>
                  <w:szCs w:val="18"/>
                  <w:color w:val="0000EE"/>
                  <w:w w:val="79"/>
                </w:rPr>
                <w:t>7.</w:t>
              </w:r>
            </w:hyperlink>
          </w:p>
        </w:tc>
        <w:tc>
          <w:tcPr>
            <w:tcW w:w="10080" w:type="dxa"/>
            <w:vAlign w:val="bottom"/>
            <w:gridSpan w:val="29"/>
          </w:tcPr>
          <w:p>
            <w:pPr>
              <w:ind w:left="40"/>
              <w:spacing w:after="0"/>
              <w:rPr>
                <w:rFonts w:ascii="Arial" w:cs="Arial" w:eastAsia="Arial" w:hAnsi="Arial"/>
                <w:sz w:val="18"/>
                <w:szCs w:val="18"/>
                <w:color w:val="0000EE"/>
              </w:rPr>
            </w:pPr>
            <w:hyperlink w:anchor="page145">
              <w:r>
                <w:rPr>
                  <w:rFonts w:ascii="Arial" w:cs="Arial" w:eastAsia="Arial" w:hAnsi="Arial"/>
                  <w:sz w:val="18"/>
                  <w:szCs w:val="18"/>
                  <w:color w:val="0000EE"/>
                </w:rPr>
                <w:t>Goodwill</w:t>
              </w:r>
            </w:hyperlink>
          </w:p>
        </w:tc>
        <w:tc>
          <w:tcPr>
            <w:tcW w:w="1020" w:type="dxa"/>
            <w:vAlign w:val="bottom"/>
          </w:tcPr>
          <w:p>
            <w:pPr>
              <w:jc w:val="right"/>
              <w:spacing w:after="0"/>
              <w:rPr>
                <w:rFonts w:ascii="Arial" w:cs="Arial" w:eastAsia="Arial" w:hAnsi="Arial"/>
                <w:sz w:val="18"/>
                <w:szCs w:val="18"/>
                <w:color w:val="0000EE"/>
              </w:rPr>
            </w:pPr>
            <w:hyperlink w:anchor="page145">
              <w:r>
                <w:rPr>
                  <w:rFonts w:ascii="Arial" w:cs="Arial" w:eastAsia="Arial" w:hAnsi="Arial"/>
                  <w:sz w:val="18"/>
                  <w:szCs w:val="18"/>
                  <w:color w:val="0000EE"/>
                </w:rPr>
                <w:t>F-23</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8.</w:t>
              </w:r>
            </w:hyperlink>
          </w:p>
        </w:tc>
        <w:tc>
          <w:tcPr>
            <w:tcW w:w="10080" w:type="dxa"/>
            <w:vAlign w:val="bottom"/>
            <w:gridSpan w:val="29"/>
          </w:tcPr>
          <w:p>
            <w:pPr>
              <w:ind w:left="40"/>
              <w:spacing w:after="0"/>
              <w:rPr>
                <w:rFonts w:ascii="Arial" w:cs="Arial" w:eastAsia="Arial" w:hAnsi="Arial"/>
                <w:sz w:val="18"/>
                <w:szCs w:val="18"/>
                <w:color w:val="0000EE"/>
              </w:rPr>
            </w:pPr>
            <w:hyperlink w:anchor="page146">
              <w:r>
                <w:rPr>
                  <w:rFonts w:ascii="Arial" w:cs="Arial" w:eastAsia="Arial" w:hAnsi="Arial"/>
                  <w:sz w:val="18"/>
                  <w:szCs w:val="18"/>
                  <w:color w:val="0000EE"/>
                </w:rPr>
                <w:t>Investments in Unconsolidated Entities</w:t>
              </w:r>
            </w:hyperlink>
          </w:p>
        </w:tc>
        <w:tc>
          <w:tcPr>
            <w:tcW w:w="1020" w:type="dxa"/>
            <w:vAlign w:val="bottom"/>
          </w:tcPr>
          <w:p>
            <w:pPr>
              <w:jc w:val="right"/>
              <w:spacing w:after="0"/>
              <w:rPr>
                <w:rFonts w:ascii="Arial" w:cs="Arial" w:eastAsia="Arial" w:hAnsi="Arial"/>
                <w:sz w:val="18"/>
                <w:szCs w:val="18"/>
                <w:color w:val="0000EE"/>
              </w:rPr>
            </w:pPr>
            <w:hyperlink w:anchor="page146">
              <w:r>
                <w:rPr>
                  <w:rFonts w:ascii="Arial" w:cs="Arial" w:eastAsia="Arial" w:hAnsi="Arial"/>
                  <w:sz w:val="18"/>
                  <w:szCs w:val="18"/>
                  <w:color w:val="0000EE"/>
                </w:rPr>
                <w:t>F-24</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9">
              <w:r>
                <w:rPr>
                  <w:rFonts w:ascii="Arial" w:cs="Arial" w:eastAsia="Arial" w:hAnsi="Arial"/>
                  <w:sz w:val="18"/>
                  <w:szCs w:val="18"/>
                  <w:color w:val="0000EE"/>
                  <w:w w:val="79"/>
                </w:rPr>
                <w:t>9.</w:t>
              </w:r>
            </w:hyperlink>
          </w:p>
        </w:tc>
        <w:tc>
          <w:tcPr>
            <w:tcW w:w="10080" w:type="dxa"/>
            <w:vAlign w:val="bottom"/>
            <w:gridSpan w:val="29"/>
          </w:tcPr>
          <w:p>
            <w:pPr>
              <w:ind w:left="40"/>
              <w:spacing w:after="0"/>
              <w:rPr>
                <w:rFonts w:ascii="Arial" w:cs="Arial" w:eastAsia="Arial" w:hAnsi="Arial"/>
                <w:sz w:val="18"/>
                <w:szCs w:val="18"/>
                <w:color w:val="0000EE"/>
              </w:rPr>
            </w:pPr>
            <w:hyperlink w:anchor="page149">
              <w:r>
                <w:rPr>
                  <w:rFonts w:ascii="Arial" w:cs="Arial" w:eastAsia="Arial" w:hAnsi="Arial"/>
                  <w:sz w:val="18"/>
                  <w:szCs w:val="18"/>
                  <w:color w:val="0000EE"/>
                </w:rPr>
                <w:t>Other Long-Term Assets, Net</w:t>
              </w:r>
            </w:hyperlink>
          </w:p>
        </w:tc>
        <w:tc>
          <w:tcPr>
            <w:tcW w:w="1020" w:type="dxa"/>
            <w:vAlign w:val="bottom"/>
          </w:tcPr>
          <w:p>
            <w:pPr>
              <w:jc w:val="right"/>
              <w:spacing w:after="0"/>
              <w:rPr>
                <w:rFonts w:ascii="Arial" w:cs="Arial" w:eastAsia="Arial" w:hAnsi="Arial"/>
                <w:sz w:val="18"/>
                <w:szCs w:val="18"/>
                <w:color w:val="0000EE"/>
              </w:rPr>
            </w:pPr>
            <w:hyperlink w:anchor="page149">
              <w:r>
                <w:rPr>
                  <w:rFonts w:ascii="Arial" w:cs="Arial" w:eastAsia="Arial" w:hAnsi="Arial"/>
                  <w:sz w:val="18"/>
                  <w:szCs w:val="18"/>
                  <w:color w:val="0000EE"/>
                </w:rPr>
                <w:t>F-27</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50">
              <w:r>
                <w:rPr>
                  <w:rFonts w:ascii="Arial" w:cs="Arial" w:eastAsia="Arial" w:hAnsi="Arial"/>
                  <w:sz w:val="18"/>
                  <w:szCs w:val="18"/>
                  <w:color w:val="0000EE"/>
                  <w:w w:val="87"/>
                </w:rPr>
                <w:t>10.</w:t>
              </w:r>
            </w:hyperlink>
          </w:p>
        </w:tc>
        <w:tc>
          <w:tcPr>
            <w:tcW w:w="9980" w:type="dxa"/>
            <w:vAlign w:val="bottom"/>
            <w:gridSpan w:val="28"/>
          </w:tcPr>
          <w:p>
            <w:pPr>
              <w:ind w:left="20"/>
              <w:spacing w:after="0"/>
              <w:rPr>
                <w:rFonts w:ascii="Arial" w:cs="Arial" w:eastAsia="Arial" w:hAnsi="Arial"/>
                <w:sz w:val="18"/>
                <w:szCs w:val="18"/>
                <w:color w:val="0000EE"/>
              </w:rPr>
            </w:pPr>
            <w:hyperlink w:anchor="page150">
              <w:r>
                <w:rPr>
                  <w:rFonts w:ascii="Arial" w:cs="Arial" w:eastAsia="Arial" w:hAnsi="Arial"/>
                  <w:sz w:val="18"/>
                  <w:szCs w:val="18"/>
                  <w:color w:val="0000EE"/>
                </w:rPr>
                <w:t>Debt</w:t>
              </w:r>
            </w:hyperlink>
          </w:p>
        </w:tc>
        <w:tc>
          <w:tcPr>
            <w:tcW w:w="1020" w:type="dxa"/>
            <w:vAlign w:val="bottom"/>
          </w:tcPr>
          <w:p>
            <w:pPr>
              <w:jc w:val="right"/>
              <w:spacing w:after="0"/>
              <w:rPr>
                <w:rFonts w:ascii="Arial" w:cs="Arial" w:eastAsia="Arial" w:hAnsi="Arial"/>
                <w:sz w:val="18"/>
                <w:szCs w:val="18"/>
                <w:color w:val="0000EE"/>
              </w:rPr>
            </w:pPr>
            <w:hyperlink w:anchor="page150">
              <w:r>
                <w:rPr>
                  <w:rFonts w:ascii="Arial" w:cs="Arial" w:eastAsia="Arial" w:hAnsi="Arial"/>
                  <w:sz w:val="18"/>
                  <w:szCs w:val="18"/>
                  <w:color w:val="0000EE"/>
                </w:rPr>
                <w:t>F-28</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7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54">
              <w:r>
                <w:rPr>
                  <w:rFonts w:ascii="Arial" w:cs="Arial" w:eastAsia="Arial" w:hAnsi="Arial"/>
                  <w:sz w:val="18"/>
                  <w:szCs w:val="18"/>
                  <w:color w:val="0000EE"/>
                  <w:w w:val="90"/>
                </w:rPr>
                <w:t>11. Partners’ Capital and Distributions</w:t>
              </w:r>
            </w:hyperlink>
          </w:p>
        </w:tc>
        <w:tc>
          <w:tcPr>
            <w:tcW w:w="7460" w:type="dxa"/>
            <w:vAlign w:val="bottom"/>
            <w:gridSpan w:val="18"/>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54">
              <w:r>
                <w:rPr>
                  <w:rFonts w:ascii="Arial" w:cs="Arial" w:eastAsia="Arial" w:hAnsi="Arial"/>
                  <w:sz w:val="18"/>
                  <w:szCs w:val="18"/>
                  <w:color w:val="0000EE"/>
                </w:rPr>
                <w:t>F-32</w:t>
              </w:r>
            </w:hyperlink>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60">
              <w:r>
                <w:rPr>
                  <w:rFonts w:ascii="Arial" w:cs="Arial" w:eastAsia="Arial" w:hAnsi="Arial"/>
                  <w:sz w:val="18"/>
                  <w:szCs w:val="18"/>
                  <w:color w:val="0000EE"/>
                  <w:w w:val="87"/>
                </w:rPr>
                <w:t>12.</w:t>
              </w:r>
            </w:hyperlink>
          </w:p>
        </w:tc>
        <w:tc>
          <w:tcPr>
            <w:tcW w:w="9980" w:type="dxa"/>
            <w:vAlign w:val="bottom"/>
            <w:gridSpan w:val="28"/>
          </w:tcPr>
          <w:p>
            <w:pPr>
              <w:ind w:left="20"/>
              <w:spacing w:after="0"/>
              <w:rPr>
                <w:rFonts w:ascii="Arial" w:cs="Arial" w:eastAsia="Arial" w:hAnsi="Arial"/>
                <w:sz w:val="18"/>
                <w:szCs w:val="18"/>
                <w:color w:val="0000EE"/>
              </w:rPr>
            </w:pPr>
            <w:hyperlink w:anchor="page160">
              <w:r>
                <w:rPr>
                  <w:rFonts w:ascii="Arial" w:cs="Arial" w:eastAsia="Arial" w:hAnsi="Arial"/>
                  <w:sz w:val="18"/>
                  <w:szCs w:val="18"/>
                  <w:color w:val="0000EE"/>
                </w:rPr>
                <w:t>Derivatives and Risk Management Activities</w:t>
              </w:r>
            </w:hyperlink>
          </w:p>
        </w:tc>
        <w:tc>
          <w:tcPr>
            <w:tcW w:w="1020" w:type="dxa"/>
            <w:vAlign w:val="bottom"/>
          </w:tcPr>
          <w:p>
            <w:pPr>
              <w:jc w:val="right"/>
              <w:spacing w:after="0"/>
              <w:rPr>
                <w:rFonts w:ascii="Arial" w:cs="Arial" w:eastAsia="Arial" w:hAnsi="Arial"/>
                <w:sz w:val="18"/>
                <w:szCs w:val="18"/>
                <w:color w:val="0000EE"/>
              </w:rPr>
            </w:pPr>
            <w:hyperlink w:anchor="page160">
              <w:r>
                <w:rPr>
                  <w:rFonts w:ascii="Arial" w:cs="Arial" w:eastAsia="Arial" w:hAnsi="Arial"/>
                  <w:sz w:val="18"/>
                  <w:szCs w:val="18"/>
                  <w:color w:val="0000EE"/>
                </w:rPr>
                <w:t>F-38</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13.</w:t>
              </w:r>
            </w:hyperlink>
          </w:p>
        </w:tc>
        <w:tc>
          <w:tcPr>
            <w:tcW w:w="9980" w:type="dxa"/>
            <w:vAlign w:val="bottom"/>
            <w:gridSpan w:val="28"/>
          </w:tcPr>
          <w:p>
            <w:pPr>
              <w:ind w:left="20"/>
              <w:spacing w:after="0"/>
              <w:rPr>
                <w:rFonts w:ascii="Arial" w:cs="Arial" w:eastAsia="Arial" w:hAnsi="Arial"/>
                <w:sz w:val="18"/>
                <w:szCs w:val="18"/>
                <w:color w:val="0000EE"/>
              </w:rPr>
            </w:pPr>
            <w:hyperlink w:anchor="page168">
              <w:r>
                <w:rPr>
                  <w:rFonts w:ascii="Arial" w:cs="Arial" w:eastAsia="Arial" w:hAnsi="Arial"/>
                  <w:sz w:val="18"/>
                  <w:szCs w:val="18"/>
                  <w:color w:val="0000EE"/>
                </w:rPr>
                <w:t>Income Taxes</w:t>
              </w:r>
            </w:hyperlink>
          </w:p>
        </w:tc>
        <w:tc>
          <w:tcPr>
            <w:tcW w:w="1020" w:type="dxa"/>
            <w:vAlign w:val="bottom"/>
          </w:tcPr>
          <w:p>
            <w:pPr>
              <w:jc w:val="right"/>
              <w:spacing w:after="0"/>
              <w:rPr>
                <w:rFonts w:ascii="Arial" w:cs="Arial" w:eastAsia="Arial" w:hAnsi="Arial"/>
                <w:sz w:val="18"/>
                <w:szCs w:val="18"/>
                <w:color w:val="0000EE"/>
              </w:rPr>
            </w:pPr>
            <w:hyperlink w:anchor="page168">
              <w:r>
                <w:rPr>
                  <w:rFonts w:ascii="Arial" w:cs="Arial" w:eastAsia="Arial" w:hAnsi="Arial"/>
                  <w:sz w:val="18"/>
                  <w:szCs w:val="18"/>
                  <w:color w:val="0000EE"/>
                </w:rPr>
                <w:t>F-46</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1">
              <w:r>
                <w:rPr>
                  <w:rFonts w:ascii="Arial" w:cs="Arial" w:eastAsia="Arial" w:hAnsi="Arial"/>
                  <w:sz w:val="18"/>
                  <w:szCs w:val="18"/>
                  <w:color w:val="0000EE"/>
                  <w:w w:val="87"/>
                </w:rPr>
                <w:t>14.</w:t>
              </w:r>
            </w:hyperlink>
          </w:p>
        </w:tc>
        <w:tc>
          <w:tcPr>
            <w:tcW w:w="9980" w:type="dxa"/>
            <w:vAlign w:val="bottom"/>
            <w:gridSpan w:val="28"/>
          </w:tcPr>
          <w:p>
            <w:pPr>
              <w:ind w:left="20"/>
              <w:spacing w:after="0"/>
              <w:rPr>
                <w:rFonts w:ascii="Arial" w:cs="Arial" w:eastAsia="Arial" w:hAnsi="Arial"/>
                <w:sz w:val="18"/>
                <w:szCs w:val="18"/>
                <w:color w:val="0000EE"/>
              </w:rPr>
            </w:pPr>
            <w:hyperlink w:anchor="page171">
              <w:r>
                <w:rPr>
                  <w:rFonts w:ascii="Arial" w:cs="Arial" w:eastAsia="Arial" w:hAnsi="Arial"/>
                  <w:sz w:val="18"/>
                  <w:szCs w:val="18"/>
                  <w:color w:val="0000EE"/>
                </w:rPr>
                <w:t>Major Customers and Concentration of Credit Risk</w:t>
              </w:r>
            </w:hyperlink>
          </w:p>
        </w:tc>
        <w:tc>
          <w:tcPr>
            <w:tcW w:w="1020" w:type="dxa"/>
            <w:vAlign w:val="bottom"/>
          </w:tcPr>
          <w:p>
            <w:pPr>
              <w:jc w:val="right"/>
              <w:spacing w:after="0"/>
              <w:rPr>
                <w:rFonts w:ascii="Arial" w:cs="Arial" w:eastAsia="Arial" w:hAnsi="Arial"/>
                <w:sz w:val="18"/>
                <w:szCs w:val="18"/>
                <w:color w:val="0000EE"/>
              </w:rPr>
            </w:pPr>
            <w:hyperlink w:anchor="page171">
              <w:r>
                <w:rPr>
                  <w:rFonts w:ascii="Arial" w:cs="Arial" w:eastAsia="Arial" w:hAnsi="Arial"/>
                  <w:sz w:val="18"/>
                  <w:szCs w:val="18"/>
                  <w:color w:val="0000EE"/>
                </w:rPr>
                <w:t>F-49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1">
              <w:r>
                <w:rPr>
                  <w:rFonts w:ascii="Arial" w:cs="Arial" w:eastAsia="Arial" w:hAnsi="Arial"/>
                  <w:sz w:val="18"/>
                  <w:szCs w:val="18"/>
                  <w:color w:val="0000EE"/>
                  <w:w w:val="87"/>
                </w:rPr>
                <w:t>15.</w:t>
              </w:r>
            </w:hyperlink>
          </w:p>
        </w:tc>
        <w:tc>
          <w:tcPr>
            <w:tcW w:w="9980" w:type="dxa"/>
            <w:vAlign w:val="bottom"/>
            <w:gridSpan w:val="28"/>
          </w:tcPr>
          <w:p>
            <w:pPr>
              <w:ind w:left="20"/>
              <w:spacing w:after="0"/>
              <w:rPr>
                <w:rFonts w:ascii="Arial" w:cs="Arial" w:eastAsia="Arial" w:hAnsi="Arial"/>
                <w:sz w:val="18"/>
                <w:szCs w:val="18"/>
                <w:color w:val="0000EE"/>
              </w:rPr>
            </w:pPr>
            <w:hyperlink w:anchor="page171">
              <w:r>
                <w:rPr>
                  <w:rFonts w:ascii="Arial" w:cs="Arial" w:eastAsia="Arial" w:hAnsi="Arial"/>
                  <w:sz w:val="18"/>
                  <w:szCs w:val="18"/>
                  <w:color w:val="0000EE"/>
                </w:rPr>
                <w:t>Related Party Transactions</w:t>
              </w:r>
            </w:hyperlink>
          </w:p>
        </w:tc>
        <w:tc>
          <w:tcPr>
            <w:tcW w:w="1020" w:type="dxa"/>
            <w:vAlign w:val="bottom"/>
          </w:tcPr>
          <w:p>
            <w:pPr>
              <w:jc w:val="right"/>
              <w:spacing w:after="0"/>
              <w:rPr>
                <w:rFonts w:ascii="Arial" w:cs="Arial" w:eastAsia="Arial" w:hAnsi="Arial"/>
                <w:sz w:val="18"/>
                <w:szCs w:val="18"/>
                <w:color w:val="0000EE"/>
              </w:rPr>
            </w:pPr>
            <w:hyperlink w:anchor="page171">
              <w:r>
                <w:rPr>
                  <w:rFonts w:ascii="Arial" w:cs="Arial" w:eastAsia="Arial" w:hAnsi="Arial"/>
                  <w:sz w:val="18"/>
                  <w:szCs w:val="18"/>
                  <w:color w:val="0000EE"/>
                </w:rPr>
                <w:t>F-49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2">
              <w:r>
                <w:rPr>
                  <w:rFonts w:ascii="Arial" w:cs="Arial" w:eastAsia="Arial" w:hAnsi="Arial"/>
                  <w:sz w:val="18"/>
                  <w:szCs w:val="18"/>
                  <w:color w:val="0000EE"/>
                  <w:w w:val="87"/>
                </w:rPr>
                <w:t>16.</w:t>
              </w:r>
            </w:hyperlink>
          </w:p>
        </w:tc>
        <w:tc>
          <w:tcPr>
            <w:tcW w:w="9980" w:type="dxa"/>
            <w:vAlign w:val="bottom"/>
            <w:gridSpan w:val="28"/>
          </w:tcPr>
          <w:p>
            <w:pPr>
              <w:ind w:left="20"/>
              <w:spacing w:after="0"/>
              <w:rPr>
                <w:rFonts w:ascii="Arial" w:cs="Arial" w:eastAsia="Arial" w:hAnsi="Arial"/>
                <w:sz w:val="18"/>
                <w:szCs w:val="18"/>
                <w:color w:val="0000EE"/>
              </w:rPr>
            </w:pPr>
            <w:hyperlink w:anchor="page172">
              <w:r>
                <w:rPr>
                  <w:rFonts w:ascii="Arial" w:cs="Arial" w:eastAsia="Arial" w:hAnsi="Arial"/>
                  <w:sz w:val="18"/>
                  <w:szCs w:val="18"/>
                  <w:color w:val="0000EE"/>
                </w:rPr>
                <w:t>Equity-Indexed Compensation Plans</w:t>
              </w:r>
            </w:hyperlink>
          </w:p>
        </w:tc>
        <w:tc>
          <w:tcPr>
            <w:tcW w:w="1020" w:type="dxa"/>
            <w:vAlign w:val="bottom"/>
          </w:tcPr>
          <w:p>
            <w:pPr>
              <w:jc w:val="right"/>
              <w:spacing w:after="0"/>
              <w:rPr>
                <w:rFonts w:ascii="Arial" w:cs="Arial" w:eastAsia="Arial" w:hAnsi="Arial"/>
                <w:sz w:val="18"/>
                <w:szCs w:val="18"/>
                <w:color w:val="0000EE"/>
              </w:rPr>
            </w:pPr>
            <w:hyperlink w:anchor="page172">
              <w:r>
                <w:rPr>
                  <w:rFonts w:ascii="Arial" w:cs="Arial" w:eastAsia="Arial" w:hAnsi="Arial"/>
                  <w:sz w:val="18"/>
                  <w:szCs w:val="18"/>
                  <w:color w:val="0000EE"/>
                </w:rPr>
                <w:t>F-50</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5">
              <w:r>
                <w:rPr>
                  <w:rFonts w:ascii="Arial" w:cs="Arial" w:eastAsia="Arial" w:hAnsi="Arial"/>
                  <w:sz w:val="18"/>
                  <w:szCs w:val="18"/>
                  <w:color w:val="0000EE"/>
                  <w:w w:val="87"/>
                </w:rPr>
                <w:t>17.</w:t>
              </w:r>
            </w:hyperlink>
          </w:p>
        </w:tc>
        <w:tc>
          <w:tcPr>
            <w:tcW w:w="9980" w:type="dxa"/>
            <w:vAlign w:val="bottom"/>
            <w:gridSpan w:val="28"/>
          </w:tcPr>
          <w:p>
            <w:pPr>
              <w:ind w:left="20"/>
              <w:spacing w:after="0"/>
              <w:rPr>
                <w:rFonts w:ascii="Arial" w:cs="Arial" w:eastAsia="Arial" w:hAnsi="Arial"/>
                <w:sz w:val="18"/>
                <w:szCs w:val="18"/>
                <w:color w:val="0000EE"/>
              </w:rPr>
            </w:pPr>
            <w:hyperlink w:anchor="page175">
              <w:r>
                <w:rPr>
                  <w:rFonts w:ascii="Arial" w:cs="Arial" w:eastAsia="Arial" w:hAnsi="Arial"/>
                  <w:sz w:val="18"/>
                  <w:szCs w:val="18"/>
                  <w:color w:val="0000EE"/>
                </w:rPr>
                <w:t>Commitments and Contingencies</w:t>
              </w:r>
            </w:hyperlink>
          </w:p>
        </w:tc>
        <w:tc>
          <w:tcPr>
            <w:tcW w:w="1020" w:type="dxa"/>
            <w:vAlign w:val="bottom"/>
          </w:tcPr>
          <w:p>
            <w:pPr>
              <w:jc w:val="right"/>
              <w:spacing w:after="0"/>
              <w:rPr>
                <w:rFonts w:ascii="Arial" w:cs="Arial" w:eastAsia="Arial" w:hAnsi="Arial"/>
                <w:sz w:val="18"/>
                <w:szCs w:val="18"/>
                <w:color w:val="0000EE"/>
              </w:rPr>
            </w:pPr>
            <w:hyperlink w:anchor="page175">
              <w:r>
                <w:rPr>
                  <w:rFonts w:ascii="Arial" w:cs="Arial" w:eastAsia="Arial" w:hAnsi="Arial"/>
                  <w:sz w:val="18"/>
                  <w:szCs w:val="18"/>
                  <w:color w:val="0000EE"/>
                </w:rPr>
                <w:t>F-53</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18.</w:t>
              </w:r>
            </w:hyperlink>
          </w:p>
        </w:tc>
        <w:tc>
          <w:tcPr>
            <w:tcW w:w="9980" w:type="dxa"/>
            <w:vAlign w:val="bottom"/>
            <w:gridSpan w:val="28"/>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Quarterly Financial Data (Unaudited)</w:t>
              </w:r>
            </w:hyperlink>
          </w:p>
        </w:tc>
        <w:tc>
          <w:tcPr>
            <w:tcW w:w="1020" w:type="dxa"/>
            <w:vAlign w:val="bottom"/>
          </w:tcPr>
          <w:p>
            <w:pPr>
              <w:jc w:val="right"/>
              <w:spacing w:after="0"/>
              <w:rPr>
                <w:rFonts w:ascii="Arial" w:cs="Arial" w:eastAsia="Arial" w:hAnsi="Arial"/>
                <w:sz w:val="18"/>
                <w:szCs w:val="18"/>
                <w:color w:val="0000EE"/>
              </w:rPr>
            </w:pPr>
            <w:hyperlink w:anchor="page181">
              <w:r>
                <w:rPr>
                  <w:rFonts w:ascii="Arial" w:cs="Arial" w:eastAsia="Arial" w:hAnsi="Arial"/>
                  <w:sz w:val="18"/>
                  <w:szCs w:val="18"/>
                  <w:color w:val="0000EE"/>
                </w:rPr>
                <w:t>F-59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19.</w:t>
              </w:r>
            </w:hyperlink>
          </w:p>
        </w:tc>
        <w:tc>
          <w:tcPr>
            <w:tcW w:w="9980" w:type="dxa"/>
            <w:vAlign w:val="bottom"/>
            <w:gridSpan w:val="28"/>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Operating Segments</w:t>
              </w:r>
            </w:hyperlink>
          </w:p>
        </w:tc>
        <w:tc>
          <w:tcPr>
            <w:tcW w:w="1020" w:type="dxa"/>
            <w:vAlign w:val="bottom"/>
          </w:tcPr>
          <w:p>
            <w:pPr>
              <w:jc w:val="right"/>
              <w:spacing w:after="0"/>
              <w:rPr>
                <w:rFonts w:ascii="Arial" w:cs="Arial" w:eastAsia="Arial" w:hAnsi="Arial"/>
                <w:sz w:val="18"/>
                <w:szCs w:val="18"/>
                <w:color w:val="0000EE"/>
              </w:rPr>
            </w:pPr>
            <w:hyperlink w:anchor="page181">
              <w:r>
                <w:rPr>
                  <w:rFonts w:ascii="Arial" w:cs="Arial" w:eastAsia="Arial" w:hAnsi="Arial"/>
                  <w:sz w:val="18"/>
                  <w:szCs w:val="18"/>
                  <w:color w:val="0000EE"/>
                </w:rPr>
                <w:t>F-59</w:t>
              </w:r>
            </w:hyperlink>
          </w:p>
        </w:tc>
      </w:tr>
      <w:tr>
        <w:trPr>
          <w:trHeight w:val="723"/>
        </w:trPr>
        <w:tc>
          <w:tcPr>
            <w:tcW w:w="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6"/>
          </w:tcPr>
          <w:p>
            <w:pPr>
              <w:ind w:left="640"/>
              <w:spacing w:after="0"/>
              <w:rPr>
                <w:sz w:val="20"/>
                <w:szCs w:val="20"/>
                <w:color w:val="auto"/>
              </w:rPr>
            </w:pPr>
            <w:r>
              <w:rPr>
                <w:rFonts w:ascii="Arial" w:cs="Arial" w:eastAsia="Arial" w:hAnsi="Arial"/>
                <w:sz w:val="18"/>
                <w:szCs w:val="18"/>
                <w:color w:val="auto"/>
              </w:rPr>
              <w:t>F-1</w:t>
            </w: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2017.</w:t>
      </w:r>
    </w:p>
    <w:p>
      <w:pPr>
        <w:spacing w:after="0" w:line="147" w:lineRule="exact"/>
        <w:rPr>
          <w:sz w:val="20"/>
          <w:szCs w:val="20"/>
          <w:color w:val="auto"/>
        </w:rPr>
      </w:pPr>
    </w:p>
    <w:p>
      <w:pPr>
        <w:jc w:val="both"/>
        <w:ind w:right="17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2017 has been audited by PricewaterhouseCoopers LLP, an independent registered public accounting firm, as stated in their report which appears on Page F-3.</w:t>
      </w:r>
    </w:p>
    <w:p>
      <w:pPr>
        <w:spacing w:after="0" w:line="28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Chairman of the Board, Chief Executive Officer and Director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Executive Vice President and Chief Financial Officer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125" w:right="2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3640"/>
        <w:spacing w:after="0"/>
        <w:rPr>
          <w:sz w:val="20"/>
          <w:szCs w:val="20"/>
          <w:color w:val="auto"/>
        </w:rPr>
      </w:pPr>
      <w:r>
        <w:rPr>
          <w:rFonts w:ascii="Arial" w:cs="Arial" w:eastAsia="Arial" w:hAnsi="Arial"/>
          <w:sz w:val="17"/>
          <w:szCs w:val="17"/>
          <w:b w:val="1"/>
          <w:bCs w:val="1"/>
          <w:i w:val="1"/>
          <w:iCs w:val="1"/>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of PAA GP Holdings LLC and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Plains GP Holdings, L.P.:</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1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We have audited the accompanying consolidated balance sheets of Plains GP Holdings, L.P. and its subsidiaries as of December 31, 2017 and 2016, and the related consolidated statements of operations, of comprehensive income/(loss), of changes in accumulated other comprehensive income/(loss), of changes in partners' capital, and of cash flows for each of the three years in the period ended December 31, 2017, including the related notes (collectively referred to as the “consolidated financial statements”). We also have audited the Partnership's internal control over financial reporting as of December 31, 2017,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w:t>
      </w:r>
    </w:p>
    <w:p>
      <w:pPr>
        <w:spacing w:after="0" w:line="71"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Partnership as of December 31, 2017 and 2016</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results of their operations and their cash flows for each of the three years in the period ended December 31, 2017 in conformity with accounting principles generally accepted in the United States of America. Also in our opinion, the Partnership maintained, in all material respects, effective internal control over financial reporting as of December 31, 2017,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PricewaterhouseCoopers LLP</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Houston, Texas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26, 2018</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have served as the Partnership’s auditor since 2013.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1,343</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16,261</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13,890</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2,343</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2,590</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77"/>
        </w:trPr>
        <w:tc>
          <w:tcPr>
            <w:tcW w:w="85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10,730</w:t>
            </w:r>
          </w:p>
        </w:tc>
      </w:tr>
      <w:tr>
        <w:trPr>
          <w:trHeight w:val="277"/>
        </w:trPr>
        <w:tc>
          <w:tcPr>
            <w:tcW w:w="85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Class A Shareholders (156,111,139 and 101,206,526 shares outstanding, respectively)</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12,358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10,707</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25,056</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21,927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23,152</w:t>
            </w: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17,233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19,726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21,894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$35, $47 and $57, respectively)</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(expense)/benefit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 ATTRIBUTABLE TO PAGP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980" w:type="dxa"/>
            <w:vAlign w:val="bottom"/>
            <w:gridSpan w:val="6"/>
          </w:tcPr>
          <w:p>
            <w:pPr>
              <w:ind w:left="258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7080" w:type="dxa"/>
            <w:vAlign w:val="bottom"/>
          </w:tcPr>
          <w:p>
            <w:pPr>
              <w:ind w:left="5580"/>
              <w:spacing w:after="0"/>
              <w:rPr>
                <w:sz w:val="20"/>
                <w:szCs w:val="20"/>
                <w:color w:val="auto"/>
              </w:rPr>
            </w:pPr>
            <w:r>
              <w:rPr>
                <w:rFonts w:ascii="Arial" w:cs="Arial" w:eastAsia="Arial" w:hAnsi="Arial"/>
                <w:sz w:val="18"/>
                <w:szCs w:val="18"/>
                <w:color w:val="auto"/>
              </w:rPr>
              <w:t>F-5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COMPREHENSIVE INCOME/(LOSS)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(881)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income/(loss) attributable to PAGP</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(683)</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2015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27" w:name="page128"/>
    <w:bookmarkEnd w:id="12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60"/>
        </w:trPr>
        <w:tc>
          <w:tcPr>
            <w:tcW w:w="70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income/(loss)</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809</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Reconciliation of net income to 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433</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Equity-indexed compensation expense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Inventory valuation adjustments (Note 4)</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expense/(benefit)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Settlement of terminated interest rate hedging instruments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Preferred Distribution Rate Reset Option (Note 12)</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Equity earnings in unconsolidated entities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from unconsolidated entities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acquisitions: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Trade accounts receivable and other</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803</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Accounts payable and other current liabilities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33"/>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2,496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Cash paid in connection with acquisitions, net of cash acquired (Note 6)</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6"/>
              </w:rPr>
              <w:t>(1,280)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unconsolidated entities (Note 8)</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Additions to property, equipment and other</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6"/>
              </w:rPr>
              <w:t>(1,024)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(2,079)</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sales of assets (Note 6)</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Return of investment from unconsolidated entities (Note 8)</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received from sales of linefill and base gas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Cash paid for purchases of linefill and base gas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(1,570)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(2,530)</w:t>
            </w:r>
          </w:p>
        </w:tc>
      </w:tr>
      <w:tr>
        <w:trPr>
          <w:trHeight w:val="33"/>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borrowings/(repayments) under PAA commercial paper program (Note 10)</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borrowings under PAA senior secured hedged inventory facility (Note 10)</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repayments under AAP senior secured revolving credit facility (Note 10)</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AAP term loan</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AAP term loan (Note 10)</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the issuance of PAA senior notes (Note 10)</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998</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PAA senior notes (Note 10)</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(1,350)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proceeds from the sale of Class A shares (Note 11)</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of Series A preferred units by a subsidiary (Note 11)</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proceeds from the sale of Series B preferred units by a subsidiary (Note 11)</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788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of common units by a subsidiary (Note 11)</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Distributions paid to Class A shareholders (Note 11)</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noncontrolling interests (Note 11)</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(1,465)</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financing activities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by/(used in) financing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translation adjustment on cash</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7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increase/(decrease) in cash and cash equivalents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404</w:t>
            </w:r>
          </w:p>
        </w:tc>
      </w:tr>
      <w:tr>
        <w:trPr>
          <w:trHeight w:val="33"/>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Interest, net of amounts capitalized</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486</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405</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9"/>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net of amounts refunded</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bl>
    <w:p>
      <w:pPr>
        <w:sectPr>
          <w:pgSz w:w="11900" w:h="16900" w:orient="portrait"/>
          <w:cols w:equalWidth="0" w:num="1">
            <w:col w:w="11420"/>
          </w:cols>
          <w:pgMar w:left="240" w:top="125" w:right="239" w:bottom="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The accompanying notes are an integral part of these consolidated financial statements.</w:t>
      </w:r>
    </w:p>
    <w:p>
      <w:pPr>
        <w:sectPr>
          <w:pgSz w:w="11900" w:h="16838" w:orient="portrait"/>
          <w:cols w:equalWidth="0" w:num="1">
            <w:col w:w="9019"/>
          </w:cols>
          <w:pgMar w:left="1440" w:top="584"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9019"/>
          </w:cols>
          <w:pgMar w:left="1440" w:top="584" w:right="1440"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Class A Shareholders</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Total Partners’</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1200" w:type="dxa"/>
            <w:vAlign w:val="bottom"/>
          </w:tcPr>
          <w:p>
            <w:pPr>
              <w:jc w:val="right"/>
              <w:ind w:right="371"/>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75"/>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tax asset (Note 13)</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tax asset (Note 13)</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 by a subsidiary</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comprehensive income (Note 11)</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Net income/(loss)</w:t>
            </w: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Distributions (Note 11)</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 (Note 13)</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Sales of Class A shares (Note 11)</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 of Series B preferred units by a subsidiary</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 by a subsidiary</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Issuance of common units by a subsidiary for acquisition of interest in Advantage Joint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Arial" w:cs="Arial" w:eastAsia="Arial" w:hAnsi="Arial"/>
                <w:sz w:val="18"/>
                <w:szCs w:val="18"/>
                <w:color w:val="auto"/>
              </w:rPr>
              <w:t>Venture (Note 6)</w:t>
            </w:r>
          </w:p>
        </w:tc>
        <w:tc>
          <w:tcPr>
            <w:tcW w:w="5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interest in SLC Pipeline LLC by a subsidiary (Note 6)</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comprehensive income (Note 11)</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December 31, 2017,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2017, our sole assets consisted of (i) a 100% managing member interest in Plains All American GP LLC (“GP LLC”), an entity that has also elected to be taxed as a corporation for United States federal income tax purposes and (ii) an approximate 55% limited partner interest in Plains AAP, L.P. (“AAP”) through our direct ownership of approximately 155.1 million Class A units of AAP (“AAP units”) and indirect ownership of approximately 1.0 million AAP units through GP LLC. GP LLC is a Delaware limited liability company that also holds the non-economic general partner interest in AAP. AAP is a Delaware limited partnership that, as of December 31, 2017, directly owned a limited partner interest in PAA through its ownership of approximately 284.0 million PAA common units (approximately 36% of PAA’s total outstanding common units and Series A preferred units combined (together, “PAA Common Unit Equivalents”)). AAP is the sole member of PAA GP LLC (“PAA GP”), a Delaware limited liability company that directly holds the non-economic general partner interest in PAA.</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19 for further discussion of our operating segments.</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ind w:left="66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permanent elimination of PAA’s incentive distribution rights (“IDRs”) and the economic rights associated with its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our general partner assumed oversight responsibility over both us and PAA;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125" w:right="2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0" w:hanging="328"/>
        <w:spacing w:after="0" w:line="31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provision for annual shareholder elections beginning in 2018 for the purpose of electing certain directors, and the participation of PAA’s common unitholders and Series A preferred unitholders in such elections through PAA’s ownership of our Class C shares, which provide PAA, as the sole holder of such Class C shares, the right to vote in elections of eligible directors together with the holders of our Class A and Class B shares;</w:t>
      </w:r>
    </w:p>
    <w:p>
      <w:pPr>
        <w:spacing w:after="0" w:line="146" w:lineRule="exact"/>
        <w:rPr>
          <w:rFonts w:ascii="Arial" w:cs="Arial" w:eastAsia="Arial" w:hAnsi="Arial"/>
          <w:sz w:val="16"/>
          <w:szCs w:val="16"/>
          <w:color w:val="auto"/>
        </w:rPr>
      </w:pPr>
    </w:p>
    <w:p>
      <w:pPr>
        <w:ind w:left="660" w:hanging="328"/>
        <w:spacing w:after="0" w:line="270"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execution by AAP of a reverse split to adjust the number of AAP units such that the number of outstanding AAP units (assuming the conversion of AAP Class B units (the “AAP Management Units”) into AAP units) equaled the number of PAA common units received by AAP at the closing of the Simplification Transactions. Simultaneously, we executed reverse splits to adjust the number of (i) Class A shares outstanding to equal the number of AAP units we owned following AAP’s reverse unit split and (ii) Class B shares outstanding to equal the number of AAP units owned by AAP’s unitholders other than us following AAP’s reverse unit split. These reverse splits, along with the Omnibus Agreement, resulted in economic alignment between our Class A shareholders and PAA’s common unitholders, such that the number of outstanding Class A shares equals the number of AAP units owned by us, which in turn equals the number of PAA common units held by AAP that are attributable to our interest in AAP. The Plains Entities also entered into an Omnibus Agreement, pursuant to which such one-to-one relationship will be maintained subsequent to the closing of the Simplification Transactions; and</w:t>
      </w:r>
    </w:p>
    <w:p>
      <w:pPr>
        <w:spacing w:after="0" w:line="181" w:lineRule="exact"/>
        <w:rPr>
          <w:rFonts w:ascii="Arial" w:cs="Arial" w:eastAsia="Arial" w:hAnsi="Arial"/>
          <w:sz w:val="17"/>
          <w:szCs w:val="17"/>
          <w:color w:val="auto"/>
        </w:rPr>
      </w:pPr>
    </w:p>
    <w:p>
      <w:pPr>
        <w:ind w:left="660" w:right="140" w:hanging="328"/>
        <w:spacing w:after="0" w:line="286"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creation of a right for certain holders of the AAP units to cause AAP to redeem such AAP units in exchange for an equal number of PAA common units held by AAP. Holders of AAP units other than us and GP LLC continue to have the right to exchange their AAP units (together with the corresponding Class B shares and, if applicable, units of our general partner) for our Class A shares on a one-for-one basis.</w:t>
      </w:r>
    </w:p>
    <w:p>
      <w:pPr>
        <w:spacing w:after="0" w:line="1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Simplification Transactions were between and among consolidated subsidiaries of PAGP that are considered entities under common control. These equity transactions did not result in a change in the carrying value of the underlying assets and liabilities. In addition, the Simplification Transactions did not result in a change in ownership interest of PAGP in PAA as described in Accounting Standards Codification (“ASC”) 810-10-45-22, but instead were designed to be an exchange of equal economic ownership interests.</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As part of the Simplification Transactions, as discussed above, we effected a reverse split of our Class A and Class B shares, in each case, at a ratio of approximately 1-for-2.663. The effect of the reverse split has been retroactively applied to all share and per-share amounts presented in this Form 10-K.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AOCI</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ASC</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ASU</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Bcf</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Btu</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CAD</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DERs</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EBITDA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EPA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FASB</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GAAP</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ICE</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IPO</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Initial public offering</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LIBOR</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Mcf</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NGL</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NYMEX</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Oxy</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PLA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WTI</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00"/>
          </w:cols>
          <w:pgMar w:left="240" w:top="125" w:right="25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2017 and 2016, and the consolidated results of our operations, cash flows, changes in partners’ capital, comprehensive income/(loss) and changes in accumulated other comprehensive income/(loss) for the years ended December 31, 2017, 2016 and 2015. All significant intercompany transactions have been eliminated in consolidation, and certain reclassifications have been made to information from previous years to conform to the current presentation. These reclassifications do not affect net income attributable to PAGP. 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400" w:hanging="324"/>
        <w:spacing w:after="0" w:line="264"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With the exception of a deferred tax asset of $1,386 million and $1,876 million as of December 31, 2017 and 2016,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2017, 2016 or 2015. See Note 15 for information regarding the Omnibus Agreement entered into in connection with the Simplification Transactions.</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 (iii) fair value of derivatives, (iv) accruals and contingent liabilities, (v) equity-indexed compensation plan accruals, (vi) property and equipment, depreciation and amortization expense, asset retirement obligations and impairments, (vii) allowance for doubtful accounts and (viii) inventory valuations. Although we believe these estimates are reasonable, actual results could differ from these estimates.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125"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NGL and natural gas are recognized at the time title to the product sold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Transportation Segment Revenues. </w:t>
      </w:r>
      <w:r>
        <w:rPr>
          <w:rFonts w:ascii="Arial" w:cs="Arial" w:eastAsia="Arial" w:hAnsi="Arial"/>
          <w:sz w:val="17"/>
          <w:szCs w:val="17"/>
          <w:color w:val="auto"/>
        </w:rPr>
        <w:t>Our Transportation segment operations generally consist of fee-based activities associated with transporting</w:t>
      </w:r>
      <w:r>
        <w:rPr>
          <w:rFonts w:ascii="Arial" w:cs="Arial" w:eastAsia="Arial" w:hAnsi="Arial"/>
          <w:sz w:val="17"/>
          <w:szCs w:val="17"/>
          <w:i w:val="1"/>
          <w:iCs w:val="1"/>
          <w:color w:val="auto"/>
        </w:rPr>
        <w:t xml:space="preserve"> </w:t>
      </w:r>
      <w:r>
        <w:rPr>
          <w:rFonts w:ascii="Arial" w:cs="Arial" w:eastAsia="Arial" w:hAnsi="Arial"/>
          <w:sz w:val="17"/>
          <w:szCs w:val="17"/>
          <w:color w:val="auto"/>
        </w:rPr>
        <w:t>crude oil and NGL on pipelines, gathering systems and trucks. Revenues from pipeline tariffs and fees are associated with the transportation of crude oil and NGL at a published tariff, as well as revenues associated with agreements for committed space on various assets. Tariff revenues are recognized when the service is provided pursuant to specifications outlined in the tariffs. Revenues associated with fees are recognized in the month to which the fee applies. As is common in the pipeline transportation industry, our tariffs incorporate a loss allowance factor that is intended to offset losses due to evaporation, measurement and other losses in transit. We value the allowance volumes and actual losses at the estimated net realizable value (including the impact of gains and losses from derivative related activities) in the month of occurrence.</w:t>
      </w:r>
    </w:p>
    <w:p>
      <w:pPr>
        <w:spacing w:after="0" w:line="178" w:lineRule="exact"/>
        <w:rPr>
          <w:sz w:val="20"/>
          <w:szCs w:val="20"/>
          <w:color w:val="auto"/>
        </w:rPr>
      </w:pPr>
    </w:p>
    <w:p>
      <w:pPr>
        <w:ind w:right="240" w:firstLine="702"/>
        <w:spacing w:after="0" w:line="286" w:lineRule="auto"/>
        <w:rPr>
          <w:sz w:val="20"/>
          <w:szCs w:val="20"/>
          <w:color w:val="auto"/>
        </w:rPr>
      </w:pPr>
      <w:r>
        <w:rPr>
          <w:rFonts w:ascii="Arial" w:cs="Arial" w:eastAsia="Arial" w:hAnsi="Arial"/>
          <w:sz w:val="16"/>
          <w:szCs w:val="16"/>
          <w:i w:val="1"/>
          <w:iCs w:val="1"/>
          <w:color w:val="auto"/>
        </w:rPr>
        <w:t xml:space="preserve">Facilities Segment Revenues. </w:t>
      </w:r>
      <w:r>
        <w:rPr>
          <w:rFonts w:ascii="Arial" w:cs="Arial" w:eastAsia="Arial" w:hAnsi="Arial"/>
          <w:sz w:val="16"/>
          <w:szCs w:val="16"/>
          <w:color w:val="auto"/>
        </w:rPr>
        <w:t>Our Facilities segment operations generally consist of fee-based activities associated with providing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w:t>
      </w:r>
    </w:p>
    <w:p>
      <w:pPr>
        <w:spacing w:after="0" w:line="2" w:lineRule="exact"/>
        <w:rPr>
          <w:sz w:val="20"/>
          <w:szCs w:val="20"/>
          <w:color w:val="auto"/>
        </w:rPr>
      </w:pPr>
    </w:p>
    <w:p>
      <w:pPr>
        <w:ind w:right="200" w:firstLine="8"/>
        <w:spacing w:after="0" w:line="323" w:lineRule="auto"/>
        <w:tabs>
          <w:tab w:leader="none" w:pos="3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fees from NGL fractionation and isomerization, (iv) fees from natural gas and condensate processing services, (v) fees associated with natural gas park and loan activities, interruptible storage services and wheeling and balancing services and (vi) loading and unloading fees at our rail terminals.</w:t>
      </w:r>
    </w:p>
    <w:p>
      <w:pPr>
        <w:spacing w:after="0" w:line="139" w:lineRule="exact"/>
        <w:rPr>
          <w:sz w:val="20"/>
          <w:szCs w:val="20"/>
          <w:color w:val="auto"/>
        </w:rPr>
      </w:pPr>
    </w:p>
    <w:p>
      <w:pPr>
        <w:ind w:right="180" w:firstLine="702"/>
        <w:spacing w:after="0" w:line="297" w:lineRule="auto"/>
        <w:rPr>
          <w:sz w:val="20"/>
          <w:szCs w:val="20"/>
          <w:color w:val="auto"/>
        </w:rPr>
      </w:pPr>
      <w:r>
        <w:rPr>
          <w:rFonts w:ascii="Arial" w:cs="Arial" w:eastAsia="Arial" w:hAnsi="Arial"/>
          <w:sz w:val="16"/>
          <w:szCs w:val="16"/>
          <w:color w:val="auto"/>
        </w:rPr>
        <w:t>We generate revenue through a combination of month-to-month and multi-year agreements. Storage fees resulting from short-term and long-term contracts are typically recognized in revenue ratably over the term of the contract regardless of the actual storage capacity utilized. Terminal fees (including throughput and rail fees) are recognized as the liquids enter or exit the terminal and are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deliver, transport or throughput a minimum volume over</w:t>
      </w:r>
      <w:r>
        <w:rPr>
          <w:rFonts w:ascii="Arial" w:cs="Arial" w:eastAsia="Arial" w:hAnsi="Arial"/>
          <w:sz w:val="17"/>
          <w:szCs w:val="17"/>
          <w:i w:val="1"/>
          <w:iCs w:val="1"/>
          <w:color w:val="auto"/>
        </w:rPr>
        <w:t xml:space="preserve"> </w:t>
      </w:r>
      <w:r>
        <w:rPr>
          <w:rFonts w:ascii="Arial" w:cs="Arial" w:eastAsia="Arial" w:hAnsi="Arial"/>
          <w:sz w:val="17"/>
          <w:szCs w:val="17"/>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At December 31, 2017 and 2016, counterparty deficiencies associated with agreements that include minimum volume commitments totaled $57 million and $66 million, respectively, of which $37 million and $54 million, respectively, was recorded as deferred revenue. The remaining balance of $20 million and $12 million at each respective date was related to deficiencies for which the counterparties had not met their contractual minimum commitments and were not reflected in our Consolidated Financial Statements as we had not yet billed or collected such amounts.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Purchases and related costs include (i) the cost of crude oil, NGL and natural gas obtained in outright purchases, (ii) fees incurred for storage and transportation, whether by pipeline, truck, rail, ship or barge and (iii) performance-related bonus costs. These costs are recognized when incurred except in the case of products purchased, which are recognized at the time title transfers to us. Purchases that are part of inventory exchanges under buy/sell transactions are netted with the related sales, with any margin presented in “Purchases and related costs” in our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gain of $21 million for the year ended December 31, 2017, a net loss of $8 million for the year ended December 31, 2016 and a net gain of $21 million for the year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accordance with our policy, outstanding checks are classified as accounts payable rather than negative cash. As of December 31, 2017 and 2016, accounts payable included $61 million and $66 million, respectively, of outstanding checks that were reclassified from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18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Prices for crude oil, natural gas and NGLs can fluctuate widely. For example, NYMEX West Texas Intermediate oil prices have been volatile and ranged from a high of $107.26 per barrel in June 2014 to a low of $26.21 per barrel in February 2016. Although prices recovered somewhat in 2017 to close the year at $60.42 per barrel, the sustained decrease in commodity prices since late 2014 has caused liquidity and leverage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December 31, 2017 and 2016, we had received $117 million and $89 million, respectively, of advance cash payments from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third parties to mitigate credit risk. We also received $54 million and $66 million as of December 31, 2017 and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54"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2017 and 2016, substantially all of our trade accounts receivable (net of allowance for doubtful accounts) were less than 30 days past their scheduled invoice date. Our allowance for doubtful accounts receivable totaled $3 million at both December 31, 2017 and 2016. Although we consider our allowance for doubtful accounts receivable to be adequate, actual amounts could vary significantly from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6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$103 million and $44 million, respectively, at December 31, 2017 and 2016 and were primarily reflected in “Other long-term liabilities and deferred credits” on our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See the respective footnotes for our accounting policies regarding (i) net income per Class A share, (ii) inventory, linefill and base gas and long-term inventory, (iii) property and equipment, (iv) acquisitions, (v) goodwill, (vi) investments in unconsolidated entities, (vii) other long-term assets, net, (viii) derivatives and risk management activities, (ix) income taxes, (x) equity-indexed compensation and (xi) legal and environmental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expect to adopt this ASU on January 1, 2019 and are currently evaluating the impact of the adoption on our financial position, results of operations and cash flows.</w:t>
      </w:r>
    </w:p>
    <w:p>
      <w:pPr>
        <w:spacing w:after="0" w:line="1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is effective for interim and annual periods beginning after December 15, 2017, with early adoption permitted, and prospective application required. We adopted this ASU on January 1, 2018. Our adoption did not have a material impact on our financial position, results of operations or cash flows.</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February 2017, the FASB issued ASU 2017-05, </w:t>
      </w:r>
      <w:r>
        <w:rPr>
          <w:rFonts w:ascii="Arial" w:cs="Arial" w:eastAsia="Arial" w:hAnsi="Arial"/>
          <w:sz w:val="17"/>
          <w:szCs w:val="17"/>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7"/>
          <w:szCs w:val="17"/>
          <w:color w:val="auto"/>
        </w:rPr>
        <w:t>. The ASU clarifies what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nonfinancial assets are covered by the ASU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We adopted this ASU on January 1, 2018, using the modified retrospective approach. The cumulative effect of our adoption resulted in increases in both the carrying value of investments in unconsolidated entities and retained earnings of approximately $110 million related to the retained non-controlling interest in those entities from partial sales of businesses accounted for under in-substance real estate guidance during 2016 and 2017. See Note 8 for discussion of our investments in unconsolidated entities.</w:t>
      </w:r>
    </w:p>
    <w:p>
      <w:pPr>
        <w:spacing w:after="0" w:line="18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interim and annual periods beginning after December 15, 2019, with early adoption permitted. We early adopted this ASU in the first quarter of 2017 and applied the amended standard to our 2017 annual goodwill impairment test.</w:t>
      </w:r>
    </w:p>
    <w:p>
      <w:pPr>
        <w:spacing w:after="0" w:line="167"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improves the guidance for determining whether a transaction involves the purchase or disposal of a business or an asset. This guidance is effective for interim and annual periods beginning after December 15, 2017, with early adoption permitted, and prospective application required. We adopted this ASU on January 1, 2018 and will apply the new guidance to applicable transactions occurring after that date.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31, 2017. We adopted this ASU on January 1, 2018. Our adoption did not have a material impact on our statement of cash flows.</w:t>
      </w:r>
    </w:p>
    <w:p>
      <w:pPr>
        <w:spacing w:after="0" w:line="193"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to improve the accounting for the income tax consequences of intra-entity transfers of assets other than inventory. This guidance is effective for interim and annual periods beginning after December 15, 2017, with early adoption permitted in the first interim period of an annual reporting period. We adopted this ASU on January 1, 2018. Our adoption did not have a material impact on our financial position, results of operations or cash flows.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 October 2016, the FASB issued ASU 2016-17, </w:t>
      </w:r>
      <w:r>
        <w:rPr>
          <w:rFonts w:ascii="Arial" w:cs="Arial" w:eastAsia="Arial" w:hAnsi="Arial"/>
          <w:sz w:val="18"/>
          <w:szCs w:val="18"/>
          <w:i w:val="1"/>
          <w:iCs w:val="1"/>
          <w:color w:val="auto"/>
        </w:rPr>
        <w:t>Consolidation (Topic 810): Interests Held through Related Parties That Are under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color w:val="auto"/>
        </w:rPr>
        <w:t>, changing how a reporting entity that is the single decision maker of a VIE should treat indirect interests in the entity held through related parties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 common control with the reporting entity when determining whether it is the primary beneficiary of that VIE. This guidance was effective for interim and annual periods beginning after December 31, 2016. We adopted this ASU on January 1, 2017. Our adoption did not have a material impact on our financial position, results of operations or cash flows.</w:t>
      </w:r>
    </w:p>
    <w:p>
      <w:pPr>
        <w:spacing w:after="0" w:line="18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guidance will become effective for interim and annual periods beginning after December 15, 2019, with early adoption permitted by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expect to adopt this ASU on January 1, 2020, and we are currently evaluating the effect that adopting this guidance will have on our financial position results of operations and cash flows.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simplified several aspects of the accounting for share-based payment transactions, including the income tax consequences, forfeitures,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awards as either equity or liabilities and classification of certain related payments on the statement of cash flows. This ASU is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classify cash paid for taxes when directly withholding units from an employee’s award for tax-withholding purposes as a financing activity on our Consolidated Statement of Cash Flows. Our adoption did not have a material impact on our financial position or results of operations for the periods presented. We reclassified approximately $7 million and $14 million, respectively, of cash outflows from operating activities to financing activities for the years ended December 31, 2016 and 2015 related to cash paid for minimum statutory withholding requirements for which we withheld PAA common units from employees’ awards.</w:t>
      </w:r>
    </w:p>
    <w:p>
      <w:pPr>
        <w:spacing w:after="0" w:line="16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ASU will become effective for interim and annual periods beginning after December 15, 2018, with a modified retrospective application required. Early adoption is permitted, including adoption in an interim period. We expect to adopt this ASU on January 1, 2019. We are currently evaluating the effect that adopting this ASU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19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xml:space="preserve"> which requires entities to measure inventory at the lower of cost and net realizable value; however, inventory measured using last-in, first-out and the retail inventory method is unchanged by this ASU. This guidance was effective for interim and annual periods beginning after December 15, 2016, with prospective application required. We adopted this ASU on January 1, 2017. Our adoption did not have a material impact on our financial position, results of operations or cash flows.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those goods or services. Topic 606 also requires additional disclosures. Topic 606 can be adopted either with a full retrospective approach or a modified retrospective approach with a cumulative-effect adjustment as of the date of adoption and is effective for interim and annual periods beginning after December 15, 2017. We implemented a process to evaluate the impact of adopting Topic 606 on each type of revenue contract entered into with customers, and our implementation team effected changes to our business processes, systems and controls to support recognition and disclosure under the new standard. We did not identify any material revenue recognition timing differences under Topic 606 as compared to our policies in effect prior to adoption. In addition, we will have an increase in disclosures about the nature, amount, timing and uncertainty of revenue and the related cash flows. We adopted Topic 606 on January 1, 2018, and applied the modified retrospective approach. The cumulative effect of the adoption of Topic 606 was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Income/(Loss) Per Class A Share</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income/(loss) per Class B and Class C share has not been presented.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exchanges of (i) AAP units and the associated Class B shares into our Class A shares and (ii) certain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16 for a complete discussion of PAGP LTIP awards.</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For the years ended December 31, 2017, 2016 and 2015, the possible exchange of any AAP units and certain AAP Management Units would have had an antidilutive effect on basic net income/(loss) per Class A share. For the year ended December 31, 2017 our PAGP LTIP awards were antidilutive and for the years ended December 31, 2016 and 2015 our PAGP LTIP awards were dilutive; however, there were less than 0.1 million dilutive LTIP awards those periods, which did not change the presentation of weighted average Class A shares outstanding or net income/(loss) per Class A share. The following table illustrates the calculation of basic and diluted net income/(loss) per Class A share (in millions,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2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Net income/(loss) attributable to PAGP</w:t>
            </w:r>
          </w:p>
        </w:tc>
        <w:tc>
          <w:tcPr>
            <w:tcW w:w="2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118</w:t>
            </w:r>
          </w:p>
        </w:tc>
      </w:tr>
      <w:tr>
        <w:trPr>
          <w:trHeight w:val="27"/>
        </w:trPr>
        <w:tc>
          <w:tcPr>
            <w:tcW w:w="5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Basic and diluted weighted average Class A shares outstanding</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r>
      <w:tr>
        <w:trPr>
          <w:trHeight w:val="270"/>
        </w:trPr>
        <w:tc>
          <w:tcPr>
            <w:tcW w:w="51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income/(loss) per Class A share</w:t>
            </w:r>
          </w:p>
        </w:tc>
        <w:tc>
          <w:tcPr>
            <w:tcW w:w="2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2940" w:type="dxa"/>
            <w:vAlign w:val="bottom"/>
            <w:gridSpan w:val="2"/>
          </w:tcPr>
          <w:p>
            <w:pPr>
              <w:jc w:val="right"/>
              <w:ind w:right="2180"/>
              <w:spacing w:after="0"/>
              <w:rPr>
                <w:sz w:val="20"/>
                <w:szCs w:val="20"/>
                <w:color w:val="auto"/>
              </w:rPr>
            </w:pPr>
            <w:r>
              <w:rPr>
                <w:rFonts w:ascii="Arial" w:cs="Arial" w:eastAsia="Arial" w:hAnsi="Arial"/>
                <w:sz w:val="18"/>
                <w:szCs w:val="18"/>
                <w:color w:val="auto"/>
              </w:rPr>
              <w:t>F-17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Inventory primarily consists of crude oil, NGL and natural gas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2017, 2016 and 2015, we recorded charges of $35 million, $3 million and $117 million, respectively, related to the writedown of our crude oil, NGL and natural gas inventory due to declines in prices. A portion of these inventory valuation adjustments was offset by the recognition of gains on derivative instruments being utilized to hedge future sales of our crude oil and NGL inventory. Such gains were recorded to “Supply and Logistics segment revenues” in our accompanying Consolidated Statement of Operations. See Note 12 for discussion of our derivative and risk management activities.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Linefill and base gas in assets we own are recorded at historical cost and consist of crude oil, NGL and natural gas. We classify as linefill or base gas</w:t>
      </w:r>
    </w:p>
    <w:p>
      <w:pPr>
        <w:spacing w:after="0" w:line="46" w:lineRule="exact"/>
        <w:rPr>
          <w:sz w:val="20"/>
          <w:szCs w:val="20"/>
          <w:color w:val="auto"/>
        </w:rPr>
      </w:pPr>
    </w:p>
    <w:p>
      <w:pPr>
        <w:ind w:right="180" w:firstLine="8"/>
        <w:spacing w:after="0" w:line="255" w:lineRule="auto"/>
        <w:tabs>
          <w:tab w:leader="none" w:pos="2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1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5 for further discussion regarding impairment of long-lived assets. During 2017, 2016 and 2015, we did not recognize any impairments of linefill and base gas.</w:t>
      </w:r>
    </w:p>
    <w:p>
      <w:pPr>
        <w:spacing w:after="0" w:line="18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80" w:type="dxa"/>
            <w:vAlign w:val="bottom"/>
          </w:tcPr>
          <w:p>
            <w:pPr>
              <w:spacing w:after="0"/>
              <w:rPr>
                <w:sz w:val="13"/>
                <w:szCs w:val="13"/>
                <w:color w:val="auto"/>
              </w:rPr>
            </w:pPr>
          </w:p>
        </w:tc>
        <w:tc>
          <w:tcPr>
            <w:tcW w:w="88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13"/>
                <w:szCs w:val="13"/>
                <w:color w:val="auto"/>
              </w:rPr>
            </w:pPr>
          </w:p>
        </w:tc>
        <w:tc>
          <w:tcPr>
            <w:tcW w:w="8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8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120" w:type="dxa"/>
            <w:vAlign w:val="bottom"/>
            <w:gridSpan w:val="2"/>
            <w:vMerge w:val="continue"/>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6"/>
                <w:szCs w:val="16"/>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2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23,589</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14,540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1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40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28.18</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400" w:type="dxa"/>
            <w:vAlign w:val="bottom"/>
          </w:tcPr>
          <w:p>
            <w:pPr>
              <w:ind w:left="180"/>
              <w:spacing w:after="0"/>
              <w:rPr>
                <w:sz w:val="20"/>
                <w:szCs w:val="20"/>
                <w:color w:val="auto"/>
              </w:rPr>
            </w:pPr>
            <w:r>
              <w:rPr>
                <w:rFonts w:ascii="Arial" w:cs="Arial" w:eastAsia="Arial" w:hAnsi="Arial"/>
                <w:sz w:val="18"/>
                <w:szCs w:val="18"/>
                <w:color w:val="auto"/>
                <w:w w:val="94"/>
              </w:rPr>
              <w:t>Linefill and base gas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16" w:lineRule="auto"/>
        <w:tabs>
          <w:tab w:leader="none" w:pos="660" w:val="left"/>
        </w:tabs>
        <w:numPr>
          <w:ilvl w:val="0"/>
          <w:numId w:val="100"/>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2017, 2016 and 2015, capitalized interest recorded to property and equipment was $17 million, $34 million and $49 million, respectively. In addition, we capitalize interest related to investments in certain unconsolidated entities. See Note 8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125" w:right="2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220"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6640" w:type="dxa"/>
            <w:vAlign w:val="bottom"/>
          </w:tcPr>
          <w:p>
            <w:pPr>
              <w:spacing w:after="0"/>
              <w:rPr>
                <w:sz w:val="4"/>
                <w:szCs w:val="4"/>
                <w:color w:val="auto"/>
              </w:rPr>
            </w:pPr>
          </w:p>
        </w:tc>
        <w:tc>
          <w:tcPr>
            <w:tcW w:w="172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64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5"/>
                <w:szCs w:val="25"/>
                <w:color w:val="auto"/>
                <w:vertAlign w:val="superscript"/>
              </w:rPr>
              <w:t>(1)</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9,624</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Storage, terminal and rail facilities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30 - 70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Trucking equipment and 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property and equipment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and other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gross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16,261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w:t>
      </w:r>
    </w:p>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2017, 2016 and 2015 was $465 million, $471 million and $381 million, respectively (including amounts related to the discontinuation of certain capital projects). We also classify gains and losses on sales of assets and asset impairments as a component of “Depreciation and amortization” in our Consolidated Statements of Operations. See Note 6 for a discussion of our disposition activities. See “Impairment of Long-Lived Assets” below for a discussion of our policy for the recognition of asset impairments.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During the years ended December 31, 2017 and 2016, we recognized $152 million and $80 million, respectively, of non-cash charges related to the write-down of certain of our long-lived rail and other terminal assets included in our Facilities segment due to asset impairments and accelerated depreciation. Such charges are reflected in “Depreciation and amortization”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impairments during the year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following acquisitions, excluding acquired interests accounted for under the equity method of accounting mentioned specifically below, were accounted for using the acquisition method of accounting and the determination of the fair value of the assets and liabilities acquired has been estimated in accordance with the applicable accounting guidance.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14, 2017, we acquired all of the issued and outstanding membership interests in Alpha Holding Company, LLC for cash consideration of approximately $1.215 billion, subject to working capital and other adjustments (the “ACC Acquisition”). The ACC Acquisition was initially funded through borrowings under PAA’s senior unsecured revolving credit facility. Such borrowings were subsequently repaid with proceeds from PAA’s March 2017 issuance of its common units to AAP pursuant to the Omnibus Agreement and in connection with our underwritten equity offering. See Note 11 for additional information.</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During 2017, we made additional interconnects to our existing Northern Delaware Basin systems as well as additional enhancements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fair value determination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40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400" w:type="dxa"/>
            <w:vAlign w:val="bottom"/>
            <w:gridSpan w:val="3"/>
          </w:tcPr>
          <w:p>
            <w:pPr>
              <w:jc w:val="right"/>
              <w:ind w:right="61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w w:val="95"/>
              </w:rPr>
              <w:t>Other assets and liabilities, net (including $4 million of cash acquired)</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gridSpan w:val="4"/>
            <w:vMerge w:val="restart"/>
          </w:tcPr>
          <w:p>
            <w:pPr>
              <w:ind w:left="220"/>
              <w:spacing w:after="0"/>
              <w:rPr>
                <w:sz w:val="20"/>
                <w:szCs w:val="20"/>
                <w:color w:val="auto"/>
              </w:rPr>
            </w:pPr>
            <w:r>
              <w:rPr>
                <w:rFonts w:ascii="Arial" w:cs="Arial" w:eastAsia="Arial" w:hAnsi="Arial"/>
                <w:sz w:val="18"/>
                <w:szCs w:val="18"/>
                <w:color w:val="auto"/>
              </w:rPr>
              <w:t>F-21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45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Intangible assets are included in “Other long-term assets, net” on our Consolidated Balance Sheets. The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$10 million for the period from February 14, 2017 through December 31, 2017, and the future amortization expense is estimated as follows for the next five years (in millions):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2018</w:t>
            </w:r>
          </w:p>
        </w:tc>
        <w:tc>
          <w:tcPr>
            <w:tcW w:w="5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2019</w:t>
            </w:r>
          </w:p>
        </w:tc>
        <w:tc>
          <w:tcPr>
            <w:tcW w:w="5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5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jc w:val="right"/>
              <w:ind w:right="4670"/>
              <w:spacing w:after="0"/>
              <w:rPr>
                <w:sz w:val="20"/>
                <w:szCs w:val="20"/>
                <w:color w:val="auto"/>
              </w:rPr>
            </w:pPr>
            <w:r>
              <w:rPr>
                <w:rFonts w:ascii="Arial" w:cs="Arial" w:eastAsia="Arial" w:hAnsi="Arial"/>
                <w:sz w:val="18"/>
                <w:szCs w:val="18"/>
                <w:color w:val="auto"/>
                <w:w w:val="89"/>
              </w:rPr>
              <w:t>2020</w:t>
            </w:r>
          </w:p>
        </w:tc>
        <w:tc>
          <w:tcPr>
            <w:tcW w:w="5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2021</w:t>
            </w:r>
          </w:p>
        </w:tc>
        <w:tc>
          <w:tcPr>
            <w:tcW w:w="5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2022</w:t>
            </w:r>
          </w:p>
        </w:tc>
        <w:tc>
          <w:tcPr>
            <w:tcW w:w="5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5140" w:type="dxa"/>
            <w:vAlign w:val="bottom"/>
            <w:shd w:val="clear" w:color="auto" w:fill="CCEEFF"/>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2017, we incurred approximately $6 million of acquisition-related costs associated with the ACC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reflected as a component of general and administrative expenses in our Consolidated Statements of Operations.</w:t>
      </w:r>
    </w:p>
    <w:p>
      <w:pPr>
        <w:spacing w:after="0" w:line="21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Pro forma financial information assuming the ACC Acquisition had occurred as of the beginning of the calendar year prior to the year of acquisition, as well as the revenues and earnings generated during the period since the acquisition date, were not material for disclosure purposes.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through a newly formed 50/50 joint venture (the “Advantage Joint Venture”). We account for our interest in the Advantage Joint Venture under the equity method of accounting. See Note 8 for additional discussion of our equity method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year ended December 31, 2016, we completed two acquisitions for aggregate cash consideration of $289 million. These acquisitions included (i) an integrated system of NGL assets in Western Canada for cash consideration of approximately $204 million and (ii) the remaining interest in a Gulf Coast pipeline that was subsequently sold during the year. The assets acquired were primarily included in our Transportation and Facilities segments. We did not recognize any goodwill related to these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229"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During the year ended December 31, 2015, we completed three acquisitions for aggregate cash consideration of $105 million. These acquisitions included (i) an additional approximate 28% interest in Frontier Aspen LLC, which is accounted for under the equity method of accounting, (ii) a crude oil terminal included in our Facilities segment and (iii) the remaining interest in a pipeline system included in our Transportation segment. We recognized goodwill of $11 million related to these acquisitions. See Note 8 for additional discussion of our equity method investments.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and Divestitures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we sold certain non-core assets for total proceeds of $1.1 billion, including:</w:t>
      </w:r>
    </w:p>
    <w:p>
      <w:pPr>
        <w:spacing w:after="0" w:line="225" w:lineRule="exact"/>
        <w:rPr>
          <w:sz w:val="20"/>
          <w:szCs w:val="20"/>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of our Bay Area terminal assets located in California;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Bluewater natural gas storage facility located in Michigan;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non-core pipelines in the Rocky Mountain and Bakken regions, including PAA’s interest in SLC Pipeline LLC;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non-core pipeline segments primarily located in the Midwestern United States; and</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40% undivided interest in a segment of our Red River Pipeline extending from Cushing, Oklahoma to the Hewitt Station near Ardmore, Oklahoma for our net book value.</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Bay Area terminal assets and the Bluewater natural gas storage facility were reported in our Facilities segment. The pipeline assets were reported in our Transportation segment. See Note 8 for additional discussion.</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the aggregate, including non-cash impairments recognized upon reclassifications to assets held for sale, we recognized a net gain related to pending or completed asset sales of approximately $43 million for the year ended December 31, 2017, which is included in “Depreciation and amortization” on our Consolidated Statement of Operations. Such amount is comprised of gains of $123 million and losses of $80 million.</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year ended December 31, 2016, we sold several non-core assets, including certain of our Gulf Coast pipelines and East Coast refined products terminals. In addition, we sold interests in Cheyenne Pipeline LLC and STACK Pipeline LLC. See Note 8 for additional discussion. In the aggregate, we recognized a net gain of approximately $100 million related to these transactions, which is included in “Depreciation and amortization” on our Consolidated Statement of Operations. Such amount is comprised of gains of $158 million and losses of $58 million, including $15 million of impairment of goodwill that was included in a disposal group classified as held for sale prior to the closing of such transaction.</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2015, we sold various property and equipment and recognized a net loss of $2 million, which is included in “Depreciation and amortization” on our Consolidated Statement of Operations.</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As of December 31, 2017, we classified approximately $80 million of assets as held for sale on our Consolidated Balance Sheet (in “Other current assets”) primarily related to a definitive agreement to sell non-core property and equipment included in our Facilities segment. We expect the sale to be consummated in the first half of 2018, subject to customary closing conditions, as applicable. As of December 31, 2016, we classified approximately $275 million of assets as held for sale on our Consolidated Balance Sheet (in “Other current assets”) primarily related to a definitive agreement to sell non-core assets, which were property and equipment included in our Facilities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completed our goodwill impairment test as of June 30, 2017 using a qualitative assessment. We determined that it was more likely than not that the fair value of each reporting unit was greater than its respective book value; therefore, additional impairment testing was not necessary at that time and goodwill was not considered impaired. However, due to a deterioration in the performance of the Supply and Logistics reporting unit and a reduction in projected performance of that reporting unit, we performed a quantitative test for the Supply and Logistics reporting unit as of December 31, 2017.</w:t>
      </w:r>
    </w:p>
    <w:p>
      <w:pPr>
        <w:spacing w:after="0" w:line="15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Through the quantitative test of the Supply and Logistics reporting unit’s goodwill for potential impairment, we determined that the fair value of that reporting unit was greater than its respective book value; therefore, goodwill was not considered impaired. However, a further deterioration in the performance of the Supply and Logistics reporting unit could result in an impairment of goodwill.</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did not perform a quantitative test for our other reporting units as of December 31, 2017 as there were no indicators of possible impairment. We did not recognize any impairments of goodwill during the last three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26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2,344</w:t>
            </w: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2,566</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8—Investments in Unconsolidated Entities</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4"/>
                <w:szCs w:val="1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Interest at</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Advantage Pipeline Holdings LLC (“Advantage Joint Venture”)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 (“BridgeTex”)</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Butte Pipe Line Company</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Cheyenne Pipeline LLC (“Cheyenne”)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Diamond Pipeline LLC (“Diamond”)</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Eagle Ford Pipeline LLC (“Eagle Ford Pipeline”)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gridSpan w:val="2"/>
          </w:tcPr>
          <w:p>
            <w:pPr>
              <w:ind w:left="200"/>
              <w:spacing w:after="0"/>
              <w:rPr>
                <w:sz w:val="20"/>
                <w:szCs w:val="20"/>
                <w:color w:val="auto"/>
              </w:rPr>
            </w:pPr>
            <w:r>
              <w:rPr>
                <w:rFonts w:ascii="Arial" w:cs="Arial" w:eastAsia="Arial" w:hAnsi="Arial"/>
                <w:sz w:val="18"/>
                <w:szCs w:val="18"/>
                <w:color w:val="auto"/>
              </w:rPr>
              <w:t>Terminals”)</w:t>
            </w:r>
          </w:p>
        </w:tc>
        <w:tc>
          <w:tcPr>
            <w:tcW w:w="2520" w:type="dxa"/>
            <w:vAlign w:val="bottom"/>
          </w:tcPr>
          <w:p>
            <w:pPr>
              <w:jc w:val="center"/>
              <w:spacing w:after="0" w:line="257"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(2)</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Frontier Aspen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Midway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Saddlehorn Pipeline Company,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Settoon Towing,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Barge Transportation Services</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STACK Pipeline LLC (“STACK”)</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White Cliffs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0" w:hanging="652"/>
        <w:spacing w:after="0" w:line="216" w:lineRule="auto"/>
        <w:tabs>
          <w:tab w:leader="none" w:pos="660"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April 3, 2017, we and an affiliate of Noble completed the acquisition of Advantage Pipeline, L.L.C. for a purchase price of $133 million through a newly formed 50/50 joint venture (the “Advantage Joint Venture”). For our 50% share ($66.5 million), we contributed approximately 1.3 million PAA common units with a value of approximately $40 million and approximately $26 million in cash. Through the acquisition, the Advantage Joint Venture owns a 70-mile, 16-inch crude oil pipeline located in the southern Delaware Basin (the “Advantage Pipeline”), which is contractually supported by a third-party acreage dedication and a volume commitment from our wholly-owned marketing subsidiary. Noble serves as operator of the Advantage Pipeline. We account for our interest in the Advantage Joint Venture under the equity method of accounting.</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fourth quarter of 2017, we sold certain of our non-core pipelines in the Rocky Mountain region which included our ownership interests in Butte Pipe Line Company and Frontier Aspen LLC. Additionally, we and an affiliate of CVR Refining, LP (“CVR Refining”) formed a 50/50 joint venture, Midway Pipeline LLC, which acquired from us the Cushing to Broome crude oil pipeline system. The Cushing to Broome pipeline system connects CVR Refining’s Coffeyville, Kansas refinery to the Cushing, Oklahoma oil hub. We will continue to serve as operator of the pipeline. We account for our interest in Midway Pipeline LLC under the equity method of accounting.</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June 2016, we sold 50% of our investment in Cheyenne, and in August 2016 we sold 50% of our investment in STACK. As a result of these transactions, we now account for our remaining 50% equity interest in such entities under the equity method of accounting.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for additional information related to certain of these transactions.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During the year ended December 31, 2017, we received $21 million as a return of investment from Settoon Towing, LLC related to the sale of certain of its marine assets.</w:t>
      </w:r>
    </w:p>
    <w:p>
      <w:pPr>
        <w:spacing w:after="0" w:line="178"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2017, 2016 and 2015, we made cash contributions of $398 million, $288 million and $245 million, respectively, to certain of our equity method investees. The contributions for 2017 and 2015 are net of $6 million and $53 million, respectively, of returns of cash contributions made during the periods. In addition, we capitalized interest of $18 million, $13 million and $8 million during the years ended December 31, 2017, 2016 and 2015, respectively, related to contributions to unconsolidated entities for projects under development and construction. We anticipate that we will make additional contributions to Eagle Ford Terminals, Eagle Ford Pipeline, BridgeTex, Diamond and STACK in 2018 related to ongoing projects by such entities.</w:t>
      </w:r>
    </w:p>
    <w:p>
      <w:pPr>
        <w:spacing w:after="0" w:line="17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$736 million and $758 million at December 31, 2017 and 2016,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basis difference at both December 31, 2017 and 2016 is primarily related to our acquisition of an interest in BridgeTex in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3,558</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162</w:t>
            </w:r>
          </w:p>
        </w:tc>
      </w:tr>
      <w:tr>
        <w:trPr>
          <w:trHeight w:val="642"/>
        </w:trPr>
        <w:tc>
          <w:tcPr>
            <w:tcW w:w="3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441</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r>
      <w:tr>
        <w:trPr>
          <w:trHeight w:val="675"/>
        </w:trPr>
        <w:tc>
          <w:tcPr>
            <w:tcW w:w="3560" w:type="dxa"/>
            <w:vAlign w:val="bottom"/>
          </w:tcPr>
          <w:p>
            <w:pPr>
              <w:spacing w:after="0"/>
              <w:rPr>
                <w:sz w:val="24"/>
                <w:szCs w:val="24"/>
                <w:color w:val="auto"/>
              </w:rPr>
            </w:pPr>
          </w:p>
        </w:tc>
        <w:tc>
          <w:tcPr>
            <w:tcW w:w="4200" w:type="dxa"/>
            <w:vAlign w:val="bottom"/>
            <w:gridSpan w:val="2"/>
          </w:tcPr>
          <w:p>
            <w:pPr>
              <w:jc w:val="right"/>
              <w:ind w:right="1808"/>
              <w:spacing w:after="0"/>
              <w:rPr>
                <w:sz w:val="20"/>
                <w:szCs w:val="20"/>
                <w:color w:val="auto"/>
              </w:rPr>
            </w:pPr>
            <w:r>
              <w:rPr>
                <w:rFonts w:ascii="Arial" w:cs="Arial" w:eastAsia="Arial" w:hAnsi="Arial"/>
                <w:sz w:val="18"/>
                <w:szCs w:val="18"/>
                <w:color w:val="auto"/>
              </w:rPr>
              <w:t>F-26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9—Other Long-Term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16" w:lineRule="auto"/>
        <w:tabs>
          <w:tab w:leader="none" w:pos="66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 See Note 5 for a discussion of property and equipment.</w:t>
      </w:r>
    </w:p>
    <w:p>
      <w:pPr>
        <w:spacing w:after="0" w:line="20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increase in intangible assets for the year ended December 31, 2017 was primarily due to acreage dedication contracts and associated customer relationships associated with our ACC Acquisition. See Note 6 for additional information. Amortization expense for finite-lived intangible assets for the years ended December 31, 2017, 2016 and 2015 was $54 million, $44 million and $49 million, respectively.</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2017. Our intangible assets that have finite lives consisted of the following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Estimated Useful</w:t>
            </w:r>
          </w:p>
        </w:tc>
        <w:tc>
          <w:tcPr>
            <w:tcW w:w="26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7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and</w:t>
            </w: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relationships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 – 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Property tax abatement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7 – 13</w:t>
            </w:r>
          </w:p>
        </w:tc>
        <w:tc>
          <w:tcPr>
            <w:tcW w:w="2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agreements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25 – 70</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0220" w:type="dxa"/>
            <w:vAlign w:val="bottom"/>
          </w:tcPr>
          <w:p>
            <w:pPr>
              <w:jc w:val="right"/>
              <w:ind w:right="210"/>
              <w:spacing w:after="0"/>
              <w:rPr>
                <w:sz w:val="20"/>
                <w:szCs w:val="20"/>
                <w:color w:val="auto"/>
              </w:rPr>
            </w:pPr>
            <w:r>
              <w:rPr>
                <w:rFonts w:ascii="Arial" w:cs="Arial" w:eastAsia="Arial" w:hAnsi="Arial"/>
                <w:sz w:val="18"/>
                <w:szCs w:val="18"/>
                <w:color w:val="auto"/>
                <w:w w:val="93"/>
              </w:rPr>
              <w:t>We estimate that our amortization expense related to finite-lived intangible assets for the next five years will be as follows (in millions):</w:t>
            </w:r>
          </w:p>
        </w:tc>
        <w:tc>
          <w:tcPr>
            <w:tcW w:w="580" w:type="dxa"/>
            <w:vAlign w:val="bottom"/>
          </w:tcPr>
          <w:p>
            <w:pPr>
              <w:spacing w:after="0"/>
              <w:rPr>
                <w:sz w:val="20"/>
                <w:szCs w:val="20"/>
                <w:color w:val="auto"/>
              </w:rPr>
            </w:pPr>
          </w:p>
        </w:tc>
      </w:tr>
      <w:tr>
        <w:trPr>
          <w:trHeight w:val="135"/>
        </w:trPr>
        <w:tc>
          <w:tcPr>
            <w:tcW w:w="520" w:type="dxa"/>
            <w:vAlign w:val="bottom"/>
          </w:tcPr>
          <w:p>
            <w:pPr>
              <w:spacing w:after="0"/>
              <w:rPr>
                <w:sz w:val="11"/>
                <w:szCs w:val="11"/>
                <w:color w:val="auto"/>
              </w:rPr>
            </w:pPr>
          </w:p>
        </w:tc>
        <w:tc>
          <w:tcPr>
            <w:tcW w:w="10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2018</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2019</w:t>
            </w:r>
          </w:p>
        </w:tc>
        <w:tc>
          <w:tcPr>
            <w:tcW w:w="1022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52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2020</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2021</w:t>
            </w:r>
          </w:p>
        </w:tc>
        <w:tc>
          <w:tcPr>
            <w:tcW w:w="1022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2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2022</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675"/>
        </w:trPr>
        <w:tc>
          <w:tcPr>
            <w:tcW w:w="520" w:type="dxa"/>
            <w:vAlign w:val="bottom"/>
          </w:tcPr>
          <w:p>
            <w:pPr>
              <w:spacing w:after="0"/>
              <w:rPr>
                <w:sz w:val="24"/>
                <w:szCs w:val="24"/>
                <w:color w:val="auto"/>
              </w:rPr>
            </w:pPr>
          </w:p>
        </w:tc>
        <w:tc>
          <w:tcPr>
            <w:tcW w:w="10220" w:type="dxa"/>
            <w:vAlign w:val="bottom"/>
          </w:tcPr>
          <w:p>
            <w:pPr>
              <w:jc w:val="right"/>
              <w:ind w:right="4770"/>
              <w:spacing w:after="0"/>
              <w:rPr>
                <w:sz w:val="20"/>
                <w:szCs w:val="20"/>
                <w:color w:val="auto"/>
              </w:rPr>
            </w:pPr>
            <w:r>
              <w:rPr>
                <w:rFonts w:ascii="Arial" w:cs="Arial" w:eastAsia="Arial" w:hAnsi="Arial"/>
                <w:sz w:val="18"/>
                <w:szCs w:val="18"/>
                <w:color w:val="auto"/>
              </w:rPr>
              <w:t>F-27</w:t>
            </w:r>
          </w:p>
        </w:tc>
        <w:tc>
          <w:tcPr>
            <w:tcW w:w="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PAA commercial paper notes, bearing a weighted-average interest rate of 2.4% and 1.6%, respectively </w:t>
            </w:r>
            <w:r>
              <w:rPr>
                <w:rFonts w:ascii="Arial" w:cs="Arial" w:eastAsia="Arial" w:hAnsi="Arial"/>
                <w:sz w:val="25"/>
                <w:szCs w:val="25"/>
                <w:color w:val="auto"/>
                <w:w w:val="98"/>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563</w:t>
            </w: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PAA senior secured hedged inventory facility, bearing a weighted-average interest rate of 2.6% and 1.8%,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4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380"/>
              <w:spacing w:after="0" w:line="264" w:lineRule="exact"/>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r>
      <w:tr>
        <w:trPr>
          <w:trHeight w:val="270"/>
        </w:trPr>
        <w:tc>
          <w:tcPr>
            <w:tcW w:w="8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6.50% senior notes due May 2018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8.75% senior notes due May 2019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2.60% senior notes due December 2019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5.75% senior notes due January 2020</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5.00% senior notes due February 2021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3.65% senior notes due June 2022</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2.85% senior notes due January 2023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3.85% senior notes due October 2023</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3.60% senior notes due November 2024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4.65% senior notes due October 2025</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4.50% senior notes due December 2026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6.70% senior notes due May 2036</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6.65% senior notes due January 2037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5.15% senior notes due June 2042</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4.30% senior notes due January 2043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4.70% senior notes due June 2044</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4.90% senior notes due February 2045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Unamortized discounts and debt issuance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PAA senior notes, net of unamortized discounts and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PAA commercial paper notes and PAA senior secured hedged inventory facility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4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borrowings </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w:t>
            </w:r>
          </w:p>
        </w:tc>
      </w:tr>
      <w:tr>
        <w:trPr>
          <w:trHeight w:val="264"/>
        </w:trPr>
        <w:tc>
          <w:tcPr>
            <w:tcW w:w="8340" w:type="dxa"/>
            <w:vAlign w:val="bottom"/>
          </w:tcPr>
          <w:p>
            <w:pPr>
              <w:ind w:left="60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11,839</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120" w:hanging="652"/>
        <w:spacing w:after="0" w:line="226" w:lineRule="auto"/>
        <w:tabs>
          <w:tab w:leader="none" w:pos="660" w:val="left"/>
        </w:tabs>
        <w:numPr>
          <w:ilvl w:val="0"/>
          <w:numId w:val="106"/>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December 31, 2017 and 2016,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106"/>
        </w:numPr>
        <w:rPr>
          <w:rFonts w:ascii="Arial" w:cs="Arial" w:eastAsia="Arial" w:hAnsi="Arial"/>
          <w:sz w:val="25"/>
          <w:szCs w:val="25"/>
          <w:color w:val="auto"/>
          <w:vertAlign w:val="superscript"/>
        </w:rPr>
      </w:pPr>
      <w:r>
        <w:rPr>
          <w:rFonts w:ascii="Arial" w:cs="Arial" w:eastAsia="Arial" w:hAnsi="Arial"/>
          <w:sz w:val="18"/>
          <w:szCs w:val="18"/>
          <w:color w:val="auto"/>
        </w:rPr>
        <w:t>As of December 31, 2017 and 2016, balance includes borrowings of $212 million and $410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120" w:hanging="652"/>
        <w:spacing w:after="0" w:line="216" w:lineRule="auto"/>
        <w:tabs>
          <w:tab w:leader="none" w:pos="660" w:val="left"/>
        </w:tabs>
        <w:numPr>
          <w:ilvl w:val="0"/>
          <w:numId w:val="106"/>
        </w:numPr>
        <w:rPr>
          <w:rFonts w:ascii="Arial" w:cs="Arial" w:eastAsia="Arial" w:hAnsi="Arial"/>
          <w:sz w:val="25"/>
          <w:szCs w:val="25"/>
          <w:color w:val="auto"/>
          <w:vertAlign w:val="superscript"/>
        </w:rPr>
      </w:pPr>
      <w:r>
        <w:rPr>
          <w:rFonts w:ascii="Arial" w:cs="Arial" w:eastAsia="Arial" w:hAnsi="Arial"/>
          <w:sz w:val="18"/>
          <w:szCs w:val="18"/>
          <w:color w:val="auto"/>
        </w:rPr>
        <w:t>In December 2017, PAA redeemed its $600 million, 6.50% senior notes due May 2018 and its $350 million, 8.75% senior notes due May 2019. See the “PAA Senior Notes—PAA Senior Note Repayments and Redemptions” section below for further discussion.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540" w:hanging="652"/>
        <w:spacing w:after="0" w:line="227"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7"/>
          <w:szCs w:val="17"/>
          <w:color w:val="auto"/>
        </w:rPr>
        <w:t>As of December 31, 2017 and 2016, we classified a portion of the PAA commercial paper notes and the PAA senior secured hedged inventory facility borrowings as long-term based on our ability and intent to refinance such amounts on a long-term basis.</w:t>
      </w:r>
    </w:p>
    <w:p>
      <w:pPr>
        <w:spacing w:after="0" w:line="94" w:lineRule="exact"/>
        <w:rPr>
          <w:rFonts w:ascii="Arial" w:cs="Arial" w:eastAsia="Arial" w:hAnsi="Arial"/>
          <w:sz w:val="24"/>
          <w:szCs w:val="24"/>
          <w:color w:val="auto"/>
          <w:vertAlign w:val="superscript"/>
        </w:rPr>
      </w:pPr>
    </w:p>
    <w:p>
      <w:pPr>
        <w:ind w:left="660" w:hanging="652"/>
        <w:spacing w:after="0" w:line="254"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7"/>
          <w:szCs w:val="17"/>
          <w:color w:val="auto"/>
        </w:rPr>
        <w:t>PAA’s fixed-rate senior notes (including current maturities) had a face value of approximately $9.0 billion and $10.3 billion as of December 31, 2017 and 2016, respectively. We estimated the aggregate fair value of these notes as of December 31, 2017 and 2016 to be approximately $9.1 billion and $10.4 billion, respectively. PAA’s fixed-rate senior notes are traded among institutions, and these trades are routinely published by a reporting service. Our determination of fair value is based on reported trading activity near year end.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25" w:lineRule="exact"/>
        <w:rPr>
          <w:sz w:val="20"/>
          <w:szCs w:val="20"/>
          <w:color w:val="auto"/>
        </w:rPr>
      </w:pPr>
    </w:p>
    <w:p>
      <w:pPr>
        <w:ind w:right="260" w:firstLine="662"/>
        <w:spacing w:after="0" w:line="312" w:lineRule="auto"/>
        <w:rPr>
          <w:sz w:val="20"/>
          <w:szCs w:val="20"/>
          <w:color w:val="auto"/>
        </w:rPr>
      </w:pPr>
      <w:r>
        <w:rPr>
          <w:rFonts w:ascii="Arial" w:cs="Arial" w:eastAsia="Arial" w:hAnsi="Arial"/>
          <w:sz w:val="16"/>
          <w:szCs w:val="16"/>
          <w:color w:val="auto"/>
        </w:rPr>
        <w:t>PAA has a commercial paper program under which it may issue (and have outstanding at any time) up to $3.0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PAA senior secured hedged inventory facility</w:t>
      </w:r>
      <w:r>
        <w:rPr>
          <w:rFonts w:ascii="Arial" w:cs="Arial" w:eastAsia="Arial" w:hAnsi="Arial"/>
          <w:sz w:val="16"/>
          <w:szCs w:val="16"/>
          <w:color w:val="auto"/>
        </w:rPr>
        <w:t>. PAA has a credit agreement that provides for a senior secured hedged inventory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either the Eurocurrency Rate or the Base Rate, in each case plus a margin based on PAA’s credit rating at the applicable time. The agreement also provides for one or more one-year extensions, subject to applicable approval. In August 2017, PAA amended this agreement to, among other things, extend the maturity date of the facility to August 2020 for each extending lender. The maturity date with respect to each non-extending lender (which represent aggregate commitments of approximately $60 million out of total commitments of $1.4 billion from all lenders) remains August 2019.</w:t>
      </w:r>
    </w:p>
    <w:p>
      <w:pPr>
        <w:spacing w:after="0" w:line="16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PAA senior unsecured revolving credit facility. </w:t>
      </w:r>
      <w:r>
        <w:rPr>
          <w:rFonts w:ascii="Arial" w:cs="Arial" w:eastAsia="Arial" w:hAnsi="Arial"/>
          <w:sz w:val="16"/>
          <w:szCs w:val="16"/>
          <w:color w:val="auto"/>
        </w:rPr>
        <w:t>PAA has a credit agreement that provides for a senior unsecured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$1.6 billion. Subject to obtaining additional or increased lender commitments, the committed capacity may be increased to $2.1 billion. The credit agreement also provides for the issuance of letters of credit. Borrowings accrue interest based, at PAA’s election, on the Eurocurrency Rate, the Base Rate or the Canadian Prime Rate, in each case plus a margin based on PAA’s credit rating at the applicable time. The agreement also provides for one or more one-year extensions, subject to applicable approval. In August 2017, PAA amended this agreement to, among other things, extend the maturity date of the facility to August 2022 for each extending lender. The maturity dates with respect to each non-extending lender (which represent aggregate commitments of $120 million out of total commitments of $1.6 billion from all lenders) remain August 2021 or mature one year earlier.</w:t>
      </w:r>
    </w:p>
    <w:p>
      <w:pPr>
        <w:spacing w:after="0" w:line="16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 xml:space="preserve">PAA senior unsecured 364-day revolving credit facility. </w:t>
      </w:r>
      <w:r>
        <w:rPr>
          <w:rFonts w:ascii="Arial" w:cs="Arial" w:eastAsia="Arial" w:hAnsi="Arial"/>
          <w:sz w:val="17"/>
          <w:szCs w:val="17"/>
          <w:color w:val="auto"/>
        </w:rPr>
        <w:t>PAA has a credit agreement that provides for a 364-day senior unsecured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with a borrowing capacity of $1.0 billion. In August 2017, PAA amended this agreement to extend the maturity date to August 2018. Additionally, a provision was added whereby we may elect to have the entire principal balance of any loans outstanding on the maturity date converted to a non-revolving term loan with a maturity date of August 2019. Borrowings accrue interest based, at PAA’s election, on either the Eurocurrency Rate or the Base Rate, as defined in the agreement, in each case plus a margin based on PAA’s credit rating at the applicable time.</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AAP senior secured credit agreement. </w:t>
      </w:r>
      <w:r>
        <w:rPr>
          <w:rFonts w:ascii="Arial" w:cs="Arial" w:eastAsia="Arial" w:hAnsi="Arial"/>
          <w:sz w:val="18"/>
          <w:szCs w:val="18"/>
          <w:color w:val="auto"/>
        </w:rPr>
        <w:t>In connection with the Simplification Transactions, on November 15, 2016, PAA assumed all of AAP’s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borrowings under the AAP senior secured credit agreement, and immediately repaid such amounts and canceled the credit agreement. See Note 1 for further discussion of the Simplification Transactions.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PAA’s issuances of senior unsecured notes during 2016 and 2015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Face Value</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Payment Dates</w:t>
            </w:r>
          </w:p>
        </w:tc>
      </w:tr>
      <w:tr>
        <w:trPr>
          <w:trHeight w:val="250"/>
        </w:trPr>
        <w:tc>
          <w:tcPr>
            <w:tcW w:w="5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4"/>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4.50% PAA Senior Notes issued at 99.716% of face value</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December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r>
      <w:tr>
        <w:trPr>
          <w:trHeight w:val="32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43"/>
        </w:trPr>
        <w:tc>
          <w:tcPr>
            <w:tcW w:w="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4"/>
              </w:rPr>
              <w:t>2015</w:t>
            </w:r>
          </w:p>
        </w:tc>
        <w:tc>
          <w:tcPr>
            <w:tcW w:w="140" w:type="dxa"/>
            <w:vAlign w:val="bottom"/>
            <w:shd w:val="clear" w:color="auto" w:fill="CCEEFF"/>
          </w:tcPr>
          <w:p>
            <w:pPr>
              <w:spacing w:after="0"/>
              <w:rPr>
                <w:sz w:val="21"/>
                <w:szCs w:val="21"/>
                <w:color w:val="auto"/>
              </w:rPr>
            </w:pPr>
          </w:p>
        </w:tc>
        <w:tc>
          <w:tcPr>
            <w:tcW w:w="5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4.65% PAA Senior Notes issued at 99.846% of face value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15 and October 15</w:t>
            </w:r>
          </w:p>
        </w:tc>
      </w:tr>
      <w:tr>
        <w:trPr>
          <w:trHeight w:val="27"/>
        </w:trPr>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did not issue any senior unsecured notes during the year ended December 31,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 Repayments and Redemptions</w:t>
      </w:r>
    </w:p>
    <w:p>
      <w:pPr>
        <w:spacing w:after="0" w:line="22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PAA’s $400 million, 6.13% senior notes matured and were repaid in January 2017. In December 2017, we redeemed PAA’s $600 million, 6.50% senior notes due May 2018 and PAA’s $350 million, 8.75% senior notes due May 2019. We utilized cash on hand and available capacity under the PAA commercial paper program and credit facilities to repay these notes. In conjunction with the early redemptions, we recognized a loss of approximately $40 million, recorded to Other income/(expense), net in our Consolidated Statements of Operations.</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PAA’s $175 million, 5.88% senior notes matured and were repaid in August 2016. We utilized cash on hand and available capacity under the PAA commercial paper program and credit facilities to repay these notes.</w:t>
      </w:r>
    </w:p>
    <w:p>
      <w:pPr>
        <w:spacing w:after="0" w:line="170"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PAA’s $150 million, 5.25% senior notes and $400 million, 3.95% senior notes matured and were repaid in June 2015 and September 2015, respectively. We utilized cash on hand and available capacity under the PAA commercial paper program to repay these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weighted average maturity of our long-term debt outstanding at December 31, 2017 was approximately 12 years. The following table presents the aggregate contractually scheduled maturities of such long-term debt for the next five years and thereafter. The amounts presented exclude unamortized discounts and debt issuance costs.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Calendar Year</w:t>
            </w: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vMerge w:val="continue"/>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2019</w:t>
            </w:r>
          </w:p>
        </w:tc>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2021</w:t>
            </w:r>
          </w:p>
        </w:tc>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6940" w:type="dxa"/>
            <w:vAlign w:val="bottom"/>
            <w:gridSpan w:val="3"/>
          </w:tcPr>
          <w:p>
            <w:pPr>
              <w:jc w:val="right"/>
              <w:ind w:right="4300"/>
              <w:spacing w:after="0"/>
              <w:rPr>
                <w:sz w:val="20"/>
                <w:szCs w:val="20"/>
                <w:color w:val="auto"/>
              </w:rPr>
            </w:pPr>
            <w:r>
              <w:rPr>
                <w:rFonts w:ascii="Arial" w:cs="Arial" w:eastAsia="Arial" w:hAnsi="Arial"/>
                <w:sz w:val="18"/>
                <w:szCs w:val="18"/>
                <w:color w:val="auto"/>
              </w:rPr>
              <w:t>F-30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PAA’s credit agreements (which impact the ability to access the PAA commercial paper program because they provide a financial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credit agreements contain various covenants limiting PAA’s ability to, among other things:</w:t>
      </w:r>
    </w:p>
    <w:p>
      <w:pPr>
        <w:spacing w:after="0" w:line="79"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credit agreements for the PAA senior unsecured revolving credit facility, the PAA senior secured hedged inventory facility and the PAA senior unsecured 364-day revolving credit facility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and/or during the GP Simplification Period (the period beginning on November 15, 2016 and ending on December 31, 2017)).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7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 default under PAA’s credit facilities would permit the lenders to accelerate the maturity of the outstanding debt. As long as PAA is in compliance with its credit agreements, PAA’s ability to make distributions of available cash is not restricted. As of December 31, 2017, PAA was in compliance with the covenants contained in its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Total borrowings under the credit agreements and the PAA commercial paper program for the years ended December 31, 2017, 2016 and 2015 were approximately $60.8 billion, $60.4 billion and $62.3 billion, respectively. Total repayments under the credit agreements and the PAA commercial paper program were approximately $61.5 billion, $61.0 billion and $61.4 billion for the years ended December 31, 2017, 2016 and 2015,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2017 and 2016, we had outstanding letters of credit of $166 million and $73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Class C shares, which were established in connection with the Simplification Transactions, are non-economic and provide PAA, as the sole holder of such Class C shares, the right to vote in the election of eligible directors together with the holders of our Class A and Class B shares. Pursuant to the Omnibus Agreement, we issue Class C shares to PAA in an amount equal to the PAA Common Unit Equivalents outstanding excluding common units held by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and Redemption Rights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our Class B shares and general partner units are transferred by the exercising party to us. Additionally, a holder of vested AAP Management Units is entitled to convert 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16 for additional information regarding the AAP Management Units and Note 13 for additional information regarding the deferred tax asset associated with units that have been exchanged.</w:t>
      </w:r>
    </w:p>
    <w:p>
      <w:pPr>
        <w:spacing w:after="0" w:line="19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Additionally, subject to certain limitations, a holder of AAP units (other than us and GP LLC) will have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the general partner units transferred to us will remain outstanding and increase our ownership percentage in our general partner.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126"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 Shares</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B Shares</w:t>
            </w:r>
          </w:p>
        </w:tc>
        <w:tc>
          <w:tcPr>
            <w:tcW w:w="1340" w:type="dxa"/>
            <w:vAlign w:val="bottom"/>
          </w:tcPr>
          <w:p>
            <w:pPr>
              <w:jc w:val="right"/>
              <w:ind w:right="131"/>
              <w:spacing w:after="0"/>
              <w:rPr>
                <w:sz w:val="20"/>
                <w:szCs w:val="20"/>
                <w:color w:val="auto"/>
              </w:rPr>
            </w:pPr>
            <w:r>
              <w:rPr>
                <w:rFonts w:ascii="Arial" w:cs="Arial" w:eastAsia="Arial" w:hAnsi="Arial"/>
                <w:sz w:val="14"/>
                <w:szCs w:val="14"/>
                <w:b w:val="1"/>
                <w:bCs w:val="1"/>
                <w:color w:val="auto"/>
              </w:rPr>
              <w:t>Class C Shares</w:t>
            </w:r>
          </w:p>
        </w:tc>
      </w:tr>
      <w:tr>
        <w:trPr>
          <w:trHeight w:val="275"/>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77,707,758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149,869,056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00" w:type="dxa"/>
            <w:vAlign w:val="bottom"/>
          </w:tcPr>
          <w:p>
            <w:pPr>
              <w:ind w:left="180"/>
              <w:spacing w:after="0"/>
              <w:rPr>
                <w:sz w:val="20"/>
                <w:szCs w:val="20"/>
                <w:color w:val="auto"/>
              </w:rPr>
            </w:pPr>
            <w:r>
              <w:rPr>
                <w:rFonts w:ascii="Arial" w:cs="Arial" w:eastAsia="Arial" w:hAnsi="Arial"/>
                <w:sz w:val="18"/>
                <w:szCs w:val="18"/>
                <w:color w:val="auto"/>
              </w:rPr>
              <w:t>Exchange Right exercises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8,383,468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(8,383,468)</w:t>
            </w:r>
          </w:p>
        </w:tc>
        <w:tc>
          <w:tcPr>
            <w:tcW w:w="1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86,099,037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141,485,588</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r>
      <w:tr>
        <w:trPr>
          <w:trHeight w:val="67"/>
        </w:trPr>
        <w:tc>
          <w:tcPr>
            <w:tcW w:w="70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of AAP Management Units</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14,693,093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Exchange Right exercises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15,099,678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(15,099,678)</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Right exercises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(3,035,517)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3,035,517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Issuance of Class C shares in connection with the Simplification Transactions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477,648,826</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11,226,520</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101,206,526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138,043,486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491,910,863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00" w:type="dxa"/>
            <w:vAlign w:val="bottom"/>
          </w:tcPr>
          <w:p>
            <w:pPr>
              <w:ind w:left="180"/>
              <w:spacing w:after="0"/>
              <w:rPr>
                <w:sz w:val="20"/>
                <w:szCs w:val="20"/>
                <w:color w:val="auto"/>
              </w:rPr>
            </w:pPr>
            <w:r>
              <w:rPr>
                <w:rFonts w:ascii="Arial" w:cs="Arial" w:eastAsia="Arial" w:hAnsi="Arial"/>
                <w:sz w:val="18"/>
                <w:szCs w:val="18"/>
                <w:color w:val="auto"/>
              </w:rPr>
              <w:t>Conversion of AAP Management Units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1,557,860</w:t>
            </w:r>
          </w:p>
        </w:tc>
        <w:tc>
          <w:tcPr>
            <w:tcW w:w="1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Right exercises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4,799,227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(4,799,227)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Redemption Right exercises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(7,817,547)</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7,817,547</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50,086,326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4,033,567</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 by a subsidiary in connection with acquisition of interest in</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Advantage Joint Venture (Note 8)</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1,252,269</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Issuances of Series A preferred units by a subsidiary</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5,307,689</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603,497</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156,111,139</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126,984,572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510,925,432</w:t>
            </w:r>
          </w:p>
        </w:tc>
      </w:tr>
      <w:tr>
        <w:trPr>
          <w:trHeight w:val="27"/>
        </w:trPr>
        <w:tc>
          <w:tcPr>
            <w:tcW w:w="70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distributions paid to Class A shareholders during the periods indicated (in millions,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220" w:type="dxa"/>
            <w:vAlign w:val="bottom"/>
          </w:tcPr>
          <w:p>
            <w:pPr>
              <w:jc w:val="right"/>
              <w:ind w:right="74"/>
              <w:spacing w:after="0"/>
              <w:rPr>
                <w:sz w:val="20"/>
                <w:szCs w:val="20"/>
                <w:color w:val="auto"/>
              </w:rPr>
            </w:pPr>
            <w:r>
              <w:rPr>
                <w:rFonts w:ascii="Arial" w:cs="Arial" w:eastAsia="Arial" w:hAnsi="Arial"/>
                <w:sz w:val="14"/>
                <w:szCs w:val="14"/>
                <w:b w:val="1"/>
                <w:bCs w:val="1"/>
                <w:color w:val="auto"/>
              </w:rPr>
              <w:t>Distributions to Class A Shareholders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40" w:type="dxa"/>
            <w:vAlign w:val="bottom"/>
          </w:tcPr>
          <w:p>
            <w:pPr>
              <w:jc w:val="right"/>
              <w:ind w:right="834"/>
              <w:spacing w:after="0"/>
              <w:rPr>
                <w:sz w:val="20"/>
                <w:szCs w:val="20"/>
                <w:color w:val="auto"/>
              </w:rPr>
            </w:pPr>
            <w:r>
              <w:rPr>
                <w:rFonts w:ascii="Arial" w:cs="Arial" w:eastAsia="Arial" w:hAnsi="Arial"/>
                <w:sz w:val="14"/>
                <w:szCs w:val="14"/>
                <w:b w:val="1"/>
                <w:bCs w:val="1"/>
                <w:color w:val="auto"/>
              </w:rPr>
              <w:t>Distributions per Class A Share</w:t>
            </w:r>
          </w:p>
        </w:tc>
      </w:tr>
      <w:tr>
        <w:trPr>
          <w:trHeight w:val="250"/>
        </w:trPr>
        <w:tc>
          <w:tcPr>
            <w:tcW w:w="3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20" w:type="dxa"/>
            <w:vAlign w:val="bottom"/>
            <w:tcBorders>
              <w:top w:val="single" w:sz="8" w:color="auto"/>
              <w:bottom w:val="single" w:sz="8" w:color="CCEEFF"/>
            </w:tcBorders>
            <w:shd w:val="clear" w:color="auto" w:fill="CCEEFF"/>
          </w:tcPr>
          <w:p>
            <w:pPr>
              <w:jc w:val="right"/>
              <w:ind w:right="30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220" w:type="dxa"/>
            <w:vAlign w:val="bottom"/>
          </w:tcPr>
          <w:p>
            <w:pPr>
              <w:jc w:val="right"/>
              <w:ind w:right="30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tcPr>
          <w:p>
            <w:pPr>
              <w:jc w:val="right"/>
              <w:ind w:right="14"/>
              <w:spacing w:after="0"/>
              <w:rPr>
                <w:sz w:val="20"/>
                <w:szCs w:val="20"/>
                <w:color w:val="auto"/>
              </w:rPr>
            </w:pPr>
            <w:r>
              <w:rPr>
                <w:rFonts w:ascii="Arial" w:cs="Arial" w:eastAsia="Arial" w:hAnsi="Arial"/>
                <w:sz w:val="18"/>
                <w:szCs w:val="18"/>
                <w:color w:val="auto"/>
              </w:rPr>
              <w:t>2.40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3220" w:type="dxa"/>
            <w:vAlign w:val="bottom"/>
            <w:shd w:val="clear" w:color="auto" w:fill="CCEEFF"/>
          </w:tcPr>
          <w:p>
            <w:pPr>
              <w:jc w:val="right"/>
              <w:ind w:right="30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On January 8, 2018, we declared a cash distribution of $0.30 per outstanding Class A share. This distribution of $47 million was paid on February 14, 2018 to shareholders of record at the close of business on January 31, 2018, for the period October 1, 2017 through December 31, 2017.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Class A Shares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our sales of Class A shares during the year ended December 31, 2017, all of which occurred in the first four months of the year (net proceeds in millions). We did not sell any Class A shares during the years ended December 31, 2016 or 2015.</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Type of Offering</w:t>
            </w:r>
          </w:p>
        </w:tc>
        <w:tc>
          <w:tcPr>
            <w:tcW w:w="14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16"/>
                <w:szCs w:val="16"/>
                <w:color w:val="auto"/>
              </w:rPr>
            </w:pPr>
          </w:p>
        </w:tc>
      </w:tr>
      <w:tr>
        <w:trPr>
          <w:trHeight w:val="250"/>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Continuous Offering Program</w:t>
            </w:r>
          </w:p>
        </w:tc>
        <w:tc>
          <w:tcPr>
            <w:tcW w:w="3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1,786,326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43"/>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Underwritten Offering</w:t>
            </w:r>
          </w:p>
        </w:tc>
        <w:tc>
          <w:tcPr>
            <w:tcW w:w="3280" w:type="dxa"/>
            <w:vAlign w:val="bottom"/>
          </w:tcPr>
          <w:p>
            <w:pPr>
              <w:jc w:val="right"/>
              <w:ind w:right="34"/>
              <w:spacing w:after="0"/>
              <w:rPr>
                <w:sz w:val="20"/>
                <w:szCs w:val="20"/>
                <w:color w:val="auto"/>
              </w:rPr>
            </w:pPr>
            <w:r>
              <w:rPr>
                <w:rFonts w:ascii="Arial" w:cs="Arial" w:eastAsia="Arial" w:hAnsi="Arial"/>
                <w:sz w:val="18"/>
                <w:szCs w:val="18"/>
                <w:color w:val="auto"/>
              </w:rPr>
              <w:t>48,300,000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60" w:type="dxa"/>
            <w:vAlign w:val="bottom"/>
          </w:tcPr>
          <w:p>
            <w:pPr>
              <w:jc w:val="right"/>
              <w:ind w:right="34"/>
              <w:spacing w:after="0"/>
              <w:rPr>
                <w:sz w:val="20"/>
                <w:szCs w:val="20"/>
                <w:color w:val="auto"/>
              </w:rPr>
            </w:pPr>
            <w:r>
              <w:rPr>
                <w:rFonts w:ascii="Arial" w:cs="Arial" w:eastAsia="Arial" w:hAnsi="Arial"/>
                <w:sz w:val="18"/>
                <w:szCs w:val="18"/>
                <w:color w:val="auto"/>
              </w:rPr>
              <w:t>1,474</w:t>
            </w:r>
          </w:p>
        </w:tc>
        <w:tc>
          <w:tcPr>
            <w:tcW w:w="340" w:type="dxa"/>
            <w:vAlign w:val="bottom"/>
          </w:tcPr>
          <w:p>
            <w:pPr>
              <w:spacing w:after="0"/>
              <w:rPr>
                <w:sz w:val="21"/>
                <w:szCs w:val="2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50,086,326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1,535</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1" w:lineRule="exact"/>
        <w:rPr>
          <w:rFonts w:ascii="Arial" w:cs="Arial" w:eastAsia="Arial" w:hAnsi="Arial"/>
          <w:sz w:val="25"/>
          <w:szCs w:val="25"/>
          <w:color w:val="auto"/>
          <w:vertAlign w:val="superscript"/>
        </w:rPr>
      </w:pPr>
    </w:p>
    <w:p>
      <w:pPr>
        <w:ind w:left="660" w:right="20" w:hanging="652"/>
        <w:spacing w:after="0" w:line="208" w:lineRule="auto"/>
        <w:tabs>
          <w:tab w:leader="none" w:pos="660" w:val="left"/>
        </w:tabs>
        <w:numPr>
          <w:ilvl w:val="0"/>
          <w:numId w:val="109"/>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2504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Omnibus Agreement entered into by the Plains Entities in connection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“—Subsidiary Sales of Units” below.</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cash purchase by PAGP of additional units issued by AAP and corresponding cash purchase by AAP of additional common units issued by PAA results in the allocation of the fair value of the proceeds between controlling and noncontrolling interests in AAP and PAA based on their respective ownership percentages. Additionally, in accordance with ASC 810, an adjustment in partners' capital based on historical carrying value is recognized by PAGP’s Class A shareholders on their increase in ownership of subsidiary entities and a corresponding adjustment is recognized in partners' capital by PAGP’s noncontrolling interests due to the dilution of their ownership interest. The allocation to noncontrolling interests results from the difference between the fair value per unit of the additional units issued and the historical carrying value per unit. Such amounts are reflected in “Sales of Class A shares” on our Consolidated Statements of Changes in Partners'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Income/(Loss)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December 31, 2017, noncontrolling interests in our subsidiaries consisted of (i) an approximate 64% limited partner interest in PAA (which included PAA common units and PAA Series A preferred units, as well as PAA Series B preferred units) and an (ii) an approximate 45% limited partner interest in AAP.</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During the fourth quarter of 2017, PAA sold SLC Pipeline LLC, in which it previously owned a 75% interest and was consolidated under GAAP. As a result of this sale, the noncontrolling interest of 25% was derecognized. See Note 6 for additional information regarding the sale of SLC Pipeline LLC.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Sales of Units</w:t>
      </w:r>
    </w:p>
    <w:p>
      <w:pPr>
        <w:spacing w:after="0" w:line="22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i w:val="1"/>
          <w:iCs w:val="1"/>
          <w:color w:val="auto"/>
        </w:rPr>
        <w:t>Sales of PAA common units</w:t>
      </w:r>
      <w:r>
        <w:rPr>
          <w:rFonts w:ascii="Arial" w:cs="Arial" w:eastAsia="Arial" w:hAnsi="Arial"/>
          <w:sz w:val="16"/>
          <w:szCs w:val="16"/>
          <w:color w:val="auto"/>
        </w:rPr>
        <w:t>. PAA has entered into several equity distribution agreements under its Continuous Offering Program,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PAA may offer and sell, through sales agents, common units representing limited partner interests. PAA may also sell its common units through overnight or underwritten offerings. The following table summarizes PAA’s issuance of common units in connection with such sales (net proceeds in millions):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125" w:right="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4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Common Units Sold</w:t>
            </w:r>
          </w:p>
        </w:tc>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CCEEFF"/>
            </w:tcBorders>
          </w:tcPr>
          <w:p>
            <w:pPr>
              <w:spacing w:after="0"/>
              <w:rPr>
                <w:sz w:val="16"/>
                <w:szCs w:val="16"/>
                <w:color w:val="auto"/>
              </w:rPr>
            </w:pPr>
          </w:p>
        </w:tc>
      </w:tr>
      <w:tr>
        <w:trPr>
          <w:trHeight w:val="263"/>
        </w:trPr>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2017 Total</w:t>
            </w:r>
          </w:p>
        </w:tc>
        <w:tc>
          <w:tcPr>
            <w:tcW w:w="4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4,033,567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129</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2016 Total</w:t>
            </w:r>
          </w:p>
        </w:tc>
        <w:tc>
          <w:tcPr>
            <w:tcW w:w="4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26,278,288</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796</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Continuous Offering Program</w:t>
            </w:r>
          </w:p>
        </w:tc>
        <w:tc>
          <w:tcPr>
            <w:tcW w:w="2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1,133,904</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40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Underwritten Offering</w:t>
            </w:r>
          </w:p>
        </w:tc>
        <w:tc>
          <w:tcPr>
            <w:tcW w:w="2480" w:type="dxa"/>
            <w:vAlign w:val="bottom"/>
          </w:tcPr>
          <w:p>
            <w:pPr>
              <w:jc w:val="right"/>
              <w:ind w:right="33"/>
              <w:spacing w:after="0"/>
              <w:rPr>
                <w:sz w:val="20"/>
                <w:szCs w:val="20"/>
                <w:color w:val="auto"/>
              </w:rPr>
            </w:pPr>
            <w:r>
              <w:rPr>
                <w:rFonts w:ascii="Arial" w:cs="Arial" w:eastAsia="Arial" w:hAnsi="Arial"/>
                <w:sz w:val="18"/>
                <w:szCs w:val="18"/>
                <w:color w:val="auto"/>
              </w:rPr>
              <w:t>21,000,000</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1,041</w:t>
            </w:r>
          </w:p>
        </w:tc>
        <w:tc>
          <w:tcPr>
            <w:tcW w:w="340" w:type="dxa"/>
            <w:vAlign w:val="bottom"/>
          </w:tcPr>
          <w:p>
            <w:pPr>
              <w:spacing w:after="0"/>
              <w:rPr>
                <w:sz w:val="21"/>
                <w:szCs w:val="2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2015 Total</w:t>
            </w:r>
          </w:p>
        </w:tc>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22,133,904</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1,099</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120" w:hanging="652"/>
        <w:spacing w:after="0" w:line="214" w:lineRule="auto"/>
        <w:tabs>
          <w:tab w:leader="none" w:pos="66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PAA pays commissions to sales agents in connection with common unit issuances under its Continuous Offering Program. PAA paid $1 million, $8 million and $1 million of such commissions during 2017, 2016 and 2015, respectively.</w:t>
      </w:r>
    </w:p>
    <w:p>
      <w:pPr>
        <w:spacing w:after="0" w:line="203" w:lineRule="exact"/>
        <w:rPr>
          <w:sz w:val="20"/>
          <w:szCs w:val="20"/>
          <w:color w:val="auto"/>
        </w:rPr>
      </w:pPr>
    </w:p>
    <w:p>
      <w:pPr>
        <w:ind w:right="60" w:firstLine="716"/>
        <w:spacing w:after="0" w:line="276" w:lineRule="auto"/>
        <w:rPr>
          <w:sz w:val="20"/>
          <w:szCs w:val="20"/>
          <w:color w:val="auto"/>
        </w:rPr>
      </w:pPr>
      <w:r>
        <w:rPr>
          <w:rFonts w:ascii="Arial" w:cs="Arial" w:eastAsia="Arial" w:hAnsi="Arial"/>
          <w:sz w:val="17"/>
          <w:szCs w:val="17"/>
          <w:color w:val="auto"/>
        </w:rPr>
        <w:t>For the periods following the Simplification Transactions, the proceeds from the issuance of additional common units are shared pro rata among all of PAA’s common unitholders, including AAP, based on their percentage ownership of common units. Additionally, PAA’s capital attributable to AAP was adjusted, in accordance with ASC 810, to reflect the dilution of its interest in PAA as a result of the issuance of additional common units to the public unitholders. Such adjustments are recognized by PAGP in proportion to PAGP’s ownership interest in AAP, which resulted in a net increase in partners’ capital attributable to PAGP. See Note 13 for additional information regarding the associated impact to the deferred tax asset.</w:t>
      </w:r>
    </w:p>
    <w:p>
      <w:pPr>
        <w:spacing w:after="0" w:line="173" w:lineRule="exact"/>
        <w:rPr>
          <w:sz w:val="20"/>
          <w:szCs w:val="20"/>
          <w:color w:val="auto"/>
        </w:rPr>
      </w:pPr>
    </w:p>
    <w:p>
      <w:pPr>
        <w:ind w:right="240" w:firstLine="716"/>
        <w:spacing w:after="0" w:line="259"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PAA may sell common units to AAP pursuant to the Omnibus Agreement entered into by the Plains Entities, as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During the year ended December 31, 2017, pursuant to the Omnibus Agreement, PAA sold (i) approximately 1.8 million common units to AAP in connection with our issuance of Class A shares under our Continuous Offering Program and (ii) 48.3 million common units to AAP in connection with our March 2017 underwritten offering.</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PAA Series A Preferred Unit Issuance</w:t>
      </w:r>
      <w:r>
        <w:rPr>
          <w:rFonts w:ascii="Arial" w:cs="Arial" w:eastAsia="Arial" w:hAnsi="Arial"/>
          <w:sz w:val="18"/>
          <w:szCs w:val="18"/>
          <w:color w:val="auto"/>
        </w:rPr>
        <w:t>. On January 28, 2016 (the “Issuance Date”), PAA completed the private placement of approximately 61.0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Series A preferred units representing limited partner interests in PAA for a cash purchase price of $26.25 per unit (the “Issue Price”), resulting in total net proceeds, after deducting offering expenses and the 2% transaction fee due to the purchasers, of approximately $1.6 billion. Certain of the purchasers or their affiliates are related parties. See Note 15 for additional information.</w:t>
      </w:r>
    </w:p>
    <w:p>
      <w:pPr>
        <w:spacing w:after="0" w:line="187" w:lineRule="exact"/>
        <w:rPr>
          <w:sz w:val="20"/>
          <w:szCs w:val="20"/>
          <w:color w:val="auto"/>
        </w:rPr>
      </w:pPr>
    </w:p>
    <w:p>
      <w:pPr>
        <w:ind w:right="100" w:firstLine="716"/>
        <w:spacing w:after="0" w:line="255" w:lineRule="auto"/>
        <w:rPr>
          <w:sz w:val="20"/>
          <w:szCs w:val="20"/>
          <w:color w:val="auto"/>
        </w:rPr>
      </w:pPr>
      <w:r>
        <w:rPr>
          <w:rFonts w:ascii="Arial" w:cs="Arial" w:eastAsia="Arial" w:hAnsi="Arial"/>
          <w:sz w:val="18"/>
          <w:szCs w:val="18"/>
          <w:color w:val="auto"/>
        </w:rPr>
        <w:t>The PAA Series A preferred units rank pari passu with the PAA Series B preferred units, and senior to PAA’s common units and to each other class or series of equity securities in PAA with respect to distribution rights and rights upon liquidation. The holders of the PAA Series A preferred units receive cumulative quarterly distributions, subject to customary antidilution adjustments, equal to $0.525 per unit ($2.10 per unit annualized). With respect to each quarter ending on or prior to December 31, 2017 (the “Initial Distribution Period”), PAA elected to pay distributions on the PAA Series A preferred units in additional Series A preferred units. With respect to any quarter ending after the Initial Distribution Period, PAA must pay distributions on the PAA Series A preferred units in cash.</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Series A preferred units are convertible at the purchasers’ option into PAA common units, generally on a one-for-one basis, at any time after January 28, 2018, subject to certain conditions, and are convertible at PAA’s option in certain circumstances after January 28, 2019. For a period of 30 days following (a) the fifth anniversary of the Issuance Date of the PAA Series A preferred units and (b) each subsequent anniversary of the Issuance Date, the holders of the PAA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12 for additional information.</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PAA Series B Preferred Unit Issuance. </w:t>
      </w:r>
      <w:r>
        <w:rPr>
          <w:rFonts w:ascii="Arial" w:cs="Arial" w:eastAsia="Arial" w:hAnsi="Arial"/>
          <w:sz w:val="17"/>
          <w:szCs w:val="17"/>
          <w:color w:val="auto"/>
        </w:rPr>
        <w:t>On October 10, 2017, PAA issued 800,000 Series B Fixed-to-Floating Rate Cumulative Redeemable</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Preferred Units representing limited partner interests in PAA (the “Series B preferred units”) at a price to the public of $1,000 per unit. PAA used the net proceeds of $788 million, after deducting the underwriters’ discounts and offering expenses, from the issuance of the Series B preferred units to repay amounts outstanding under its credit facilities and commercial paper program and for general partnership purposes.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Series B preferred units represent perpetual equity interests in PAA,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PAA’s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PAA’s common unitholders out of capital surplus. The Series B preferred units rank, as to the payment of distributions and amounts payable on a liquidation event, on par with PAA’s outstanding Series A preferred units.</w:t>
      </w:r>
    </w:p>
    <w:p>
      <w:pPr>
        <w:spacing w:after="0" w:line="1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Series B preferred units have a liquidation preference of $1,000 per unit. Holders of PAA’s Series B preferred units are entitled to receive, when, as and if declared by PAA’s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certain rating agency events, PAA may redeem the Series B preferred units, in whole but not in part, at a price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$1,020 (102% of the liquidation preference) per Series B preferred unit plus an amount equal to all accumulated and unpaid distributions thereon to, but not including, the date of redemption, whether or not declared. In addition, at any time on or after November 15, 2022, PAA may redeem the Series B preferred units, at its option, in whole or in part, at a redemption price of $1,000 per Series B preferred unit plus an amount equal to all accumulated and unpaid distributions thereon to, but not including, the date of redemption, whether or not declared.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 Asset Impact from the Sale of Subsidiary Units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connection with the sales of AAP units and PAA common units referenced above, a deferred asset was created. The tax basis of PAGP’s purchase of the additional units was accounted for at fair market value for U.S. federal income tax purposes, but the GAAP basis was impacted by the adjustments that are based on historical carrying value. The resulting basis difference resulted in a deferred tax asset that was recorded as a component of partner’s capital as it results from transactions with shareholders. See Note 13 for additional information.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PAA distributes 100% of its available cash within 45 days following the end of each quarter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record, including AAP. Available cash is generally defined as all of PAA’s cash and cash equivalents on hand at the end of each quarter, less reserves established in the reasonable discretion of its general partner for future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by PAA (in millions, except per unit data):</w:t>
      </w:r>
    </w:p>
    <w:p>
      <w:pPr>
        <w:spacing w:after="0" w:line="220"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Distributions Paid</w:t>
      </w:r>
    </w:p>
    <w:tbl>
      <w:tblPr>
        <w:tblLayout w:type="fixed"/>
        <w:tblInd w:w="0" w:type="dxa"/>
        <w:tblCellMar>
          <w:top w:w="0" w:type="dxa"/>
          <w:left w:w="0" w:type="dxa"/>
          <w:bottom w:w="0" w:type="dxa"/>
          <w:right w:w="0" w:type="dxa"/>
        </w:tblCellMar>
      </w:tblPr>
      <w:tr>
        <w:trPr>
          <w:trHeight w:val="47"/>
        </w:trPr>
        <w:tc>
          <w:tcPr>
            <w:tcW w:w="3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37"/>
              <w:spacing w:after="0" w:line="133" w:lineRule="exact"/>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65"/>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5"/>
                <w:szCs w:val="5"/>
                <w:color w:val="auto"/>
              </w:rPr>
            </w:pPr>
          </w:p>
        </w:tc>
        <w:tc>
          <w:tcPr>
            <w:tcW w:w="14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Public</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restart"/>
          </w:tcPr>
          <w:p>
            <w:pPr>
              <w:jc w:val="right"/>
              <w:ind w:right="61"/>
              <w:spacing w:after="0" w:line="263" w:lineRule="exact"/>
              <w:rPr>
                <w:sz w:val="20"/>
                <w:szCs w:val="20"/>
                <w:color w:val="auto"/>
              </w:rPr>
            </w:pPr>
            <w:r>
              <w:rPr>
                <w:rFonts w:ascii="Arial" w:cs="Arial" w:eastAsia="Arial" w:hAnsi="Arial"/>
                <w:sz w:val="28"/>
                <w:szCs w:val="28"/>
                <w:b w:val="1"/>
                <w:bCs w:val="1"/>
                <w:color w:val="auto"/>
                <w:vertAlign w:val="subscript"/>
              </w:rPr>
              <w:t>AAP</w:t>
            </w:r>
            <w:r>
              <w:rPr>
                <w:rFonts w:ascii="Arial" w:cs="Arial" w:eastAsia="Arial" w:hAnsi="Arial"/>
                <w:sz w:val="9"/>
                <w:szCs w:val="9"/>
                <w:b w:val="1"/>
                <w:bCs w:val="1"/>
                <w:color w:val="auto"/>
              </w:rPr>
              <w:t xml:space="preserve"> (1)</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420" w:type="dxa"/>
            <w:vAlign w:val="bottom"/>
          </w:tcPr>
          <w:p>
            <w:pPr>
              <w:jc w:val="right"/>
              <w:ind w:right="121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1"/>
                <w:szCs w:val="21"/>
                <w:color w:val="auto"/>
              </w:rPr>
            </w:pP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1,627</w:t>
            </w:r>
          </w:p>
        </w:tc>
        <w:tc>
          <w:tcPr>
            <w:tcW w:w="140" w:type="dxa"/>
            <w:vAlign w:val="bottom"/>
            <w:tcBorders>
              <w:right w:val="single" w:sz="8" w:color="auto"/>
            </w:tcBorders>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1,671</w:t>
            </w:r>
          </w:p>
        </w:tc>
        <w:tc>
          <w:tcPr>
            <w:tcW w:w="140" w:type="dxa"/>
            <w:vAlign w:val="bottom"/>
            <w:tcBorders>
              <w:right w:val="single" w:sz="8" w:color="auto"/>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60" w:hanging="652"/>
        <w:spacing w:after="0" w:line="273" w:lineRule="auto"/>
        <w:tabs>
          <w:tab w:leader="none" w:pos="660" w:val="left"/>
        </w:tabs>
        <w:numPr>
          <w:ilvl w:val="0"/>
          <w:numId w:val="111"/>
        </w:numPr>
        <w:rPr>
          <w:rFonts w:ascii="Arial" w:cs="Arial" w:eastAsia="Arial" w:hAnsi="Arial"/>
          <w:sz w:val="22"/>
          <w:szCs w:val="22"/>
          <w:color w:val="auto"/>
          <w:vertAlign w:val="superscript"/>
        </w:rPr>
      </w:pPr>
      <w:r>
        <w:rPr>
          <w:rFonts w:ascii="Arial" w:cs="Arial" w:eastAsia="Arial" w:hAnsi="Arial"/>
          <w:sz w:val="16"/>
          <w:szCs w:val="16"/>
          <w:color w:val="auto"/>
        </w:rPr>
        <w:t>Prior to the Simplification Transactions, AAP was entitled to receive (i) distributions with respect to its 2% indirect general partner interest in PAA and (ii) as the holder of PAA’s IDRs, incentive distributions if the amount PAA distributed with respect to any quarter exceeded certain specified levels. The Simplification Transactions, which closed on November 15, 2016, included the permanent elimination of PAA’s IDRs and the economic rights associated with its 2% general partner interest in exchange for the issuance by PAA to AAP of approximately 244.7 million common units. As such, beginning with the distribution pertaining to the fourth quarter of 2016, AAP is no longer entitled to receive distributions on the IDRs or general partner interest. During the year ended December 31, 2017, AAP received distributions on the PAA common units it owned.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January 8, 2018, PAA declared a cash distribution of $0.30 per unit on its outstanding common units. The total distribution of $218 million was paid on February 14, 2018 to unitholders of record on January 31, 2018, for the period October 1, 2017 through December 31, 2017. Of this amount, approximately $85 million was paid to AAP.</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PAA Series A Preferred Unit Distributions. </w:t>
      </w:r>
      <w:r>
        <w:rPr>
          <w:rFonts w:ascii="Arial" w:cs="Arial" w:eastAsia="Arial" w:hAnsi="Arial"/>
          <w:sz w:val="18"/>
          <w:szCs w:val="18"/>
          <w:color w:val="auto"/>
        </w:rPr>
        <w:t>In 2017, PAA issued 5,307,689 Series A preferred units in lieu of cash distributions of $139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PAA issued 3,358,726 Series A preferred units in lieu of cash distributions of $89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14, 2018, PAA issued 1,393,926 Series A preferred units in lieu of a cash distribution of $37 million.</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PAA Series B Preferred Unit Distributions. </w:t>
      </w:r>
      <w:r>
        <w:rPr>
          <w:rFonts w:ascii="Arial" w:cs="Arial" w:eastAsia="Arial" w:hAnsi="Arial"/>
          <w:sz w:val="16"/>
          <w:szCs w:val="16"/>
          <w:color w:val="auto"/>
        </w:rPr>
        <w:t>PAA paid a pro-rated initial distribution on its Series B preferred units on November 15, 2017 to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record at the close of business on November 1, 2017 in an amount equal to approximately $5.9549 per unit (a total distribution of approximately $5 million). At December 31, 2017, we had accrued approximately $6 million of distributions payable to PAA’s Series B preferred unitholders.</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AAP Distributions. </w:t>
      </w:r>
      <w:r>
        <w:rPr>
          <w:rFonts w:ascii="Arial" w:cs="Arial" w:eastAsia="Arial" w:hAnsi="Arial"/>
          <w:sz w:val="17"/>
          <w:szCs w:val="17"/>
          <w:color w:val="auto"/>
        </w:rPr>
        <w:t>AAP distributes all of the cash received from PAA distributions on a quarterly basis, less reserves established in the discretion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its general partner for future requirements. Generally, distributions are paid to its partners in proportion to their percentage interest in AAP. The following table details the distributions to AAP’s partners paid during the periods indicated from distributions received from PAA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Distributions to AAP’s Partners</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Available Cash Before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Cash</w:t>
            </w:r>
          </w:p>
        </w:tc>
        <w:tc>
          <w:tcPr>
            <w:tcW w:w="460" w:type="dxa"/>
            <w:vAlign w:val="bottom"/>
          </w:tcPr>
          <w:p>
            <w:pPr>
              <w:spacing w:after="0"/>
              <w:rPr>
                <w:sz w:val="24"/>
                <w:szCs w:val="2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Noncontrolling</w:t>
            </w:r>
          </w:p>
        </w:tc>
        <w:tc>
          <w:tcPr>
            <w:tcW w:w="420" w:type="dxa"/>
            <w:vAlign w:val="bottom"/>
          </w:tcPr>
          <w:p>
            <w:pPr>
              <w:spacing w:after="0"/>
              <w:rPr>
                <w:sz w:val="24"/>
                <w:szCs w:val="24"/>
                <w:color w:val="auto"/>
              </w:rPr>
            </w:pPr>
          </w:p>
        </w:tc>
        <w:tc>
          <w:tcPr>
            <w:tcW w:w="14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Reserves</w:t>
            </w: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Reserves</w:t>
            </w:r>
          </w:p>
        </w:tc>
        <w:tc>
          <w:tcPr>
            <w:tcW w:w="3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Interests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537</w:t>
            </w: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598</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160"/>
              <w:spacing w:after="0" w:line="270" w:lineRule="exact"/>
              <w:rPr>
                <w:sz w:val="20"/>
                <w:szCs w:val="20"/>
                <w:color w:val="auto"/>
              </w:rPr>
            </w:pPr>
            <w:r>
              <w:rPr>
                <w:rFonts w:ascii="Arial" w:cs="Arial" w:eastAsia="Arial" w:hAnsi="Arial"/>
                <w:sz w:val="18"/>
                <w:szCs w:val="18"/>
                <w:color w:val="auto"/>
              </w:rPr>
              <w:t xml:space="preserve">(11) </w:t>
            </w:r>
            <w:r>
              <w:rPr>
                <w:rFonts w:ascii="Arial" w:cs="Arial" w:eastAsia="Arial" w:hAnsi="Arial"/>
                <w:sz w:val="25"/>
                <w:szCs w:val="25"/>
                <w:color w:val="auto"/>
                <w:vertAlign w:val="superscript"/>
              </w:rPr>
              <w:t>(2)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587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280" w:hanging="652"/>
        <w:spacing w:after="0" w:line="245" w:lineRule="auto"/>
        <w:tabs>
          <w:tab w:leader="none" w:pos="660" w:val="left"/>
        </w:tabs>
        <w:numPr>
          <w:ilvl w:val="0"/>
          <w:numId w:val="112"/>
        </w:numPr>
        <w:rPr>
          <w:rFonts w:ascii="Arial" w:cs="Arial" w:eastAsia="Arial" w:hAnsi="Arial"/>
          <w:sz w:val="24"/>
          <w:szCs w:val="24"/>
          <w:color w:val="auto"/>
          <w:vertAlign w:val="superscript"/>
        </w:rPr>
      </w:pPr>
      <w:r>
        <w:rPr>
          <w:rFonts w:ascii="Arial" w:cs="Arial" w:eastAsia="Arial" w:hAnsi="Arial"/>
          <w:sz w:val="17"/>
          <w:szCs w:val="17"/>
          <w:color w:val="auto"/>
        </w:rPr>
        <w:t>Includes $33 million that was borrowed under the AAP senior secured revolving credit facility. AAP agreed to borrow funds under its credit agreement as necessary to make a special true-up distribution to its partners that, when added to the distributions paid to AAP in respect of its 2% general partner interest in PAA and the IDRs, equaled the total distribution its partners would have received if the closing of the Simplification Transactions had occurred immediately prior to the record date for the third quarter distribution.</w:t>
      </w:r>
    </w:p>
    <w:p>
      <w:pPr>
        <w:spacing w:after="0" w:line="92" w:lineRule="exact"/>
        <w:rPr>
          <w:rFonts w:ascii="Arial" w:cs="Arial" w:eastAsia="Arial" w:hAnsi="Arial"/>
          <w:sz w:val="24"/>
          <w:szCs w:val="24"/>
          <w:color w:val="auto"/>
          <w:vertAlign w:val="superscript"/>
        </w:rPr>
      </w:pPr>
    </w:p>
    <w:p>
      <w:pPr>
        <w:ind w:left="660" w:right="80" w:hanging="652"/>
        <w:spacing w:after="0" w:line="226" w:lineRule="auto"/>
        <w:tabs>
          <w:tab w:leader="none" w:pos="660" w:val="left"/>
        </w:tabs>
        <w:numPr>
          <w:ilvl w:val="0"/>
          <w:numId w:val="112"/>
        </w:numPr>
        <w:rPr>
          <w:rFonts w:ascii="Arial" w:cs="Arial" w:eastAsia="Arial" w:hAnsi="Arial"/>
          <w:sz w:val="25"/>
          <w:szCs w:val="25"/>
          <w:color w:val="auto"/>
          <w:vertAlign w:val="superscript"/>
        </w:rPr>
      </w:pPr>
      <w:r>
        <w:rPr>
          <w:rFonts w:ascii="Arial" w:cs="Arial" w:eastAsia="Arial" w:hAnsi="Arial"/>
          <w:sz w:val="18"/>
          <w:szCs w:val="18"/>
          <w:color w:val="auto"/>
        </w:rPr>
        <w:t>The amount of the distribution paid to AAP’s partners in November 2016 assumed that the Simplification Transactions had closed as of the date of record for the third quarter distribution. Pursuant to the Omnibus Agreement entered into as part of the Simplification Transactions, AAP’s expenses will be paid by PAA. Therefore, no cash was reserved from this distribution for future expenses of AAP.</w:t>
      </w:r>
    </w:p>
    <w:p>
      <w:pPr>
        <w:spacing w:after="0" w:line="20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On February 14, 2018, AAP distributed $85 million to its partners from distributions received from PAA. Of this amount, $38 million was distributed to noncontrolling interests and $47 million was distributed to us.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years ended December 31, 2017, 2016 and 2015, distributions of $2 million, $4 million and $3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were paid to noncontrolling interests in SLC Pipeline LLC.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2017, net derivative positions related to these activities included:</w:t>
      </w:r>
    </w:p>
    <w:p>
      <w:pPr>
        <w:spacing w:after="0" w:line="38" w:lineRule="exact"/>
        <w:rPr>
          <w:sz w:val="20"/>
          <w:szCs w:val="20"/>
          <w:color w:val="auto"/>
        </w:rPr>
      </w:pPr>
    </w:p>
    <w:p>
      <w:pPr>
        <w:ind w:left="980" w:right="320" w:hanging="324"/>
        <w:spacing w:after="0" w:line="277"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net long position of 3.3 million barrels associated with our crude oil purchases, which was unwound ratably during January 2018 to match monthly average pricing.</w:t>
      </w:r>
    </w:p>
    <w:p>
      <w:pPr>
        <w:spacing w:after="0" w:line="62"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net short time spread position of 5.2 million barrels, which hedges a portion of our anticipated crude oil lease gathering purchases through February 2019.</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crude oil grade basis position of 30.3 million barrels through December 2019. These derivatives allow us to lock in grade basis differentials.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net short position of 16.5 million barrels through December 2020 related to anticipated net sales of our crude oil and NGL inventory.</w:t>
      </w:r>
    </w:p>
    <w:p>
      <w:pPr>
        <w:spacing w:after="0" w:line="23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 xml:space="preserve">Pipeline Loss Allowance Oil </w:t>
      </w:r>
      <w:r>
        <w:rPr>
          <w:rFonts w:ascii="Arial" w:cs="Arial" w:eastAsia="Arial" w:hAnsi="Arial"/>
          <w:sz w:val="17"/>
          <w:szCs w:val="17"/>
          <w:color w:val="auto"/>
        </w:rPr>
        <w:t>— As is common in the pipeline transportation industry, our tariffs incorporate a loss allowance factor that is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among other things, offset losses due to evaporation, measurement and other losses in transit. We utilize derivative instruments to hedge a portion of the anticipated sales of the allowance oil that is to be collected under our tariffs. As of December 31, 2017, our PLA hedges included a net short position consisting of crude oil futures of 1.1 million barrels and a long call option position of 0.9 million barrels through December 2019.</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2017, we had a long natural gas position of 54.3 Bcf which hedges our natural gas processing and operational needs through December 2020. We also had a short propane position of 8.6 million barrels through December 2018, a short butane position of 2.6 million barrels through December 2018 and a short WTI position of 1.0 million barrels through December 2018. In addition, we had a long power position of 0.4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December 31, 2017 (notional amounts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and Types of</w:t>
            </w: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Average Rate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16 forward starting swaps (30-year)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6/15/2018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43"/>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8 forward starting swaps (30-year)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6/14/2019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and forwards.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2017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USD</w:t>
            </w: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50"/>
        </w:trPr>
        <w:tc>
          <w:tcPr>
            <w:tcW w:w="7680" w:type="dxa"/>
            <w:vAlign w:val="bottom"/>
            <w:tcBorders>
              <w:top w:val="single" w:sz="8" w:color="CCEEFF"/>
              <w:bottom w:val="single" w:sz="8" w:color="CCEEFF"/>
            </w:tcBorders>
            <w:shd w:val="clear" w:color="auto" w:fill="CCEEFF"/>
          </w:tcPr>
          <w:p>
            <w:pPr>
              <w:jc w:val="right"/>
              <w:ind w:right="30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$1.26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right"/>
              <w:ind w:right="30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$1.27</w:t>
            </w:r>
          </w:p>
        </w:tc>
        <w:tc>
          <w:tcPr>
            <w:tcW w:w="0" w:type="dxa"/>
            <w:vAlign w:val="bottom"/>
          </w:tcPr>
          <w:p>
            <w:pPr>
              <w:spacing w:after="0"/>
              <w:rPr>
                <w:sz w:val="1"/>
                <w:szCs w:val="1"/>
                <w:color w:val="auto"/>
              </w:rPr>
            </w:pPr>
          </w:p>
        </w:tc>
      </w:tr>
      <w:tr>
        <w:trPr>
          <w:trHeight w:val="27"/>
        </w:trPr>
        <w:tc>
          <w:tcPr>
            <w:tcW w:w="7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Consolidated Balance Sheet. Corresponding changes in fair value are recognized in “Other income/(expense), net” in our Consolidated Statement of Operations. At December 31, 2017 and 2016, the fair value of this embedded derivative was a liability of approximately $22 million and $32 million, respectively. We recognized gains of approximately $13 million and $30 million for the years ended December 31, 2017 and 2016, respectively. See Note 11 for additional information regarding the PAA Series A preferred units and the Preferred Distribution Rate Reset Option.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Year Ended December 31, 2017</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of Gain/(Loss)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4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 xml:space="preserve">Relationships </w:t>
            </w:r>
            <w:r>
              <w:rPr>
                <w:rFonts w:ascii="Arial" w:cs="Arial" w:eastAsia="Arial" w:hAnsi="Arial"/>
                <w:sz w:val="8"/>
                <w:szCs w:val="8"/>
                <w:b w:val="1"/>
                <w:bCs w:val="1"/>
                <w:color w:val="auto"/>
                <w:w w:val="93"/>
              </w:rPr>
              <w:t>(1)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as a Hedge</w:t>
            </w: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Derivatives</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Derivatives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4"/>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Derivatives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Distribution Rate Reset Option</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F-40</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62" w:name="page163"/>
    <w:bookmarkEnd w:id="1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Location of Gain/(Loss)</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Commodity Derivatives</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Supply and Logistics segment revenues</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Transportation segment revenues</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Derivatives</w:t>
      </w:r>
    </w:p>
    <w:p>
      <w:pPr>
        <w:spacing w:after="0" w:line="3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 net</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Derivatives</w:t>
      </w:r>
    </w:p>
    <w:p>
      <w:pPr>
        <w:spacing w:after="0" w:line="3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Supply and Logistics segment revenues</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income/(expense), net</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Total Gain/(Loss) on Derivatives Recognized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Location of Gain/(Loss)</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Commodity Derivatives</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Supply and Logistics segment revenues</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Transportation segment revenues</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Field operating costs</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Derivatives</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 net</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Derivatives</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Supply and Logistics segment revenues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Total Gain/(Loss) on Derivatives Recognized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50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2327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Derivatives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4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 xml:space="preserve">Relationships </w:t>
            </w:r>
            <w:r>
              <w:rPr>
                <w:rFonts w:ascii="Arial" w:cs="Arial" w:eastAsia="Arial" w:hAnsi="Arial"/>
                <w:sz w:val="8"/>
                <w:szCs w:val="8"/>
                <w:b w:val="1"/>
                <w:bCs w:val="1"/>
                <w:color w:val="auto"/>
                <w:w w:val="93"/>
              </w:rPr>
              <w:t>(1)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as a Hedge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34"/>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Year Ended December 31, 2015</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14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4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 xml:space="preserve">Relationships </w:t>
            </w:r>
            <w:r>
              <w:rPr>
                <w:rFonts w:ascii="Arial" w:cs="Arial" w:eastAsia="Arial" w:hAnsi="Arial"/>
                <w:sz w:val="8"/>
                <w:szCs w:val="8"/>
                <w:b w:val="1"/>
                <w:bCs w:val="1"/>
                <w:color w:val="auto"/>
                <w:w w:val="93"/>
              </w:rPr>
              <w:t>(1)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as a Hedge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-6731635</wp:posOffset>
            </wp:positionV>
            <wp:extent cx="721233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-6370955</wp:posOffset>
            </wp:positionV>
            <wp:extent cx="721233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-6010910</wp:posOffset>
            </wp:positionV>
            <wp:extent cx="721233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-5659120</wp:posOffset>
            </wp:positionV>
            <wp:extent cx="721233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-5299075</wp:posOffset>
            </wp:positionV>
            <wp:extent cx="721233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-4947920</wp:posOffset>
            </wp:positionV>
            <wp:extent cx="721233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-4587240</wp:posOffset>
            </wp:positionV>
            <wp:extent cx="721233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-4227195</wp:posOffset>
            </wp:positionV>
            <wp:extent cx="721233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-3867150</wp:posOffset>
            </wp:positionV>
            <wp:extent cx="721233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4">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-7099935</wp:posOffset>
            </wp:positionV>
            <wp:extent cx="721233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5">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-2709545</wp:posOffset>
            </wp:positionV>
            <wp:extent cx="721233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-2348865</wp:posOffset>
            </wp:positionV>
            <wp:extent cx="721233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-1988820</wp:posOffset>
            </wp:positionV>
            <wp:extent cx="721233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-1637030</wp:posOffset>
            </wp:positionV>
            <wp:extent cx="721233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-1276985</wp:posOffset>
            </wp:positionV>
            <wp:extent cx="721233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-925830</wp:posOffset>
            </wp:positionV>
            <wp:extent cx="721233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-565150</wp:posOffset>
            </wp:positionV>
            <wp:extent cx="721233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-205105</wp:posOffset>
            </wp:positionV>
            <wp:extent cx="721233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3">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-3077845</wp:posOffset>
            </wp:positionV>
            <wp:extent cx="721233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5100"/>
          </w:cols>
          <w:pgMar w:left="240" w:top="125" w:right="259" w:bottom="1440" w:gutter="0" w:footer="0" w:header="0"/>
          <w:type w:val="continuous"/>
        </w:sectPr>
      </w:pPr>
    </w:p>
    <w:p>
      <w:pPr>
        <w:spacing w:after="0" w:line="164" w:lineRule="exact"/>
        <w:rPr>
          <w:sz w:val="20"/>
          <w:szCs w:val="20"/>
          <w:color w:val="auto"/>
        </w:rPr>
      </w:pPr>
    </w:p>
    <w:p>
      <w:pPr>
        <w:ind w:left="660" w:hanging="652"/>
        <w:spacing w:after="0" w:line="245" w:lineRule="auto"/>
        <w:tabs>
          <w:tab w:leader="none" w:pos="660" w:val="left"/>
        </w:tabs>
        <w:numPr>
          <w:ilvl w:val="0"/>
          <w:numId w:val="114"/>
        </w:numPr>
        <w:rPr>
          <w:rFonts w:ascii="Arial" w:cs="Arial" w:eastAsia="Arial" w:hAnsi="Arial"/>
          <w:sz w:val="24"/>
          <w:szCs w:val="24"/>
          <w:color w:val="auto"/>
          <w:vertAlign w:val="superscript"/>
        </w:rPr>
      </w:pPr>
      <w:r>
        <w:rPr>
          <w:rFonts w:ascii="Arial" w:cs="Arial" w:eastAsia="Arial" w:hAnsi="Arial"/>
          <w:sz w:val="17"/>
          <w:szCs w:val="17"/>
          <w:color w:val="auto"/>
        </w:rPr>
        <w:t>During the year ended December 31, 2017, we reclassified losses of approximately $10 million to Interest expense, net. During the year ended December 31, 2016, we reclassified losses of approximately $2 million to Supply and Logistics segment revenues and $2 million to Interest expense, net. During the year ended December 31, 2015, we reclassified a loss of approximately $4 million to Interest expense, net. Each reclassification from AOCI to earnings was due to anticipated hedged transactions being probable of not occurring.</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125" w:right="25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80" w:hanging="652"/>
        <w:spacing w:after="0" w:line="227" w:lineRule="auto"/>
        <w:tabs>
          <w:tab w:leader="none" w:pos="660" w:val="left"/>
        </w:tabs>
        <w:numPr>
          <w:ilvl w:val="0"/>
          <w:numId w:val="115"/>
        </w:numPr>
        <w:rPr>
          <w:rFonts w:ascii="Arial" w:cs="Arial" w:eastAsia="Arial" w:hAnsi="Arial"/>
          <w:sz w:val="24"/>
          <w:szCs w:val="24"/>
          <w:color w:val="auto"/>
          <w:vertAlign w:val="superscript"/>
        </w:rPr>
      </w:pPr>
      <w:r>
        <w:rPr>
          <w:rFonts w:ascii="Arial" w:cs="Arial" w:eastAsia="Arial" w:hAnsi="Arial"/>
          <w:sz w:val="17"/>
          <w:szCs w:val="17"/>
          <w:color w:val="auto"/>
        </w:rPr>
        <w:t>Amounts in Interest expense, net include a loss of $4 million during the year ended December 31, 2016 attributable to the ineffective portion of cash flow hedges. No ineffectiveness was recognized for cash flow hedges during the years ended December 31, 2017 or 2015.</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2017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4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64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8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8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64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Derivatives designated as hedging instruments: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Total derivatives designated as hedging 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1"/>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Arial" w:cs="Arial" w:eastAsia="Arial" w:hAnsi="Arial"/>
                <w:sz w:val="18"/>
                <w:szCs w:val="18"/>
                <w:b w:val="1"/>
                <w:bCs w:val="1"/>
                <w:color w:val="auto"/>
              </w:rPr>
              <w:t>instruments:</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40" w:type="dxa"/>
            <w:vAlign w:val="bottom"/>
            <w:gridSpan w:val="2"/>
            <w:vMerge w:val="restart"/>
          </w:tcPr>
          <w:p>
            <w:pPr>
              <w:ind w:left="1640"/>
              <w:spacing w:after="0"/>
              <w:rPr>
                <w:sz w:val="20"/>
                <w:szCs w:val="20"/>
                <w:color w:val="auto"/>
              </w:rPr>
            </w:pPr>
            <w:r>
              <w:rPr>
                <w:rFonts w:ascii="Arial" w:cs="Arial" w:eastAsia="Arial" w:hAnsi="Arial"/>
                <w:sz w:val="18"/>
                <w:szCs w:val="18"/>
                <w:color w:val="auto"/>
              </w:rPr>
              <w:t>F-42</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2016 (in millions):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4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64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78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8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64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Derivatives designated as hedging instruments: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Interest rate derivatives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Total derivatives designated as hedging 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1"/>
        </w:trPr>
        <w:tc>
          <w:tcPr>
            <w:tcW w:w="38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00"/>
        </w:trPr>
        <w:tc>
          <w:tcPr>
            <w:tcW w:w="3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hedging</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7"/>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derivative transactions (other than the Preferred Distribution Rate Reset Option)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accounting policy is to offset derivative assets and liabilities executed with the same counterparty when a master netting arrangement</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4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Variation margin posted</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291</w:t>
            </w:r>
          </w:p>
        </w:tc>
      </w:tr>
      <w:tr>
        <w:trPr>
          <w:trHeight w:val="27"/>
        </w:trPr>
        <w:tc>
          <w:tcPr>
            <w:tcW w:w="36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broker receivable</w:t>
            </w:r>
          </w:p>
        </w:tc>
        <w:tc>
          <w:tcPr>
            <w:tcW w:w="4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4320" w:type="dxa"/>
            <w:vAlign w:val="bottom"/>
            <w:gridSpan w:val="2"/>
          </w:tcPr>
          <w:p>
            <w:pPr>
              <w:jc w:val="right"/>
              <w:ind w:right="2100"/>
              <w:spacing w:after="0"/>
              <w:rPr>
                <w:sz w:val="20"/>
                <w:szCs w:val="20"/>
                <w:color w:val="auto"/>
              </w:rPr>
            </w:pPr>
            <w:r>
              <w:rPr>
                <w:rFonts w:ascii="Arial" w:cs="Arial" w:eastAsia="Arial" w:hAnsi="Arial"/>
                <w:sz w:val="18"/>
                <w:szCs w:val="18"/>
                <w:color w:val="auto"/>
              </w:rPr>
              <w:t>F-43</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4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Pr>
          <w:p>
            <w:pPr>
              <w:spacing w:after="0"/>
              <w:rPr>
                <w:sz w:val="13"/>
                <w:szCs w:val="13"/>
                <w:color w:val="auto"/>
              </w:rPr>
            </w:pPr>
          </w:p>
        </w:tc>
        <w:tc>
          <w:tcPr>
            <w:tcW w:w="164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Asset Positions</w:t>
            </w:r>
          </w:p>
        </w:tc>
        <w:tc>
          <w:tcPr>
            <w:tcW w:w="18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Liability Positions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45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75"/>
        <w:spacing w:after="0" w:line="255" w:lineRule="auto"/>
        <w:rPr>
          <w:sz w:val="20"/>
          <w:szCs w:val="20"/>
          <w:color w:val="auto"/>
        </w:rPr>
      </w:pPr>
      <w:r>
        <w:rPr>
          <w:rFonts w:ascii="Arial" w:cs="Arial" w:eastAsia="Arial" w:hAnsi="Arial"/>
          <w:sz w:val="18"/>
          <w:szCs w:val="18"/>
          <w:color w:val="auto"/>
        </w:rPr>
        <w:t>As of December 31, 2017, there was a net loss of $223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December 31, 2017, we expect to reclassify a net loss of $8 million to earnings in the next twelve months. The remaining deferred loss of $215 million is expected to be reclassified to earnings through 2049. A portion of these amounts is based on market prices as of December 31, 2017;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net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rate derivatives, net</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594"/>
        <w:spacing w:after="0" w:line="264" w:lineRule="auto"/>
        <w:rPr>
          <w:sz w:val="20"/>
          <w:szCs w:val="20"/>
          <w:color w:val="auto"/>
        </w:rPr>
      </w:pPr>
      <w:r>
        <w:rPr>
          <w:rFonts w:ascii="Arial" w:cs="Arial" w:eastAsia="Arial" w:hAnsi="Arial"/>
          <w:sz w:val="18"/>
          <w:szCs w:val="18"/>
          <w:color w:val="auto"/>
        </w:rPr>
        <w:t>At December 31, 2017 and December 31, 2016,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2"/>
              </w:rPr>
              <w:t>Fair Value as of December 31,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1"/>
              </w:rPr>
              <w:t>Fair Value as of December 31, 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Preferred Distribution Rate Reset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Option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jc w:val="both"/>
        <w:ind w:left="340" w:right="100"/>
        <w:spacing w:after="0" w:line="264"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partnership agreement which is classified as an embedded derivative.</w:t>
      </w:r>
    </w:p>
    <w:p>
      <w:pPr>
        <w:spacing w:after="0" w:line="170"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The fair value of our Level 3 physical commodity contracts is based on a valuation model utilizing timing estimates, which involve management judgment. Significant changes in timing could result in a material change in fair value to our physical commodity contracts. We report unrealized gains and losses associated with these physical commodity contracts in our Consolidated Statements of Operations as Supply and Logistics segment revenues.</w:t>
      </w:r>
    </w:p>
    <w:p>
      <w:pPr>
        <w:spacing w:after="0" w:line="147"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Consolidated Statements of Operations as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gains for the period included in earnings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gains/(losses) included in earnings relating to Level 3 derivatives still held at the end of the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2017 and 2016,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 S. federal and state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 expense/(benefit):</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income tax</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income tax expense/(benefit)</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2860" w:type="dxa"/>
            <w:vAlign w:val="bottom"/>
            <w:tcBorders>
              <w:bottom w:val="single" w:sz="8" w:color="CCEEFF"/>
            </w:tcBorders>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896</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9"/>
              </w:rPr>
              <w:t>(690)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(691)</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attributable to noncontrolling interests</w:t>
            </w:r>
          </w:p>
        </w:tc>
        <w:tc>
          <w:tcPr>
            <w:tcW w:w="18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37"/>
        </w:trPr>
        <w:tc>
          <w:tcPr>
            <w:tcW w:w="4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200</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8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tax at statutory rate</w:t>
            </w:r>
          </w:p>
        </w:tc>
        <w:tc>
          <w:tcPr>
            <w:tcW w:w="188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tax impact of federal 2017 Tax Act</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rate adjustment</w:t>
            </w:r>
          </w:p>
        </w:tc>
        <w:tc>
          <w:tcPr>
            <w:tcW w:w="1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attributable to noncontrolling interests:</w:t>
            </w:r>
          </w:p>
        </w:tc>
        <w:tc>
          <w:tcPr>
            <w:tcW w:w="1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85</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withholding tax</w:t>
            </w:r>
          </w:p>
        </w:tc>
        <w:tc>
          <w:tcPr>
            <w:tcW w:w="1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860" w:type="dxa"/>
            <w:vAlign w:val="bottom"/>
            <w:tcBorders>
              <w:bottom w:val="single" w:sz="8" w:color="CCEEFF"/>
            </w:tcBorders>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937</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60" w:type="dxa"/>
            <w:vAlign w:val="bottom"/>
            <w:gridSpan w:val="2"/>
          </w:tcPr>
          <w:p>
            <w:pPr>
              <w:jc w:val="right"/>
              <w:ind w:right="1596"/>
              <w:spacing w:after="0"/>
              <w:rPr>
                <w:sz w:val="20"/>
                <w:szCs w:val="20"/>
                <w:color w:val="auto"/>
              </w:rPr>
            </w:pPr>
            <w:r>
              <w:rPr>
                <w:rFonts w:ascii="Arial" w:cs="Arial" w:eastAsia="Arial" w:hAnsi="Arial"/>
                <w:sz w:val="18"/>
                <w:szCs w:val="18"/>
                <w:color w:val="auto"/>
              </w:rPr>
              <w:t>F-47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 partnerships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1,154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Book accruals in excess of current tax deductions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1,482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1,949</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in excess of tax values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classification of deferred tax assets/(liabilities):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1,386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1,876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 and deferred credits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37"/>
        </w:trPr>
        <w:tc>
          <w:tcPr>
            <w:tcW w:w="8340" w:type="dxa"/>
            <w:vAlign w:val="bottom"/>
          </w:tcPr>
          <w:p>
            <w:pPr>
              <w:spacing w:after="0"/>
              <w:rPr>
                <w:sz w:val="20"/>
                <w:szCs w:val="20"/>
                <w:color w:val="auto"/>
              </w:rPr>
            </w:pP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1,514</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a result of the exchange of the ownership interest in AAP in connection with our IPO and all subsequent exchanges, a deferred tax asset was created.These transfers of ownership were accounted for at the historical carrying basis for GAAP accounting purposes, but were recorded at the fair market value of the Class A shares at the time of exchange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 In connection with the issuance of AAP units and PAA common units in the periods following the Simplification Transactions and the associated adjustments to partners' capital attributable to PAGP, a corresponding change to the deferred tax balance was recorded to partners’ capital. See Note 11 for additional information regarding the issuance of units by AAP and PAA.</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December 22, 2017, the Tax Cuts and Jobs Act (the “2017 Tax Act”) was signed into law. The 2017 Tax Act changed existing U.S. tax law and included numerous provisions that will affect businesses, including a decrease in the corporate federal income tax rate. Prior to the 2017 Tax Act, the value of our deferred tax asset was calculated based on the effective corporate income tax rate of 35%. As a result of the 2017 Tax Act, the value of our deferred tax asset was re-measured as of December 31, 2017 based on the new 21% corporate federal income tax rate, and the reduction in value was recognized as deferred income tax expense for the year ended December 31, 2017.</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2017, we had net operating loss carryforwards for (i) U.S. federal income tax purposes of $998 million, which will expire from 2033 to 2037, (ii) state income tax purposes of $353 million, which will expire from 2018 to 2037, and (iii) foreign income tax purposes of $9 million, which will expire from 2034 to 2036. Under the 2017 Tax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2008 through 2017. Our U.S. and state tax years are generally open to examination from 2014 to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14—Major Customers and Concentration of Credit Risk</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Marathon Petroleum Corporation and its subsidiaries accounted for 19%, 18% and 17% of our revenues for the years ended December 31, 2017, 2016 and 2015, respectively. ExxonMobil Corporation and its subsidiaries accounted for 11%, 14% and 13% of our revenues for the years ended December 31, 2017, 2016 and 2015, respectively. Phillips 66 Company and its subsidiaries accounted for 11% of our revenues in each of the years ended December 31, 2017 and 2016. No other customers accounted for 10% or more of our revenues during any of the three years ended December 31, 2017.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Ownership of our Class C Shares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December 31, 2017 and 2016, PAA owned 510,925,432 and 491,910,863,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 commencing in May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connection with the Simplification Transactions completed in November 2016, the Plains Entities entered into an Omnibus Agreement, which, among other things, provides for the following:</w:t>
      </w:r>
    </w:p>
    <w:p>
      <w:pPr>
        <w:spacing w:after="0" w:line="170" w:lineRule="exact"/>
        <w:rPr>
          <w:sz w:val="20"/>
          <w:szCs w:val="20"/>
          <w:color w:val="auto"/>
        </w:rPr>
      </w:pPr>
    </w:p>
    <w:p>
      <w:pPr>
        <w:ind w:left="660" w:right="700" w:hanging="328"/>
        <w:spacing w:after="0" w:line="308"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ability to lend proceeds of any future indebtedness incurred by us to AAP, and AAP’s corresponding ability to lend such proceeds to PAA, in each case on substantially the same terms as incurred by us.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 for discussion of the Simplification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2017, Oxy had a representative on the board of directors of our general partner and owned approximately 11% of the limited partner interests in AAP. During the three years ended December 31,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those transactions is included below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7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97"/>
        </w:trPr>
        <w:tc>
          <w:tcPr>
            <w:tcW w:w="3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37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tcPr>
          <w:p>
            <w:pPr>
              <w:spacing w:after="0"/>
              <w:rPr>
                <w:sz w:val="22"/>
                <w:szCs w:val="22"/>
                <w:color w:val="auto"/>
              </w:rPr>
            </w:pPr>
          </w:p>
        </w:tc>
        <w:tc>
          <w:tcPr>
            <w:tcW w:w="3760" w:type="dxa"/>
            <w:vAlign w:val="bottom"/>
            <w:gridSpan w:val="2"/>
            <w:vMerge w:val="restart"/>
          </w:tcPr>
          <w:p>
            <w:pPr>
              <w:jc w:val="right"/>
              <w:ind w:right="1768"/>
              <w:spacing w:after="0"/>
              <w:rPr>
                <w:sz w:val="20"/>
                <w:szCs w:val="20"/>
                <w:color w:val="auto"/>
              </w:rPr>
            </w:pPr>
            <w:r>
              <w:rPr>
                <w:rFonts w:ascii="Arial" w:cs="Arial" w:eastAsia="Arial" w:hAnsi="Arial"/>
                <w:sz w:val="18"/>
                <w:szCs w:val="18"/>
                <w:color w:val="auto"/>
              </w:rPr>
              <w:t>F-49</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960" w:type="dxa"/>
            <w:vAlign w:val="bottom"/>
          </w:tcPr>
          <w:p>
            <w:pPr>
              <w:spacing w:after="0"/>
              <w:rPr>
                <w:sz w:val="24"/>
                <w:szCs w:val="24"/>
                <w:color w:val="auto"/>
              </w:rPr>
            </w:pPr>
          </w:p>
        </w:tc>
        <w:tc>
          <w:tcPr>
            <w:tcW w:w="37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40" w:hanging="652"/>
        <w:spacing w:after="0" w:line="216" w:lineRule="auto"/>
        <w:tabs>
          <w:tab w:leader="none" w:pos="660" w:val="left"/>
        </w:tabs>
        <w:numPr>
          <w:ilvl w:val="0"/>
          <w:numId w:val="118"/>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789</w:t>
            </w:r>
          </w:p>
        </w:tc>
      </w:tr>
      <w:tr>
        <w:trPr>
          <w:trHeight w:val="297"/>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11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also have transactions with companies in which we hold an investment accounted for under the equity method of accounting (see Note 8 for information related to these investments). We recorded revenues of $3 million, $14 million and $17 million during the years ended December 31, 2017, 2016 and 2015, respectively. During the three years ended December 31, 2017, we utilized transportation services and purchased petroleum products provided by these companies. Costs related to these services totaled $434 million, $209 million and $164 million for the years ended December 31, 2017, 2016 and 2015, respectively. These transactions were conducted at posted tariff rates or contracted rates or prices that we believe approximate market.</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Receivables from our equity method investees totaled $26 million and $39 million at December 31, 2017 and 2016, respectively, and primarily included amounts related to transportation services. In addition, at December 31, 2016, we had prepaid tariff costs related to our equity method investees of $14 million. Accounts payable to our equity method investees were $41 million and $35 million at December 31, 2017 and 2016, respectively, and primarily included amounts related to transportation services.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Series A Preferred Unit Issuance</w:t>
      </w:r>
    </w:p>
    <w:p>
      <w:pPr>
        <w:spacing w:after="0" w:line="11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January 2016, PAA completed a private placement of Series A preferred units. Certain of the purchasers of the PAA Series A preferred units or their affiliates are related parties. Kayne Anderson Capital Advisors, L.P. and certain of its affiliates and an affiliate of The Energy Minerals Group hold ownership interests in AAP. In addition, certain of the current directors of our general partner are affiliated with certain of the purchasers. See Note 11 for additional information about the Series A preferred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and PAA Long-Term Incentive Plan Awards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of equity-classified LTIP awards is calculated based on the closing market price of the underlying PAGP share or PAA unit on the respective grant dates and adjusted for the present value of any distributions that are estimated to occur on the underlying shares or units over the vesting period that will not be received by the award recipient. This fair value is recognized as compensation expense over the service period.</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LTIP awards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expense in the period that the probability assessment changes. This is necessary to bring the accrued obligation associated with these awards up to the level it would be if we had been accruing for these awards since the grant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2017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LTIP</w:t>
            </w:r>
          </w:p>
        </w:tc>
        <w:tc>
          <w:tcPr>
            <w:tcW w:w="120" w:type="dxa"/>
            <w:vAlign w:val="bottom"/>
            <w:vMerge w:val="restart"/>
          </w:tcPr>
          <w:p>
            <w:pPr>
              <w:spacing w:after="0"/>
              <w:rPr>
                <w:sz w:val="14"/>
                <w:szCs w:val="14"/>
                <w:color w:val="auto"/>
              </w:rPr>
            </w:pPr>
          </w:p>
        </w:tc>
        <w:tc>
          <w:tcPr>
            <w:tcW w:w="2260" w:type="dxa"/>
            <w:vAlign w:val="bottom"/>
          </w:tcPr>
          <w:p>
            <w:pPr>
              <w:jc w:val="right"/>
              <w:ind w:right="895"/>
              <w:spacing w:after="0"/>
              <w:rPr>
                <w:sz w:val="20"/>
                <w:szCs w:val="20"/>
                <w:color w:val="auto"/>
              </w:rPr>
            </w:pPr>
            <w:r>
              <w:rPr>
                <w:rFonts w:ascii="Arial" w:cs="Arial" w:eastAsia="Arial" w:hAnsi="Arial"/>
                <w:sz w:val="14"/>
                <w:szCs w:val="14"/>
                <w:b w:val="1"/>
                <w:bCs w:val="1"/>
                <w:color w:val="auto"/>
              </w:rPr>
              <w:t>LTIP</w:t>
            </w:r>
          </w:p>
        </w:tc>
        <w:tc>
          <w:tcPr>
            <w:tcW w:w="0" w:type="dxa"/>
            <w:vAlign w:val="bottom"/>
          </w:tcPr>
          <w:p>
            <w:pPr>
              <w:spacing w:after="0"/>
              <w:rPr>
                <w:sz w:val="1"/>
                <w:szCs w:val="1"/>
                <w:color w:val="auto"/>
              </w:rPr>
            </w:pPr>
          </w:p>
        </w:tc>
      </w:tr>
      <w:tr>
        <w:trPr>
          <w:trHeight w:val="192"/>
        </w:trPr>
        <w:tc>
          <w:tcPr>
            <w:tcW w:w="8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GP Holdings, L.P. Long-Term Incentive Plan</w:t>
            </w: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Plains All American 2013 Long-Term Incentive Plan</w:t>
            </w:r>
          </w:p>
        </w:tc>
        <w:tc>
          <w:tcPr>
            <w:tcW w:w="2260" w:type="dxa"/>
            <w:vAlign w:val="bottom"/>
          </w:tcPr>
          <w:p>
            <w:pPr>
              <w:jc w:val="right"/>
              <w:ind w:right="3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All American PNG Successor Long-Term Incentive Plan</w:t>
            </w: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26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Although other types of awards are contemplated under certain of the LTIPs, currently outstanding awards are limited to “phantom units,” which mature into the right to receive Class A shares of PAGP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PAGP Class A share or PAA common unit. The DERs terminate with the vesting or forfeiture of the underlying LTIP award.</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December 31, 2017, 7.3 million PAA LTIP awards and less than 0.1 million PAGP LTIP awards were outstanding. Of this amount, 2.6 million PAA LTIP awards and less than 0.1 million PAGP LTIP awards include DERs. The outstanding and probable LTIP awards are expected to vest at various dates between January 1, 2018 and December 31, 2022.</w:t>
      </w:r>
    </w:p>
    <w:p>
      <w:pPr>
        <w:spacing w:after="0" w:line="181"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Our accrued liability at December 31, 2017 related to all outstanding liability-classified LTIP awards and DERs was $27 million, of which $15 million was classified as short-term and $12 million was classified as long-term. These short- and long-term accrued LTIP liabilities are reflected in “Accounts payable and accrued liabilities” and “Other long-term liabilities and deferred credits,” respectively, on our Consolidated Balance Sheets. At December 31, 2016, the accrued liability was $38 million, of which $25 million was classified as short-term and $13 million was classified as long-term.</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Activity for PAA LTIP awards under our equity-indexed compensation plans denominated in PAA units is summarized in the following table (units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(2)</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0" w:type="dxa"/>
            <w:vAlign w:val="bottom"/>
          </w:tcPr>
          <w:p>
            <w:pPr>
              <w:jc w:val="center"/>
              <w:ind w:right="513"/>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tcPr>
          <w:p>
            <w:pPr>
              <w:jc w:val="center"/>
              <w:ind w:right="49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75"/>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43"/>
        </w:trPr>
        <w:tc>
          <w:tcPr>
            <w:tcW w:w="8300" w:type="dxa"/>
            <w:vAlign w:val="bottom"/>
            <w:gridSpan w:val="3"/>
          </w:tcPr>
          <w:p>
            <w:pPr>
              <w:ind w:left="180"/>
              <w:spacing w:after="0"/>
              <w:rPr>
                <w:sz w:val="20"/>
                <w:szCs w:val="20"/>
                <w:color w:val="auto"/>
              </w:rPr>
            </w:pPr>
            <w:r>
              <w:rPr>
                <w:rFonts w:ascii="Arial" w:cs="Arial" w:eastAsia="Arial" w:hAnsi="Arial"/>
                <w:sz w:val="18"/>
                <w:szCs w:val="18"/>
                <w:color w:val="auto"/>
              </w:rPr>
              <w:t>Cancelled or 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43"/>
        </w:trPr>
        <w:tc>
          <w:tcPr>
            <w:tcW w:w="8300" w:type="dxa"/>
            <w:vAlign w:val="bottom"/>
            <w:gridSpan w:val="3"/>
          </w:tcPr>
          <w:p>
            <w:pPr>
              <w:ind w:left="180"/>
              <w:spacing w:after="0"/>
              <w:rPr>
                <w:sz w:val="20"/>
                <w:szCs w:val="20"/>
                <w:color w:val="auto"/>
              </w:rPr>
            </w:pPr>
            <w:r>
              <w:rPr>
                <w:rFonts w:ascii="Arial" w:cs="Arial" w:eastAsia="Arial" w:hAnsi="Arial"/>
                <w:sz w:val="18"/>
                <w:szCs w:val="18"/>
                <w:color w:val="auto"/>
              </w:rPr>
              <w:t>Modified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Outstanding at December 31, 2016</w:t>
            </w:r>
          </w:p>
        </w:tc>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318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86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Granted</w:t>
            </w: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43"/>
        </w:trPr>
        <w:tc>
          <w:tcPr>
            <w:tcW w:w="8300" w:type="dxa"/>
            <w:vAlign w:val="bottom"/>
            <w:gridSpan w:val="3"/>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Modified</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8300" w:type="dxa"/>
            <w:vAlign w:val="bottom"/>
            <w:gridSpan w:val="3"/>
          </w:tcPr>
          <w:p>
            <w:pPr>
              <w:ind w:left="180"/>
              <w:spacing w:after="0"/>
              <w:rPr>
                <w:sz w:val="20"/>
                <w:szCs w:val="20"/>
                <w:color w:val="auto"/>
              </w:rPr>
            </w:pPr>
            <w:r>
              <w:rPr>
                <w:rFonts w:ascii="Arial" w:cs="Arial" w:eastAsia="Arial" w:hAnsi="Arial"/>
                <w:sz w:val="18"/>
                <w:szCs w:val="18"/>
                <w:color w:val="auto"/>
              </w:rPr>
              <w:t>Cancelled or 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tcBorders>
              <w:bottom w:val="single" w:sz="8" w:color="auto"/>
            </w:tcBorders>
          </w:tcPr>
          <w:p>
            <w:pPr>
              <w:spacing w:after="0"/>
              <w:rPr>
                <w:sz w:val="20"/>
                <w:szCs w:val="20"/>
                <w:color w:val="auto"/>
              </w:rPr>
            </w:pPr>
          </w:p>
        </w:tc>
        <w:tc>
          <w:tcPr>
            <w:tcW w:w="4620" w:type="dxa"/>
            <w:vAlign w:val="bottom"/>
            <w:gridSpan w:val="2"/>
            <w:vMerge w:val="restart"/>
          </w:tcPr>
          <w:p>
            <w:pPr>
              <w:ind w:left="1860"/>
              <w:spacing w:after="0"/>
              <w:rPr>
                <w:sz w:val="20"/>
                <w:szCs w:val="20"/>
                <w:color w:val="auto"/>
              </w:rPr>
            </w:pPr>
            <w:r>
              <w:rPr>
                <w:rFonts w:ascii="Arial" w:cs="Arial" w:eastAsia="Arial" w:hAnsi="Arial"/>
                <w:sz w:val="18"/>
                <w:szCs w:val="18"/>
                <w:color w:val="auto"/>
              </w:rPr>
              <w:t>F-51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680" w:type="dxa"/>
            <w:vAlign w:val="bottom"/>
          </w:tcPr>
          <w:p>
            <w:pPr>
              <w:spacing w:after="0"/>
              <w:rPr>
                <w:sz w:val="24"/>
                <w:szCs w:val="24"/>
                <w:color w:val="auto"/>
              </w:rPr>
            </w:pPr>
          </w:p>
        </w:tc>
        <w:tc>
          <w:tcPr>
            <w:tcW w:w="46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AAP Management Units or PAGP LTIP awards.</w:t>
      </w:r>
    </w:p>
    <w:p>
      <w:pPr>
        <w:spacing w:after="0" w:line="98" w:lineRule="exact"/>
        <w:rPr>
          <w:rFonts w:ascii="Arial" w:cs="Arial" w:eastAsia="Arial" w:hAnsi="Arial"/>
          <w:sz w:val="25"/>
          <w:szCs w:val="25"/>
          <w:color w:val="auto"/>
          <w:vertAlign w:val="superscript"/>
        </w:rPr>
      </w:pPr>
    </w:p>
    <w:p>
      <w:pPr>
        <w:jc w:val="both"/>
        <w:ind w:left="660" w:right="360" w:hanging="652"/>
        <w:spacing w:after="0" w:line="260" w:lineRule="auto"/>
        <w:tabs>
          <w:tab w:leader="none" w:pos="660" w:val="left"/>
        </w:tabs>
        <w:numPr>
          <w:ilvl w:val="0"/>
          <w:numId w:val="119"/>
        </w:numPr>
        <w:rPr>
          <w:rFonts w:ascii="Arial" w:cs="Arial" w:eastAsia="Arial" w:hAnsi="Arial"/>
          <w:sz w:val="22"/>
          <w:szCs w:val="22"/>
          <w:color w:val="auto"/>
          <w:vertAlign w:val="superscript"/>
        </w:rPr>
      </w:pPr>
      <w:r>
        <w:rPr>
          <w:rFonts w:ascii="Arial" w:cs="Arial" w:eastAsia="Arial" w:hAnsi="Arial"/>
          <w:sz w:val="16"/>
          <w:szCs w:val="16"/>
          <w:color w:val="auto"/>
        </w:rPr>
        <w:t>Approximately 0.6 million, 0.5 million and 0.5 million PAA common units were issued, net of tax withholding of approximately 0.2 million, 0.3 million and 0.3 million units during 2017, 2016 and 2015, respectively, in connection with the settlement of vested awards. The remaining PAA awards (approximately 0.9 million, 1.1 million and 1.3 million units) that vested during 2017, 2016 and 2015, respectively, were settled in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August 2007, the owners of AAP authorized the issuance of AAP Management Units (a profits interest) to provide additional long-term incentives and encourage retention for certain members of our senior management. This plan has been discontinued and there will be no new grants of AAP Management Units; however, as of December 31, 2017, 0.8 million outstanding AAP Management Units were unearned. These AAP Management Units will become earned based on the attainment of certain PAA distribution levels and additional performance conditions based on distributable cash flow measures determined by management. Once earned, PAA will issue to AAP approximately 0.941 PAA common units for each AAP Management Unit, and each AAP Management Unit will be entitled to a distribution equal to approximately 94.1% of the distribution paid by AAP to an AAP unit on a quarterly basis. Once vested, each AAP Management Unit holder is entitled to convert his or her AAP Management Units into AAP units and a like number of our Class B shares based on a conversion ratio of approximately 0.941 AAP units and Class B shares for each AAP Management Unit. Following any such conversion, the holder will have the Exchange Right for our Class A shares and the Redemption Right for PAA common units. See Note 11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Equity-Indexed Compensation Plan Information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our “equity-indexed compensation plans.” The table below summarizes the expense recognized and the value of vested LTIP awards (settled in PAA common units, PAGP shares and cash) under our equity-indexed compensation plans and includes both liability-classified and equity-classified awards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Equity-indexed compensation expense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LTIP unit- or share-settled vestings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LTIP cash-settled vestings</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7"/>
        </w:trPr>
        <w:tc>
          <w:tcPr>
            <w:tcW w:w="6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Based on the December 31, 2017 fair value measurement and probability assessment regarding future distributions, we expect to recognize $76 million of additional expense over the life of outstanding awards related to the remaining unrecognized fair value. Actual amounts may differ materially as a result of a change in the market price of PAA’s common units and PAGP’s Class A shares and/or probability assessments regarding future distributions. We estimate that the remaining fair value will be recognized in expense as shown below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ind w:right="234"/>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center"/>
              <w:ind w:right="274"/>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80" w:hanging="652"/>
        <w:spacing w:after="0" w:line="216" w:lineRule="auto"/>
        <w:tabs>
          <w:tab w:leader="none" w:pos="66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2017 are summarized below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70"/>
        </w:trPr>
        <w:tc>
          <w:tcPr>
            <w:tcW w:w="40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1,030</w:t>
            </w:r>
          </w:p>
        </w:tc>
      </w:tr>
      <w:tr>
        <w:trPr>
          <w:trHeight w:val="270"/>
        </w:trPr>
        <w:tc>
          <w:tcPr>
            <w:tcW w:w="4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1,063</w:t>
            </w: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200" w:hanging="652"/>
        <w:spacing w:after="0" w:line="232" w:lineRule="auto"/>
        <w:tabs>
          <w:tab w:leader="none" w:pos="660" w:val="left"/>
        </w:tabs>
        <w:numPr>
          <w:ilvl w:val="0"/>
          <w:numId w:val="121"/>
        </w:numPr>
        <w:rPr>
          <w:rFonts w:ascii="Arial" w:cs="Arial" w:eastAsia="Arial" w:hAnsi="Arial"/>
          <w:sz w:val="25"/>
          <w:szCs w:val="25"/>
          <w:color w:val="auto"/>
          <w:vertAlign w:val="superscript"/>
        </w:rPr>
      </w:pPr>
      <w:r>
        <w:rPr>
          <w:rFonts w:ascii="Arial" w:cs="Arial" w:eastAsia="Arial" w:hAnsi="Arial"/>
          <w:sz w:val="18"/>
          <w:szCs w:val="18"/>
          <w:color w:val="auto"/>
        </w:rPr>
        <w:t>Includes operating and capital leases as defined by FASB guidance, as well as obligations for rights-of-way easements. Leases are primarily for (i) railcars, (ii) land and surface rentals, (iii) office buildings, (iv) pipeline assets and (v) vehicles and trailers. We recognize expense on a straight-line basis over the life of the agreement, as applicable. Lease expense for 2017, 2016 and 2015 was $207 million, $198 million and $164 million, respectively.</w:t>
      </w:r>
    </w:p>
    <w:p>
      <w:pPr>
        <w:spacing w:after="0" w:line="202" w:lineRule="exact"/>
        <w:rPr>
          <w:rFonts w:ascii="Arial" w:cs="Arial" w:eastAsia="Arial" w:hAnsi="Arial"/>
          <w:sz w:val="25"/>
          <w:szCs w:val="25"/>
          <w:color w:val="auto"/>
          <w:vertAlign w:val="superscript"/>
        </w:rPr>
      </w:pPr>
    </w:p>
    <w:p>
      <w:pPr>
        <w:ind w:left="660" w:right="200" w:hanging="652"/>
        <w:spacing w:after="0" w:line="235" w:lineRule="auto"/>
        <w:tabs>
          <w:tab w:leader="none" w:pos="660" w:val="left"/>
        </w:tabs>
        <w:numPr>
          <w:ilvl w:val="0"/>
          <w:numId w:val="121"/>
        </w:numPr>
        <w:rPr>
          <w:rFonts w:ascii="Arial" w:cs="Arial" w:eastAsia="Arial" w:hAnsi="Arial"/>
          <w:sz w:val="25"/>
          <w:szCs w:val="25"/>
          <w:color w:val="auto"/>
          <w:vertAlign w:val="superscript"/>
        </w:rPr>
      </w:pPr>
      <w:r>
        <w:rPr>
          <w:rFonts w:ascii="Arial" w:cs="Arial" w:eastAsia="Arial" w:hAnsi="Arial"/>
          <w:sz w:val="18"/>
          <w:szCs w:val="18"/>
          <w:color w:val="auto"/>
        </w:rPr>
        <w:t>Primarily includes third-party storage and transportation agreements and pipeline throughput agreements, as well as approximately $760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 Expense associated with these storage, transportation and throughput agreements was approximately $197 million, $157 million and $85 million for 2017,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-1378585</wp:posOffset>
            </wp:positionV>
            <wp:extent cx="23323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December 31, 2017, our estimated undiscounted reserve for environmental liabilities (including liabilities related to the Line 901 incident, as discussed further below) totaled $162 million, of which $72 million was classified as short-term and $90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Consolidated Balance Sheets. At December 31, 2017, we had recorded receivables totaling $55 million for amounts probable of recovery under insurance and from third parties under indemnification agreements, of which $29 million was reflected in “Trade accounts receivable and other receivables, net” and $26 million was reflected in “Other long-term assets, net” on our Consolidated Balance Sheet. At December 31, 2016, we had recorded $56 million of such receivables, of which $39 million was reflected in “Trade accounts receivable and other receivables, net” and $17 million was reflected in “Other long-term assets, net” on our Consolidated Balance Sheet.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125" w:right="2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6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By letter dated September 21, 2017, PHMSA issued a Final Order in this matter withdrawing one alleged violation and affirming a second. With regard to the second violation, PHMSA further determined that compliance had been achieved and included no compliance terms related to it in the Final Order. We therefore consider this matter closed.</w:t>
      </w:r>
    </w:p>
    <w:p>
      <w:pPr>
        <w:spacing w:after="0" w:line="178"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violated. On May 16, 2016, PAA and one of its employees were charged by a California state grand jury, pursuant to an</w:t>
      </w:r>
    </w:p>
    <w:p>
      <w:pPr>
        <w:spacing w:after="0" w:line="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indictment filed in California Superior Court, Santa Barbara County (the “May 2016 Indictment”), with alleged violations of California law in connection with the Line 901 incident. The May 2016 Indictment included a total of 46 counts. On July 28, 2016, at an arraignment hearing held in California Superior Court in Santa Barbara County, PAA pled not guilty to all counts. Since May of 2016, 33 of the criminal charges against PAA (including one felony charge) and all of the criminal charges against our employee, have been dismissed. Seven of the remaining 13 charges are misdemeanor charges relating to wildlife allegedly taken as a result of the accidental release. The remaining six counts relate to the release of crude oil or reporting of the release. PAA believes that the criminal charges (including the three felony charges) are unwarranted and that neither PAA nor any of its employees engaged in any criminal behavior at any time in connection with this accident. PAA continues to vigorously defend itself against the charges.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125" w:right="2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actions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two sub-classes of claimants and denied certification of the other proposed sub-classes. The sub-classes that have been certified include (i) commercial fishermen who landed fish in certain specified fishing blocks in the waters adjacent to Santa Barbara County or persons or businesses who resold commercial seafood landed in such areas, and (ii) individuals or businesses who were employed by or had contracts with certain designated oil platforms and related on shore processing facilities in the vicinity of the release as of the date of the release. We are appealing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6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have refiled their complaint and we are opposing their claims. Consistent with and subject to the terms of our governing organizational documents (and to the extent applicable, insurance policies), we are indemnifying and funding the defense costs of our officers and directors in connection with this lawsuit; we are also indemnifying and funding the defense costs of our underwriters pursuant to the terms of the underwriting agreements we previously entered into with such underwriters.</w:t>
      </w:r>
    </w:p>
    <w:p>
      <w:pPr>
        <w:spacing w:after="0" w:line="16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addition, four unitholder derivative lawsuits have been filed by certain purported investors in PAA against PAA,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and subsequently dismissed by the Court.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remaining lawsuit claim that PAA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73"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25"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Taking the foregoing into account, as of December 31, 2017,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December 31, 2017, we had a remaining undiscounted gross liability of $94 million related to this event, of which approximately $62 million is presented as a current liability in “Accounts payable and accrued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2017, we had collected, subject to customary reservations, $174 million out of the approximate $220 million of release costs that we believe are probable of recovery from insurance carriers, net of deductibles. Therefore, as of December 31, 2017, we have recognized a receivable of approximately $47 million for the portion of the release costs that we believe is probable of recovery from insurance, net of deductibles and amounts already collected. Of this amount, approximately $22 million is recognized as a current asset in “Trade accounts receivable and other receivables, net” on our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5"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In early March 2017, PHMSA issued a final order that concluded that we followed our pipeline excavation/ditching and backfill procedures, but maintained that we failed to carry out our written damage prevention program and imposed a civil penalty of $184,300 that was promptly paid.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25"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2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125" w:right="2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Data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1020" w:type="dxa"/>
            <w:vAlign w:val="bottom"/>
          </w:tcPr>
          <w:p>
            <w:pPr>
              <w:jc w:val="center"/>
              <w:ind w:right="172"/>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14"/>
                <w:szCs w:val="1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center"/>
              <w:ind w:left="593"/>
              <w:spacing w:after="0"/>
              <w:rPr>
                <w:sz w:val="20"/>
                <w:szCs w:val="20"/>
                <w:color w:val="auto"/>
              </w:rPr>
            </w:pPr>
            <w:r>
              <w:rPr>
                <w:rFonts w:ascii="Arial" w:cs="Arial" w:eastAsia="Arial" w:hAnsi="Arial"/>
                <w:sz w:val="14"/>
                <w:szCs w:val="14"/>
                <w:b w:val="1"/>
                <w:bCs w:val="1"/>
                <w:color w:val="auto"/>
                <w:w w:val="92"/>
              </w:rPr>
              <w:t>(in millions, except per share data)</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4"/>
              </w:rPr>
              <w:t>2017</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6,667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6,078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5,873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7,605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income/(loss) attributable to PAGP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and diluted net income/(loss)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5"/>
                <w:szCs w:val="25"/>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0.55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0.55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0.55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0.30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w w:val="84"/>
              </w:rPr>
              <w:t>2016</w:t>
            </w:r>
          </w:p>
        </w:tc>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5,952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286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income/(loss) attributable to PAGP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Basic net income/(loss) per Class A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0.41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net income/(loss)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341"/>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5"/>
                <w:szCs w:val="25"/>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0.62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0.62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0.62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0.55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3323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15"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The sum of the four quarters may not equal the total year due to rounding.</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22"/>
        </w:numPr>
        <w:rPr>
          <w:rFonts w:ascii="Arial" w:cs="Arial" w:eastAsia="Arial" w:hAnsi="Arial"/>
          <w:sz w:val="22"/>
          <w:szCs w:val="22"/>
          <w:color w:val="auto"/>
          <w:vertAlign w:val="superscript"/>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in the period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19—Operating Segments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w:t>
      </w:r>
    </w:p>
    <w:p>
      <w:pPr>
        <w:spacing w:after="0" w:line="16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Segment adjusted EBITDA excludes depreciation and amortization. Maintenance capital consists of capital expenditures for the replacement and/or refurbishment of partially or fully depreciated assets in order to maintain the operating and/or earnings capacity of our existing assets.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125"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 Repair and maintenance expenditures incurred in order to maintain the day to day operation of our existing assets are charged to expense as incurred.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13,362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7,593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3"/>
                <w:szCs w:val="23"/>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3"/>
                <w:szCs w:val="23"/>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954</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11,863</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26,103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F-60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24,142</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71" w:lineRule="auto"/>
        <w:tabs>
          <w:tab w:leader="none" w:pos="660" w:val="left"/>
        </w:tabs>
        <w:numPr>
          <w:ilvl w:val="0"/>
          <w:numId w:val="123"/>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Consolidated Statements of Operations. This presentation is consistent with the information provided to our CODM.</w:t>
      </w:r>
    </w:p>
    <w:p>
      <w:pPr>
        <w:spacing w:after="0" w:line="71" w:lineRule="exact"/>
        <w:rPr>
          <w:rFonts w:ascii="Arial" w:cs="Arial" w:eastAsia="Arial" w:hAnsi="Arial"/>
          <w:sz w:val="22"/>
          <w:szCs w:val="22"/>
          <w:color w:val="auto"/>
          <w:vertAlign w:val="superscript"/>
        </w:rPr>
      </w:pPr>
    </w:p>
    <w:p>
      <w:pPr>
        <w:ind w:left="660" w:right="360" w:hanging="652"/>
        <w:spacing w:after="0" w:line="226" w:lineRule="auto"/>
        <w:tabs>
          <w:tab w:leader="none" w:pos="66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Consolidated Statements of Operations. Intersegment sales are conducted at posted tariff rates, rates similar to those charged to third parties or rates that we believe approximate market.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2,081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r>
      <w:tr>
        <w:trPr>
          <w:trHeight w:val="270"/>
        </w:trPr>
        <w:tc>
          <w:tcPr>
            <w:tcW w:w="63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w w:val="94"/>
              </w:rPr>
              <w:t xml:space="preserve">Gains/(losses) from derivative activities net of inventory valuation adjustments </w:t>
            </w:r>
            <w:r>
              <w:rPr>
                <w:rFonts w:ascii="Arial" w:cs="Arial" w:eastAsia="Arial" w:hAnsi="Arial"/>
                <w:sz w:val="25"/>
                <w:szCs w:val="25"/>
                <w:color w:val="auto"/>
                <w:w w:val="94"/>
                <w:vertAlign w:val="superscript"/>
              </w:rPr>
              <w:t>(3)</w:t>
            </w:r>
          </w:p>
        </w:tc>
        <w:tc>
          <w:tcPr>
            <w:tcW w:w="8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8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6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6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6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24"/>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or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124"/>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24"/>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line="259" w:lineRule="auto"/>
        <w:tabs>
          <w:tab w:leader="none" w:pos="660" w:val="left"/>
        </w:tabs>
        <w:numPr>
          <w:ilvl w:val="0"/>
          <w:numId w:val="125"/>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Amounts for the year prior to 2016 were not significant to segment adjusted EBITDA ($13 million for the year ended December 31, 2015).</w:t>
      </w:r>
    </w:p>
    <w:p>
      <w:pPr>
        <w:spacing w:after="0" w:line="25"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00" w:hanging="652"/>
        <w:spacing w:after="0" w:line="214" w:lineRule="auto"/>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17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120" w:hanging="652"/>
        <w:spacing w:after="0" w:line="232" w:lineRule="auto"/>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for additional discussion. An adjustment for these non-recurring expenses is included in the calculation of segment adjusted EBITDA for the year ended December 31, 2017 as our CODM does not view such expenses as integral to understanding our core segment operating performance. Acquisition-related expenses for the 2016 and 2015 periods were not significant to segment adjusted EBITDA.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21,443</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18,701</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4,451</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26,223</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16,055</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3,895</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5540" w:right="5480" w:hanging="5532"/>
        <w:spacing w:after="0" w:line="992" w:lineRule="auto"/>
        <w:tabs>
          <w:tab w:leader="none" w:pos="652" w:val="left"/>
        </w:tabs>
        <w:numPr>
          <w:ilvl w:val="0"/>
          <w:numId w:val="127"/>
        </w:numPr>
        <w:rPr>
          <w:rFonts w:ascii="Arial" w:cs="Arial" w:eastAsia="Arial" w:hAnsi="Arial"/>
          <w:sz w:val="22"/>
          <w:szCs w:val="22"/>
          <w:color w:val="auto"/>
          <w:vertAlign w:val="superscript"/>
        </w:rPr>
      </w:pPr>
      <w:r>
        <w:rPr>
          <w:rFonts w:ascii="Arial" w:cs="Arial" w:eastAsia="Arial" w:hAnsi="Arial"/>
          <w:sz w:val="16"/>
          <w:szCs w:val="16"/>
          <w:color w:val="auto"/>
        </w:rPr>
        <w:t>Excludes long-term derivative assets and long-term deferred tax assets. F-63</w:t>
      </w:r>
    </w:p>
    <w:p>
      <w:pPr>
        <w:sectPr>
          <w:pgSz w:w="11900" w:h="16838" w:orient="portrait"/>
          <w:cols w:equalWidth="0" w:num="1">
            <w:col w:w="11360"/>
          </w:cols>
          <w:pgMar w:left="240" w:top="125" w:right="2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tcPr>
          <w:p>
            <w:pPr>
              <w:ind w:left="1900"/>
              <w:spacing w:after="0"/>
              <w:rPr>
                <w:sz w:val="20"/>
                <w:szCs w:val="20"/>
                <w:color w:val="auto"/>
              </w:rPr>
            </w:pPr>
            <w:r>
              <w:rPr>
                <w:rFonts w:ascii="Arial" w:cs="Arial" w:eastAsia="Arial" w:hAnsi="Arial"/>
                <w:sz w:val="18"/>
                <w:szCs w:val="18"/>
                <w:b w:val="1"/>
                <w:bCs w:val="1"/>
                <w:color w:val="auto"/>
                <w:w w:val="91"/>
              </w:rPr>
              <w:t>Exhibit 21.1</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4080" w:type="dxa"/>
            <w:vAlign w:val="bottom"/>
          </w:tcPr>
          <w:p>
            <w:pPr>
              <w:spacing w:after="0"/>
              <w:rPr>
                <w:sz w:val="19"/>
                <w:szCs w:val="19"/>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8"/>
              </w:rPr>
              <w:t>PLAINS GP HOLDINGS, L.P.</w:t>
            </w:r>
          </w:p>
        </w:tc>
      </w:tr>
      <w:tr>
        <w:trPr>
          <w:trHeight w:val="230"/>
        </w:trPr>
        <w:tc>
          <w:tcPr>
            <w:tcW w:w="4080" w:type="dxa"/>
            <w:vAlign w:val="bottom"/>
          </w:tcPr>
          <w:p>
            <w:pPr>
              <w:spacing w:after="0"/>
              <w:rPr>
                <w:sz w:val="20"/>
                <w:szCs w:val="20"/>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As of 1/1/2018</w:t>
            </w:r>
            <w:r>
              <w:rPr>
                <w:rFonts w:ascii="Arial" w:cs="Arial" w:eastAsia="Arial" w:hAnsi="Arial"/>
                <w:sz w:val="18"/>
                <w:szCs w:val="18"/>
                <w:color w:val="auto"/>
                <w:w w:val="92"/>
              </w:rPr>
              <w:t>)</w:t>
            </w:r>
          </w:p>
        </w:tc>
      </w:tr>
      <w:tr>
        <w:trPr>
          <w:trHeight w:val="33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04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Aurora Pipeline Company Ltd.</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Bakersfield Crude Terminal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Eagle Ford Crude Terminal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Lone Star Trucking,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Niobrara Crude Terminal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Finance Corp.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GP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Luxembourg S.a.r.l.</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Midstream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Canada ULC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Alberta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Natural Gas Storage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Storage,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PAA/Vulcan Gas Storage,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Energy Group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Pacific L.A. Marine Terminal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Pipeline System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PACONO1,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PACONO3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PICSCO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Pine Prairie Energy Center,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AAP,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All American Emergency Relief Fund, Inc.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All American GP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All American Pipeline,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Capline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Gas Solutions,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GP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LPG Services GP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LPG Services,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Bondholder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Marketing Canada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GP Inc.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Marketing,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Canada ULC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Midstream Luxembourg S.a.r.l.</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Superior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Pipeline,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Pipeline Montana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Products Terminals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Rail Holdings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South Texas Gathering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Terminals North Dakota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Towing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Plains West Coast Terminals LLC</w:t>
            </w:r>
          </w:p>
        </w:tc>
        <w:tc>
          <w:tcPr>
            <w:tcW w:w="4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PLPGS Empress U.S. Corporation</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PMC (Nova Scotia) Company</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Nova Scotia</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PNG Marketing,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PNGS GP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PPEC Bondholder,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Rancho LPG Holdings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Rocky Mountain Pipeline Montana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Rocky Mountain Pipeline System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SG Resources Mississippi,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James Rail Terminal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Sunrise Pipeline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Van Hook Crude Terminal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333-200596, 333-210067, 333-214964, 333-216194, and 333-218463) and on Form S-8 (No. 333-193141) of Plains GP Holdings, L.P. of our report dated February 26, 2018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58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80" w:hanging="724"/>
        <w:spacing w:after="0" w:line="264" w:lineRule="auto"/>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40" w:hanging="724"/>
        <w:spacing w:after="0" w:line="342" w:lineRule="auto"/>
        <w:tabs>
          <w:tab w:leader="none" w:pos="13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80" w:hanging="724"/>
        <w:spacing w:after="0" w:line="264" w:lineRule="auto"/>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40" w:hanging="724"/>
        <w:spacing w:after="0" w:line="342" w:lineRule="auto"/>
        <w:tabs>
          <w:tab w:leader="none" w:pos="13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left="1380" w:right="140" w:hanging="724"/>
        <w:spacing w:after="0" w:line="264" w:lineRule="auto"/>
        <w:tabs>
          <w:tab w:leader="none" w:pos="13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2017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380" w:right="420" w:hanging="724"/>
        <w:spacing w:after="0" w:line="277" w:lineRule="auto"/>
        <w:tabs>
          <w:tab w:leader="none" w:pos="13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26, 2018</w:t>
      </w:r>
    </w:p>
    <w:p>
      <w:pPr>
        <w:sectPr>
          <w:pgSz w:w="11900" w:h="16838" w:orient="portrait"/>
          <w:cols w:equalWidth="0" w:num="1">
            <w:col w:w="11420"/>
          </w:cols>
          <w:pgMar w:left="240" w:top="580"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left="1380" w:right="140" w:hanging="724"/>
        <w:spacing w:after="0" w:line="264" w:lineRule="auto"/>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2017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380" w:right="420" w:hanging="724"/>
        <w:spacing w:after="0" w:line="277" w:lineRule="auto"/>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26,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x"/>
      <w:numFmt w:val="bullet"/>
      <w:start w:val="1"/>
    </w:lvl>
  </w:abstractNum>
  <w:abstractNum w:abstractNumId="1">
    <w:nsid w:val="15014ACB"/>
    <w:multiLevelType w:val="hybridMultilevel"/>
    <w:lvl w:ilvl="0">
      <w:lvlJc w:val="left"/>
      <w:lvlText w:val="o"/>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1)"/>
      <w:numFmt w:val="lowerRoman"/>
      <w:start w:val="2"/>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1)"/>
      <w:numFmt w:val="decimal"/>
      <w:start w:val="1"/>
    </w:lvl>
  </w:abstractNum>
  <w:abstractNum w:abstractNumId="7">
    <w:nsid w:val="168E121F"/>
    <w:multiLevelType w:val="hybridMultilevel"/>
    <w:lvl w:ilvl="0">
      <w:lvlJc w:val="left"/>
      <w:lvlText w:val="(%1)"/>
      <w:numFmt w:val="decimal"/>
      <w:start w:val="2"/>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1)"/>
      <w:numFmt w:val="decimal"/>
      <w:start w:val="1"/>
    </w:lvl>
  </w:abstractNum>
  <w:abstractNum w:abstractNumId="13">
    <w:nsid w:val="51D9C564"/>
    <w:multiLevelType w:val="hybridMultilevel"/>
    <w:lvl w:ilvl="0">
      <w:lvlJc w:val="left"/>
      <w:lvlText w:val="(%1)"/>
      <w:numFmt w:val="decimal"/>
      <w:start w:val="1"/>
    </w:lvl>
  </w:abstractNum>
  <w:abstractNum w:abstractNumId="14">
    <w:nsid w:val="613EFDC5"/>
    <w:multiLevelType w:val="hybridMultilevel"/>
    <w:lvl w:ilvl="0">
      <w:lvlJc w:val="left"/>
      <w:lvlText w:val="(%1)"/>
      <w:numFmt w:val="decimal"/>
      <w:start w:val="1"/>
    </w:lvl>
  </w:abstractNum>
  <w:abstractNum w:abstractNumId="15">
    <w:nsid w:val="BF72B14"/>
    <w:multiLevelType w:val="hybridMultilevel"/>
    <w:lvl w:ilvl="0">
      <w:lvlJc w:val="left"/>
      <w:lvlText w:val="(%1)"/>
      <w:numFmt w:val="decimal"/>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Roman"/>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1)"/>
      <w:numFmt w:val="decimal"/>
      <w:start w:val="2"/>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lowerRoman"/>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1)"/>
      <w:numFmt w:val="lowerRoman"/>
      <w:start w:val="3"/>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lvl w:ilvl="1">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
      <w:numFmt w:val="bullet"/>
      <w:start w:val="1"/>
    </w:lvl>
  </w:abstractNum>
  <w:abstractNum w:abstractNumId="42">
    <w:nsid w:val="68EBC550"/>
    <w:multiLevelType w:val="hybridMultilevel"/>
    <w:lvl w:ilvl="0">
      <w:lvlJc w:val="left"/>
      <w:lvlText w:val="(%1)"/>
      <w:numFmt w:val="lowerRoman"/>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decimal"/>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1)"/>
      <w:numFmt w:val="decimal"/>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1"/>
    </w:lvl>
  </w:abstractNum>
  <w:abstractNum w:abstractNumId="56">
    <w:nsid w:val="50801EE1"/>
    <w:multiLevelType w:val="hybridMultilevel"/>
    <w:lvl w:ilvl="0">
      <w:lvlJc w:val="left"/>
      <w:lvlText w:val="(%1)"/>
      <w:numFmt w:val="decimal"/>
      <w:start w:val="1"/>
    </w:lvl>
  </w:abstractNum>
  <w:abstractNum w:abstractNumId="57">
    <w:nsid w:val="488AC1A"/>
    <w:multiLevelType w:val="hybridMultilevel"/>
    <w:lvl w:ilvl="0">
      <w:lvlJc w:val="left"/>
      <w:lvlText w:val="(%1)"/>
      <w:numFmt w:val="lowerRoman"/>
      <w:start w:val="4"/>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1)"/>
      <w:numFmt w:val="decimal"/>
    </w:lvl>
    <w:lvl w:ilvl="1">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1)"/>
      <w:numFmt w:val="decimal"/>
      <w:start w:val="1"/>
    </w:lvl>
  </w:abstractNum>
  <w:abstractNum w:abstractNumId="62">
    <w:nsid w:val="6A5F7029"/>
    <w:multiLevelType w:val="hybridMultilevel"/>
    <w:lvl w:ilvl="0">
      <w:lvlJc w:val="left"/>
      <w:lvlText w:val="(%1)"/>
      <w:numFmt w:val="decimal"/>
      <w:start w:val="3"/>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1)"/>
      <w:numFmt w:val="decimal"/>
      <w:start w:val="1"/>
    </w:lvl>
  </w:abstractNum>
  <w:abstractNum w:abstractNumId="67">
    <w:nsid w:val="555C55B5"/>
    <w:multiLevelType w:val="hybridMultilevel"/>
    <w:lvl w:ilvl="0">
      <w:lvlJc w:val="left"/>
      <w:lvlText w:val="(%1)"/>
      <w:numFmt w:val="decimal"/>
      <w:start w:val="4"/>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decimal"/>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1)"/>
      <w:numFmt w:val="decimal"/>
      <w:start w:val="1"/>
    </w:lvl>
  </w:abstractNum>
  <w:abstractNum w:abstractNumId="74">
    <w:nsid w:val="1FBFE8E0"/>
    <w:multiLevelType w:val="hybridMultilevel"/>
    <w:lvl w:ilvl="0">
      <w:lvlJc w:val="left"/>
      <w:lvlText w:val="(%1)"/>
      <w:numFmt w:val="decimal"/>
      <w:start w:val="1"/>
    </w:lvl>
  </w:abstractNum>
  <w:abstractNum w:abstractNumId="75">
    <w:nsid w:val="5092CA79"/>
    <w:multiLevelType w:val="hybridMultilevel"/>
    <w:lvl w:ilvl="0">
      <w:lvlJc w:val="left"/>
      <w:lvlText w:val="(%1)"/>
      <w:numFmt w:val="decimal"/>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1)"/>
      <w:numFmt w:val="decimal"/>
      <w:start w:val="1"/>
    </w:lvl>
  </w:abstractNum>
  <w:abstractNum w:abstractNumId="78">
    <w:nsid w:val="288F1A34"/>
    <w:multiLevelType w:val="hybridMultilevel"/>
    <w:lvl w:ilvl="0">
      <w:lvlJc w:val="left"/>
      <w:lvlText w:val="(%1)"/>
      <w:numFmt w:val="decimal"/>
      <w:start w:val="1"/>
    </w:lvl>
  </w:abstractNum>
  <w:abstractNum w:abstractNumId="79">
    <w:nsid w:val="2A155DBC"/>
    <w:multiLevelType w:val="hybridMultilevel"/>
    <w:lvl w:ilvl="0">
      <w:lvlJc w:val="left"/>
      <w:lvlText w:val="(%1)"/>
      <w:numFmt w:val="decimal"/>
      <w:start w:val="1"/>
    </w:lvl>
  </w:abstractNum>
  <w:abstractNum w:abstractNumId="80">
    <w:nsid w:val="1D9F6E5F"/>
    <w:multiLevelType w:val="hybridMultilevel"/>
    <w:lvl w:ilvl="0">
      <w:lvlJc w:val="left"/>
      <w:lvlText w:val="(%1)"/>
      <w:numFmt w:val="decimal"/>
      <w:start w:val="1"/>
    </w:lvl>
  </w:abstractNum>
  <w:abstractNum w:abstractNumId="81">
    <w:nsid w:val="97E1B4E"/>
    <w:multiLevelType w:val="hybridMultilevel"/>
    <w:lvl w:ilvl="0">
      <w:lvlJc w:val="left"/>
      <w:lvlText w:val="(%1)"/>
      <w:numFmt w:val="decimal"/>
      <w:start w:val="1"/>
    </w:lvl>
  </w:abstractNum>
  <w:abstractNum w:abstractNumId="82">
    <w:nsid w:val="51088277"/>
    <w:multiLevelType w:val="hybridMultilevel"/>
    <w:lvl w:ilvl="0">
      <w:lvlJc w:val="left"/>
      <w:lvlText w:val="(%1)"/>
      <w:numFmt w:val="decimal"/>
      <w:start w:val="4"/>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1)"/>
      <w:numFmt w:val="decimal"/>
      <w:start w:val="1"/>
    </w:lvl>
  </w:abstractNum>
  <w:abstractNum w:abstractNumId="86">
    <w:nsid w:val="7C58FD05"/>
    <w:multiLevelType w:val="hybridMultilevel"/>
    <w:lvl w:ilvl="0">
      <w:lvlJc w:val="left"/>
      <w:lvlText w:val="(%1)"/>
      <w:numFmt w:val="lowerLetter"/>
      <w:start w:val="1"/>
    </w:lvl>
  </w:abstractNum>
  <w:abstractNum w:abstractNumId="87">
    <w:nsid w:val="23D86AAC"/>
    <w:multiLevelType w:val="hybridMultilevel"/>
    <w:lvl w:ilvl="0">
      <w:lvlJc w:val="left"/>
      <w:lvlText w:val="(%1)"/>
      <w:numFmt w:val="decimal"/>
      <w:start w:val="2"/>
    </w:lvl>
  </w:abstractNum>
  <w:abstractNum w:abstractNumId="88">
    <w:nsid w:val="45E6D486"/>
    <w:multiLevelType w:val="hybridMultilevel"/>
    <w:lvl w:ilvl="0">
      <w:lvlJc w:val="left"/>
      <w:lvlText w:val="(%1)"/>
      <w:numFmt w:val="decimal"/>
      <w:start w:val="3"/>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Roman"/>
      <w:start w:val="3"/>
    </w:lvl>
  </w:abstractNum>
  <w:abstractNum w:abstractNumId="98">
    <w:nsid w:val="69E373"/>
    <w:multiLevelType w:val="hybridMultilevel"/>
    <w:lvl w:ilvl="0">
      <w:lvlJc w:val="left"/>
      <w:lvlText w:val="(%1)"/>
      <w:numFmt w:val="lowerRoman"/>
      <w:start w:val="1"/>
    </w:lvl>
  </w:abstractNum>
  <w:abstractNum w:abstractNumId="99">
    <w:nsid w:val="2C27173B"/>
    <w:multiLevelType w:val="hybridMultilevel"/>
    <w:lvl w:ilvl="0">
      <w:lvlJc w:val="left"/>
      <w:lvlText w:val="(%1)"/>
      <w:numFmt w:val="decimal"/>
      <w:start w:val="1"/>
    </w:lvl>
  </w:abstractNum>
  <w:abstractNum w:abstractNumId="100">
    <w:nsid w:val="4C9B0904"/>
    <w:multiLevelType w:val="hybridMultilevel"/>
    <w:lvl w:ilvl="0">
      <w:lvlJc w:val="left"/>
      <w:lvlText w:val="(%1)"/>
      <w:numFmt w:val="decimal"/>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decimal"/>
      <w:start w:val="1"/>
    </w:lvl>
  </w:abstractNum>
  <w:abstractNum w:abstractNumId="104">
    <w:nsid w:val="3DD15094"/>
    <w:multiLevelType w:val="hybridMultilevel"/>
    <w:lvl w:ilvl="0">
      <w:lvlJc w:val="left"/>
      <w:lvlText w:val="(%1)"/>
      <w:numFmt w:val="decimal"/>
      <w:start w:val="1"/>
    </w:lvl>
  </w:abstractNum>
  <w:abstractNum w:abstractNumId="105">
    <w:nsid w:val="3DB012B3"/>
    <w:multiLevelType w:val="hybridMultilevel"/>
    <w:lvl w:ilvl="0">
      <w:lvlJc w:val="left"/>
      <w:lvlText w:val="(%1)"/>
      <w:numFmt w:val="decimal"/>
      <w:start w:val="1"/>
    </w:lvl>
  </w:abstractNum>
  <w:abstractNum w:abstractNumId="106">
    <w:nsid w:val="2708C9AF"/>
    <w:multiLevelType w:val="hybridMultilevel"/>
    <w:lvl w:ilvl="0">
      <w:lvlJc w:val="left"/>
      <w:lvlText w:val="(%1)"/>
      <w:numFmt w:val="decimal"/>
      <w:start w:val="4"/>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1)"/>
      <w:numFmt w:val="decimal"/>
      <w:start w:val="1"/>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1)"/>
      <w:numFmt w:val="decimal"/>
      <w:start w:val="1"/>
    </w:lvl>
  </w:abstractNum>
  <w:abstractNum w:abstractNumId="111">
    <w:nsid w:val="34FD6B4F"/>
    <w:multiLevelType w:val="hybridMultilevel"/>
    <w:lvl w:ilvl="0">
      <w:lvlJc w:val="left"/>
      <w:lvlText w:val="(%1)"/>
      <w:numFmt w:val="decimal"/>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1)"/>
      <w:numFmt w:val="decimal"/>
      <w:start w:val="1"/>
    </w:lvl>
  </w:abstractNum>
  <w:abstractNum w:abstractNumId="114">
    <w:nsid w:val="519E3149"/>
    <w:multiLevelType w:val="hybridMultilevel"/>
    <w:lvl w:ilvl="0">
      <w:lvlJc w:val="left"/>
      <w:lvlText w:val="(%1)"/>
      <w:numFmt w:val="decimal"/>
      <w:start w:val="2"/>
    </w:lvl>
  </w:abstractNum>
  <w:abstractNum w:abstractNumId="115">
    <w:nsid w:val="2C6E4AFD"/>
    <w:multiLevelType w:val="hybridMultilevel"/>
    <w:lvl w:ilvl="0">
      <w:lvlJc w:val="left"/>
      <w:lvlText w:val="(%1)"/>
      <w:numFmt w:val="decimal"/>
      <w:start w:val="1"/>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1)"/>
      <w:numFmt w:val="decimal"/>
      <w:start w:val="1"/>
    </w:lvl>
  </w:abstractNum>
  <w:abstractNum w:abstractNumId="119">
    <w:nsid w:val="5D888A08"/>
    <w:multiLevelType w:val="hybridMultilevel"/>
    <w:lvl w:ilvl="0">
      <w:lvlJc w:val="left"/>
      <w:lvlText w:val="(%1)"/>
      <w:numFmt w:val="decimal"/>
      <w:start w:val="1"/>
    </w:lvl>
  </w:abstractNum>
  <w:abstractNum w:abstractNumId="120">
    <w:nsid w:val="2A082C70"/>
    <w:multiLevelType w:val="hybridMultilevel"/>
    <w:lvl w:ilvl="0">
      <w:lvlJc w:val="left"/>
      <w:lvlText w:val="(%1)"/>
      <w:numFmt w:val="decimal"/>
      <w:start w:val="1"/>
    </w:lvl>
  </w:abstractNum>
  <w:abstractNum w:abstractNumId="121">
    <w:nsid w:val="5EC6AFD4"/>
    <w:multiLevelType w:val="hybridMultilevel"/>
    <w:lvl w:ilvl="0">
      <w:lvlJc w:val="left"/>
      <w:lvlText w:val="(%1)"/>
      <w:numFmt w:val="decimal"/>
      <w:start w:val="1"/>
    </w:lvl>
  </w:abstractNum>
  <w:abstractNum w:abstractNumId="122">
    <w:nsid w:val="19E21BB2"/>
    <w:multiLevelType w:val="hybridMultilevel"/>
    <w:lvl w:ilvl="0">
      <w:lvlJc w:val="left"/>
      <w:lvlText w:val="(%1)"/>
      <w:numFmt w:val="decimal"/>
      <w:start w:val="1"/>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5"/>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1"/>
    </w:lvl>
  </w:abstractNum>
  <w:abstractNum w:abstractNumId="127">
    <w:nsid w:val="4427069A"/>
    <w:multiLevelType w:val="hybridMultilevel"/>
    <w:lvl w:ilvl="0">
      <w:lvlJc w:val="left"/>
      <w:lvlText w:val="%1."/>
      <w:numFmt w:val="decimal"/>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5"/>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decimal"/>
      <w:start w:val="1"/>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5"/>
    </w:lvl>
  </w:abstractNum>
  <w:abstractNum w:abstractNumId="134">
    <w:nsid w:val="2E48F044"/>
    <w:multiLevelType w:val="hybridMultilevel"/>
    <w:lvl w:ilvl="0">
      <w:lvlJc w:val="left"/>
      <w:lvlText w:val="(%1)"/>
      <w:numFmt w:val="lowerLetter"/>
      <w:start w:val="1"/>
    </w:lvl>
  </w:abstractNum>
  <w:abstractNum w:abstractNumId="135">
    <w:nsid w:val="49D0FEAC"/>
    <w:multiLevelType w:val="hybridMultilevel"/>
    <w:lvl w:ilvl="0">
      <w:lvlJc w:val="left"/>
      <w:lvlText w:val="(%1)"/>
      <w:numFmt w:val="lowerRoman"/>
      <w:start w:val="1"/>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158" Type="http://schemas.openxmlformats.org/officeDocument/2006/relationships/image" Target="media/image59.png"/><Relationship Id="rId159" Type="http://schemas.openxmlformats.org/officeDocument/2006/relationships/image" Target="media/image60.png"/><Relationship Id="rId160" Type="http://schemas.openxmlformats.org/officeDocument/2006/relationships/image" Target="media/image61.png"/><Relationship Id="rId161" Type="http://schemas.openxmlformats.org/officeDocument/2006/relationships/image" Target="media/image62.png"/><Relationship Id="rId162" Type="http://schemas.openxmlformats.org/officeDocument/2006/relationships/image" Target="media/image63.png"/><Relationship Id="rId163" Type="http://schemas.openxmlformats.org/officeDocument/2006/relationships/image" Target="media/image64.png"/><Relationship Id="rId164" Type="http://schemas.openxmlformats.org/officeDocument/2006/relationships/image" Target="media/image65.png"/><Relationship Id="rId165" Type="http://schemas.openxmlformats.org/officeDocument/2006/relationships/image" Target="media/image66.png"/><Relationship Id="rId166" Type="http://schemas.openxmlformats.org/officeDocument/2006/relationships/image" Target="media/image67.png"/><Relationship Id="rId167" Type="http://schemas.openxmlformats.org/officeDocument/2006/relationships/image" Target="media/image68.png"/><Relationship Id="rId168" Type="http://schemas.openxmlformats.org/officeDocument/2006/relationships/image" Target="media/image69.png"/><Relationship Id="rId169" Type="http://schemas.openxmlformats.org/officeDocument/2006/relationships/image" Target="media/image70.png"/><Relationship Id="rId170" Type="http://schemas.openxmlformats.org/officeDocument/2006/relationships/image" Target="media/image71.png"/><Relationship Id="rId171" Type="http://schemas.openxmlformats.org/officeDocument/2006/relationships/image" Target="media/image72.png"/><Relationship Id="rId172" Type="http://schemas.openxmlformats.org/officeDocument/2006/relationships/image" Target="media/image73.png"/><Relationship Id="rId173" Type="http://schemas.openxmlformats.org/officeDocument/2006/relationships/image" Target="media/image74.png"/><Relationship Id="rId174" Type="http://schemas.openxmlformats.org/officeDocument/2006/relationships/image" Target="media/image75.png"/><Relationship Id="rId175" Type="http://schemas.openxmlformats.org/officeDocument/2006/relationships/image" Target="media/image76.png"/><Relationship Id="rId176" Type="http://schemas.openxmlformats.org/officeDocument/2006/relationships/image" Target="media/image77.png"/><Relationship Id="rId177" Type="http://schemas.openxmlformats.org/officeDocument/2006/relationships/image" Target="media/image78.png"/><Relationship Id="rId178" Type="http://schemas.openxmlformats.org/officeDocument/2006/relationships/image" Target="media/image79.png"/><Relationship Id="rId179" Type="http://schemas.openxmlformats.org/officeDocument/2006/relationships/image" Target="media/image80.png"/><Relationship Id="rId180" Type="http://schemas.openxmlformats.org/officeDocument/2006/relationships/image" Target="media/image81.png"/><Relationship Id="rId181" Type="http://schemas.openxmlformats.org/officeDocument/2006/relationships/image" Target="media/image82.png"/><Relationship Id="rId182" Type="http://schemas.openxmlformats.org/officeDocument/2006/relationships/image" Target="media/image83.png"/><Relationship Id="rId183" Type="http://schemas.openxmlformats.org/officeDocument/2006/relationships/image" Target="media/image84.png"/><Relationship Id="rId184" Type="http://schemas.openxmlformats.org/officeDocument/2006/relationships/image" Target="media/image85.png"/><Relationship Id="rId185" Type="http://schemas.openxmlformats.org/officeDocument/2006/relationships/image" Target="media/image86.png"/><Relationship Id="rId186" Type="http://schemas.openxmlformats.org/officeDocument/2006/relationships/image" Target="media/image87.png"/><Relationship Id="rId187" Type="http://schemas.openxmlformats.org/officeDocument/2006/relationships/image" Target="media/image88.png"/><Relationship Id="rId188" Type="http://schemas.openxmlformats.org/officeDocument/2006/relationships/image" Target="media/image89.png"/><Relationship Id="rId189" Type="http://schemas.openxmlformats.org/officeDocument/2006/relationships/image" Target="media/image90.png"/><Relationship Id="rId190" Type="http://schemas.openxmlformats.org/officeDocument/2006/relationships/image" Target="media/image91.png"/><Relationship Id="rId191" Type="http://schemas.openxmlformats.org/officeDocument/2006/relationships/image" Target="media/image92.png"/><Relationship Id="rId192" Type="http://schemas.openxmlformats.org/officeDocument/2006/relationships/image" Target="media/image93.png"/><Relationship Id="rId193" Type="http://schemas.openxmlformats.org/officeDocument/2006/relationships/image" Target="media/image94.png"/><Relationship Id="rId194" Type="http://schemas.openxmlformats.org/officeDocument/2006/relationships/image" Target="media/image95.png"/><Relationship Id="rId195" Type="http://schemas.openxmlformats.org/officeDocument/2006/relationships/image" Target="media/image96.png"/><Relationship Id="rId196" Type="http://schemas.openxmlformats.org/officeDocument/2006/relationships/image" Target="media/image97.png"/><Relationship Id="rId197" Type="http://schemas.openxmlformats.org/officeDocument/2006/relationships/image" Target="media/image98.png"/><Relationship Id="rId198" Type="http://schemas.openxmlformats.org/officeDocument/2006/relationships/image" Target="media/image99.png"/><Relationship Id="rId199" Type="http://schemas.openxmlformats.org/officeDocument/2006/relationships/image" Target="media/image100.png"/><Relationship Id="rId200" Type="http://schemas.openxmlformats.org/officeDocument/2006/relationships/image" Target="media/image101.png"/><Relationship Id="rId201" Type="http://schemas.openxmlformats.org/officeDocument/2006/relationships/image" Target="media/image102.png"/><Relationship Id="rId202" Type="http://schemas.openxmlformats.org/officeDocument/2006/relationships/image" Target="media/image103.png"/><Relationship Id="rId203" Type="http://schemas.openxmlformats.org/officeDocument/2006/relationships/image" Target="media/image104.png"/><Relationship Id="rId204" Type="http://schemas.openxmlformats.org/officeDocument/2006/relationships/image" Target="media/image105.png"/><Relationship Id="rId205" Type="http://schemas.openxmlformats.org/officeDocument/2006/relationships/image" Target="media/image106.png"/><Relationship Id="rId206" Type="http://schemas.openxmlformats.org/officeDocument/2006/relationships/image" Target="media/image107.png"/><Relationship Id="rId66" Type="http://schemas.openxmlformats.org/officeDocument/2006/relationships/hyperlink" Target="http://www.sec.gov/Archives/edgar/data/1070423/000110465912013480/a11-30215_1ex2d1.htm" TargetMode="External"/><Relationship Id="rId67" Type="http://schemas.openxmlformats.org/officeDocument/2006/relationships/hyperlink" Target="http://www.sec.gov/Archives/edgar/data/1070423/000110465913077387/a13-22640_1ex2d1.htm" TargetMode="External"/><Relationship Id="rId68" Type="http://schemas.openxmlformats.org/officeDocument/2006/relationships/hyperlink" Target="http://www.sec.gov/Archives/edgar/data/1070423/000110465916132668/a16-14925_1ex2d1.htm" TargetMode="External"/><Relationship Id="rId69" Type="http://schemas.openxmlformats.org/officeDocument/2006/relationships/hyperlink" Target="http://www.sec.gov/Archives/edgar/data/1070423/000107042317000009/paa03312017exhibit21.htm" TargetMode="External"/><Relationship Id="rId70" Type="http://schemas.openxmlformats.org/officeDocument/2006/relationships/hyperlink" Target="http://www.sec.gov/Archives/edgar/data/1070423/000107042317000009/paa03312017exhibit22.htm" TargetMode="External"/><Relationship Id="rId71" Type="http://schemas.openxmlformats.org/officeDocument/2006/relationships/hyperlink" Target="http://www.sec.gov/Archives/edgar/data/1070423/000110465917061889/a17-22685_5ex3d1.htm" TargetMode="External"/><Relationship Id="rId72" Type="http://schemas.openxmlformats.org/officeDocument/2006/relationships/hyperlink" Target="http://www.sec.gov/Archives/edgar/data/1070423/000110465916158355/a16-21841_1ex3d3.htm" TargetMode="External"/><Relationship Id="rId73" Type="http://schemas.openxmlformats.org/officeDocument/2006/relationships/hyperlink" Target="http://www.sec.gov/Archives/edgar/data/1070423/000110465916158355/a16-21841_1ex3d4.htm" TargetMode="External"/><Relationship Id="rId74" Type="http://schemas.openxmlformats.org/officeDocument/2006/relationships/hyperlink" Target="http://www.sec.gov/Archives/edgar/data/1070423/000095012908000071/h52770exv3w3.htm" TargetMode="External"/><Relationship Id="rId75" Type="http://schemas.openxmlformats.org/officeDocument/2006/relationships/hyperlink" Target="http://www.sec.gov/Archives/edgar/data/1581990/000104746913007875/a2216069zex-3_1.htm" TargetMode="External"/><Relationship Id="rId76" Type="http://schemas.openxmlformats.org/officeDocument/2006/relationships/hyperlink" Target="http://www.sec.gov/Archives/edgar/data/1581990/000110465916158356/a16-21845_1ex3d2.htm" TargetMode="External"/><Relationship Id="rId77" Type="http://schemas.openxmlformats.org/officeDocument/2006/relationships/hyperlink" Target="http://www.sec.gov/Archives/edgar/data/1581990/000104746913007875/a2216069zex-3_3.htm" TargetMode="External"/><Relationship Id="rId78" Type="http://schemas.openxmlformats.org/officeDocument/2006/relationships/hyperlink" Target="http://www.sec.gov/Archives/edgar/data/1581990/000110465917010602/a17-6893_1ex3d1.htm" TargetMode="External"/><Relationship Id="rId79" Type="http://schemas.openxmlformats.org/officeDocument/2006/relationships/hyperlink" Target="http://www.sec.gov/Archives/edgar/data/1070423/000089924302002834/dex41.txt" TargetMode="External"/><Relationship Id="rId80" Type="http://schemas.openxmlformats.org/officeDocument/2006/relationships/hyperlink" Target="http://www.sec.gov/Archives/edgar/data/1070423/000110465906034368/a06-11663_1ex4d1.htm" TargetMode="External"/><Relationship Id="rId81" Type="http://schemas.openxmlformats.org/officeDocument/2006/relationships/hyperlink" Target="http://www.sec.gov/Archives/edgar/data/1070423/000095012906009235/h40667exv4w2.htm" TargetMode="External"/><Relationship Id="rId82" Type="http://schemas.openxmlformats.org/officeDocument/2006/relationships/hyperlink" Target="http://www.sec.gov/Archives/edgar/data/1070423/000095012309041075/h67912exv4w1.htm" TargetMode="External"/><Relationship Id="rId83" Type="http://schemas.openxmlformats.org/officeDocument/2006/relationships/hyperlink" Target="http://www.sec.gov/Archives/edgar/data/1070423/000095012311002051/h78739exv4w1.htm" TargetMode="External"/><Relationship Id="rId84" Type="http://schemas.openxmlformats.org/officeDocument/2006/relationships/hyperlink" Target="http://www.sec.gov/Archives/edgar/data/1070423/000119312512132295/d321017dex41.htm" TargetMode="External"/><Relationship Id="rId85" Type="http://schemas.openxmlformats.org/officeDocument/2006/relationships/hyperlink" Target="http://www.sec.gov/Archives/edgar/data/1070423/000119312512132295/d321017dex43.htm" TargetMode="External"/><Relationship Id="rId86" Type="http://schemas.openxmlformats.org/officeDocument/2006/relationships/hyperlink" Target="http://www.sec.gov/Archives/edgar/data/1070423/000119312512499932/d453762dex41.htm" TargetMode="External"/><Relationship Id="rId87" Type="http://schemas.openxmlformats.org/officeDocument/2006/relationships/hyperlink" Target="http://www.sec.gov/Archives/edgar/data/1070423/000119312512499932/d453762dex43.htm" TargetMode="External"/><Relationship Id="rId88" Type="http://schemas.openxmlformats.org/officeDocument/2006/relationships/hyperlink" Target="http://www.sec.gov/Archives/edgar/data/1070423/000119312513336066/d581734dex41.htm" TargetMode="External"/><Relationship Id="rId89" Type="http://schemas.openxmlformats.org/officeDocument/2006/relationships/hyperlink" Target="http://www.sec.gov/Archives/edgar/data/1070423/000119312514164183/d713938dex41.htm" TargetMode="External"/><Relationship Id="rId90" Type="http://schemas.openxmlformats.org/officeDocument/2006/relationships/hyperlink" Target="http://www.sec.gov/Archives/edgar/data/1070423/000119312514338289/d787160dex41.htm" TargetMode="External"/><Relationship Id="rId91" Type="http://schemas.openxmlformats.org/officeDocument/2006/relationships/hyperlink" Target="http://www.sec.gov/Archives/edgar/data/1070423/000119312514440007/d833885dex41.htm" TargetMode="External"/><Relationship Id="rId92" Type="http://schemas.openxmlformats.org/officeDocument/2006/relationships/hyperlink" Target="http://www.sec.gov/Archives/edgar/data/1070423/000119312514440007/d833885dex43.htm" TargetMode="External"/><Relationship Id="rId93" Type="http://schemas.openxmlformats.org/officeDocument/2006/relationships/hyperlink" Target="http://www.sec.gov/Archives/edgar/data/1070423/000119312515302829/d45393dex41.htm" TargetMode="External"/><Relationship Id="rId94" Type="http://schemas.openxmlformats.org/officeDocument/2006/relationships/hyperlink" Target="http://www.sec.gov/Archives/edgar/data/1070423/000110465916159593/a16-22232_1ex4d1.htm" TargetMode="External"/><Relationship Id="rId95" Type="http://schemas.openxmlformats.org/officeDocument/2006/relationships/hyperlink" Target="http://www.sec.gov/Archives/edgar/data/1581990/000110465913078057/a13-22338_2ex4d1.htm" TargetMode="External"/><Relationship Id="rId96" Type="http://schemas.openxmlformats.org/officeDocument/2006/relationships/hyperlink" Target="http://www.sec.gov/Archives/edgar/data/1070423/000095012311080225/h84381exv10w1.htm" TargetMode="External"/><Relationship Id="rId97" Type="http://schemas.openxmlformats.org/officeDocument/2006/relationships/hyperlink" Target="http://www.sec.gov/Archives/edgar/data/1070423/000119312512293769/d374172dex102.htm" TargetMode="External"/><Relationship Id="rId98" Type="http://schemas.openxmlformats.org/officeDocument/2006/relationships/hyperlink" Target="http://www.sec.gov/Archives/edgar/data/1070423/000119312513340586/d585794dex102.htm" TargetMode="External"/><Relationship Id="rId99" Type="http://schemas.openxmlformats.org/officeDocument/2006/relationships/hyperlink" Target="http://www.sec.gov/Archives/edgar/data/1070423/000110465916140243/a16-16900_1ex10d1.htm" TargetMode="External"/><Relationship Id="rId100" Type="http://schemas.openxmlformats.org/officeDocument/2006/relationships/hyperlink" Target="http://www.sec.gov/Archives/edgar/data/1070423/000095012311080225/h84381exv10w2.htm" TargetMode="External"/><Relationship Id="rId101" Type="http://schemas.openxmlformats.org/officeDocument/2006/relationships/hyperlink" Target="http://www.sec.gov/Archives/edgar/data/1070423/000119312512293769/d374172dex101.htm" TargetMode="External"/><Relationship Id="rId102" Type="http://schemas.openxmlformats.org/officeDocument/2006/relationships/hyperlink" Target="http://www.sec.gov/Archives/edgar/data/1070423/000119312513340586/d585794dex101.htm" TargetMode="External"/><Relationship Id="rId103" Type="http://schemas.openxmlformats.org/officeDocument/2006/relationships/hyperlink" Target="http://www.sec.gov/Archives/edgar/data/1070423/000110465916140243/a16-16900_1ex10d3.htm" TargetMode="External"/><Relationship Id="rId104" Type="http://schemas.openxmlformats.org/officeDocument/2006/relationships/hyperlink" Target="http://www.sec.gov/Archives/edgar/data/1070423/000107042317000021/paa09302017exhibit106.htm" TargetMode="External"/><Relationship Id="rId105" Type="http://schemas.openxmlformats.org/officeDocument/2006/relationships/hyperlink" Target="http://www.sec.gov/Archives/edgar/data/1070423/000110465915003331/a15-2697_1ex10d1.htm" TargetMode="External"/><Relationship Id="rId106" Type="http://schemas.openxmlformats.org/officeDocument/2006/relationships/hyperlink" Target="http://www.sec.gov/Archives/edgar/data/1070423/000110465915060101/a15-17728_1ex10d1.htm" TargetMode="External"/><Relationship Id="rId107" Type="http://schemas.openxmlformats.org/officeDocument/2006/relationships/hyperlink" Target="http://www.sec.gov/Archives/edgar/data/1070423/000110465916140243/a16-16900_1ex10d2.htm" TargetMode="External"/><Relationship Id="rId108" Type="http://schemas.openxmlformats.org/officeDocument/2006/relationships/hyperlink" Target="http://www.sec.gov/Archives/edgar/data/1070423/000107042317000021/paa09302017exhibit105.htm" TargetMode="External"/><Relationship Id="rId109" Type="http://schemas.openxmlformats.org/officeDocument/2006/relationships/hyperlink" Target="http://www.sec.gov/Archives/edgar/data/1070423/0000899243-99-000614.txt" TargetMode="External"/><Relationship Id="rId110" Type="http://schemas.openxmlformats.org/officeDocument/2006/relationships/hyperlink" Target="http://www.sec.gov/Archives/edgar/data/1070423/000089924301500835/dex101.txt" TargetMode="External"/><Relationship Id="rId111" Type="http://schemas.openxmlformats.org/officeDocument/2006/relationships/hyperlink" Target="http://www.sec.gov/Archives/edgar/data/1070423/000089924301500767/dex101.txt" TargetMode="External"/><Relationship Id="rId112" Type="http://schemas.openxmlformats.org/officeDocument/2006/relationships/hyperlink" Target="http://www.sec.gov/Archives/edgar/data/1070423/000089924301500767/dex102.txt" TargetMode="External"/><Relationship Id="rId113" Type="http://schemas.openxmlformats.org/officeDocument/2006/relationships/hyperlink" Target="http://www.sec.gov/Archives/edgar/data/1070423/000089924301500767/dex103.txt" TargetMode="External"/><Relationship Id="rId114" Type="http://schemas.openxmlformats.org/officeDocument/2006/relationships/hyperlink" Target="http://www.sec.gov/Archives/edgar/data/1070423/000095012908000071/h52770exv10w2.htm" TargetMode="External"/><Relationship Id="rId115" Type="http://schemas.openxmlformats.org/officeDocument/2006/relationships/hyperlink" Target="http://www.sec.gov/Archives/edgar/data/1070423/000089924301500419/dex991.txt" TargetMode="External"/><Relationship Id="rId116" Type="http://schemas.openxmlformats.org/officeDocument/2006/relationships/hyperlink" Target="http://www.sec.gov/Archives/edgar/data/1070423/0000899243-98-001792.txt" TargetMode="External"/><Relationship Id="rId117" Type="http://schemas.openxmlformats.org/officeDocument/2006/relationships/hyperlink" Target="http://www.sec.gov/Archives/edgar/data/1070423/000110465905044729/a05-16431_1ex1d2.htm" TargetMode="External"/><Relationship Id="rId118" Type="http://schemas.openxmlformats.org/officeDocument/2006/relationships/hyperlink" Target="http://www.sec.gov/Archives/edgar/data/1481506/000095012310043694/h72693exv10w1.htm" TargetMode="External"/><Relationship Id="rId119" Type="http://schemas.openxmlformats.org/officeDocument/2006/relationships/hyperlink" Target="http://www.sec.gov/Archives/edgar/data/1481506/000095012310047963/h72950exv10w1.htm" TargetMode="External"/><Relationship Id="rId120" Type="http://schemas.openxmlformats.org/officeDocument/2006/relationships/hyperlink" Target="http://www.sec.gov/Archives/edgar/data/1070423/000110465916158355/a16-21841_1ex10d1.htm" TargetMode="External"/><Relationship Id="rId121" Type="http://schemas.openxmlformats.org/officeDocument/2006/relationships/hyperlink" Target="http://www.sec.gov/Archives/edgar/data/1070423/000110465916158355/a16-21841_1ex10d2.htm" TargetMode="External"/><Relationship Id="rId122" Type="http://schemas.openxmlformats.org/officeDocument/2006/relationships/hyperlink" Target="http://www.sec.gov/Archives/edgar/data/1070423/000089924301501783/dex101.txt" TargetMode="External"/><Relationship Id="rId123" Type="http://schemas.openxmlformats.org/officeDocument/2006/relationships/hyperlink" Target="http://www.sec.gov/Archives/edgar/data/1581990/000110465913078057/a13-22338_2ex10d4.htm" TargetMode="External"/><Relationship Id="rId124" Type="http://schemas.openxmlformats.org/officeDocument/2006/relationships/hyperlink" Target="http://www.sec.gov/Archives/edgar/data/1070423/000110465911010359/a11-2319_1ex10d31.htm" TargetMode="External"/><Relationship Id="rId125" Type="http://schemas.openxmlformats.org/officeDocument/2006/relationships/hyperlink" Target="http://www.sec.gov/Archives/edgar/data/1070423/000110465913078056/a13-22862_1ex10d4.htm" TargetMode="External"/><Relationship Id="rId126" Type="http://schemas.openxmlformats.org/officeDocument/2006/relationships/hyperlink" Target="http://www.sec.gov/Archives/edgar/data/1070423/000089924301501783/dex102.txt" TargetMode="External"/><Relationship Id="rId127" Type="http://schemas.openxmlformats.org/officeDocument/2006/relationships/hyperlink" Target="http://www.sec.gov/Archives/edgar/data/1070423/000104746909001897/a2190434zex-10_50.htm" TargetMode="External"/><Relationship Id="rId128" Type="http://schemas.openxmlformats.org/officeDocument/2006/relationships/hyperlink" Target="http://www.sec.gov/Archives/edgar/data/1070423/000110465911010359/a11-2319_1ex10d32.htm" TargetMode="External"/><Relationship Id="rId129" Type="http://schemas.openxmlformats.org/officeDocument/2006/relationships/hyperlink" Target="http://www.sec.gov/Archives/edgar/data/1581990/000110465913078057/a13-22338_2ex10d5.htm" TargetMode="External"/><Relationship Id="rId130" Type="http://schemas.openxmlformats.org/officeDocument/2006/relationships/hyperlink" Target="http://www.sec.gov/Archives/edgar/data/1070423/000110465916100030/a15-24557_1ex10d53.htm" TargetMode="External"/><Relationship Id="rId131" Type="http://schemas.openxmlformats.org/officeDocument/2006/relationships/hyperlink" Target="http://www.sec.gov/Archives/edgar/data/1070423/000107042316000004/paa09302016exhibit108.htm" TargetMode="External"/><Relationship Id="rId132" Type="http://schemas.openxmlformats.org/officeDocument/2006/relationships/hyperlink" Target="http://www.sec.gov/Archives/edgar/data/1070423/000107042316000004/paa09302016exhibit107.htm" TargetMode="External"/><Relationship Id="rId133" Type="http://schemas.openxmlformats.org/officeDocument/2006/relationships/hyperlink" Target="http://www.sec.gov/Archives/edgar/data/1070423/000110465906013594/a06-2528_1ex10d21.htm" TargetMode="External"/><Relationship Id="rId134" Type="http://schemas.openxmlformats.org/officeDocument/2006/relationships/hyperlink" Target="http://www.sec.gov/Archives/edgar/data/1070423/000107042317000003/paa201610-kexhibit1043.htm" TargetMode="External"/><Relationship Id="rId135" Type="http://schemas.openxmlformats.org/officeDocument/2006/relationships/hyperlink" Target="http://www.sec.gov/Archives/edgar/data/1070423/000095012905000593/h21990exv10w1.htm" TargetMode="External"/><Relationship Id="rId136" Type="http://schemas.openxmlformats.org/officeDocument/2006/relationships/hyperlink" Target="http://www.sec.gov/Archives/edgar/data/1070423/000104746909001897/a2190434zex-10_51.htm" TargetMode="External"/><Relationship Id="rId137" Type="http://schemas.openxmlformats.org/officeDocument/2006/relationships/hyperlink" Target="http://www.sec.gov/Archives/edgar/data/1070423/000095012901504458/h92828ex99-1.txt" TargetMode="External"/><Relationship Id="rId138" Type="http://schemas.openxmlformats.org/officeDocument/2006/relationships/hyperlink" Target="http://www.sec.gov/Archives/edgar/data/1070423/000119312503033153/dex101.htm" TargetMode="External"/><Relationship Id="rId139" Type="http://schemas.openxmlformats.org/officeDocument/2006/relationships/hyperlink" Target="http://www.sec.gov/Archives/edgar/data/1070423/000104746909001897/a2190434zex-10_52.htm" TargetMode="External"/><Relationship Id="rId140" Type="http://schemas.openxmlformats.org/officeDocument/2006/relationships/hyperlink" Target="http://www.sec.gov/Archives/edgar/data/1070423/000095012907001096/h43224exv10w45.htm" TargetMode="External"/><Relationship Id="rId141" Type="http://schemas.openxmlformats.org/officeDocument/2006/relationships/hyperlink" Target="http://www.sec.gov/Archives/edgar/data/1070423/000095012908000071/h52770exv10w1.htm" TargetMode="External"/><Relationship Id="rId142" Type="http://schemas.openxmlformats.org/officeDocument/2006/relationships/hyperlink" Target="http://www.sec.gov/Archives/edgar/data/1581990/000110465913078057/a13-22338_2ex10d6.htm" TargetMode="External"/><Relationship Id="rId143" Type="http://schemas.openxmlformats.org/officeDocument/2006/relationships/hyperlink" Target="http://www.sec.gov/Archives/edgar/data/1070423/000107042316000004/paa09302016exhibit106.htm" TargetMode="External"/><Relationship Id="rId144" Type="http://schemas.openxmlformats.org/officeDocument/2006/relationships/hyperlink" Target="http://www.sec.gov/Archives/edgar/data/1070423/000119312513390367/d597666ddef14a.htm#rom597666_10" TargetMode="External"/><Relationship Id="rId145" Type="http://schemas.openxmlformats.org/officeDocument/2006/relationships/hyperlink" Target="http://www.sec.gov/Archives/edgar/data/1070423/000110465913093006/a13-26950_1ex4d4.htm" TargetMode="External"/><Relationship Id="rId146" Type="http://schemas.openxmlformats.org/officeDocument/2006/relationships/hyperlink" Target="http://www.sec.gov/Archives/edgar/data/1481506/000095012310047963/h72950exv10w2.htm" TargetMode="External"/><Relationship Id="rId147" Type="http://schemas.openxmlformats.org/officeDocument/2006/relationships/hyperlink" Target="http://www.sec.gov/Archives/edgar/data/1070423/000110465913038884/a13-8241_1ex10d1.htm" TargetMode="External"/><Relationship Id="rId148" Type="http://schemas.openxmlformats.org/officeDocument/2006/relationships/hyperlink" Target="http://www.sec.gov/Archives/edgar/data/1070423/000107042316000004/paa09302016exhibit105.htm" TargetMode="External"/><Relationship Id="rId149" Type="http://schemas.openxmlformats.org/officeDocument/2006/relationships/hyperlink" Target="http://www.sec.gov/Archives/edgar/data/1070423/000107042317000009/paa03312017exhibit101.htm" TargetMode="External"/><Relationship Id="rId150" Type="http://schemas.openxmlformats.org/officeDocument/2006/relationships/hyperlink" Target="http://www.sec.gov/Archives/edgar/data/1070423/000107042317000009/paa03312017exhibit102.htm" TargetMode="External"/><Relationship Id="rId151" Type="http://schemas.openxmlformats.org/officeDocument/2006/relationships/hyperlink" Target="http://www.sec.gov/Archives/edgar/data/1070423/000107042317000009/paa03312017exhibit103.htm" TargetMode="External"/><Relationship Id="rId152" Type="http://schemas.openxmlformats.org/officeDocument/2006/relationships/hyperlink" Target="http://www.sec.gov/Archives/edgar/data/1581990/000158199017000009/pagp03312017exhibit101.htm" TargetMode="External"/><Relationship Id="rId153" Type="http://schemas.openxmlformats.org/officeDocument/2006/relationships/hyperlink" Target="http://www.sec.gov/Archives/edgar/data/1581990/000158199017000009/pagp03312017exhibit102.htm" TargetMode="External"/><Relationship Id="rId154" Type="http://schemas.openxmlformats.org/officeDocument/2006/relationships/hyperlink" Target="http://www.sec.gov/Archives/edgar/data/1581990/000158199017000009/pagp03312017exhibit103.htm" TargetMode="External"/><Relationship Id="rId155" Type="http://schemas.openxmlformats.org/officeDocument/2006/relationships/hyperlink" Target="http://www.sec.gov/Archives/edgar/data/1070423/000107042317000015/paa06302017exhibit104.htm" TargetMode="External"/><Relationship Id="rId156" Type="http://schemas.openxmlformats.org/officeDocument/2006/relationships/hyperlink" Target="http://www.sec.gov/Archives/edgar/data/1581990/000110465913078057/a13-22338_2ex10d3.htm" TargetMode="External"/><Relationship Id="rId157" Type="http://schemas.openxmlformats.org/officeDocument/2006/relationships/hyperlink" Target="http://www.sec.gov/Archives/edgar/data/1581990/000110465913078057/a13-22338_2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2020-01-14T11:43:35Z</dcterms:created>
  <dcterms:modified xsi:type="dcterms:W3CDTF">2020-01-14T11:43:35Z</dcterms:modified>
</cp:coreProperties>
</file>