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-651510</wp:posOffset>
            </wp:positionV>
            <wp:extent cx="59690" cy="6648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4152265</wp:posOffset>
            </wp:positionH>
            <wp:positionV relativeFrom="paragraph">
              <wp:posOffset>-651510</wp:posOffset>
            </wp:positionV>
            <wp:extent cx="59690" cy="6648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20955</wp:posOffset>
            </wp:positionV>
            <wp:extent cx="7323455" cy="462978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46297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Herbold Chris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4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3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8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333 CLAY STREET, SUITE 1600</w:t>
            </w: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268"/>
        </w:trPr>
        <w:tc>
          <w:tcPr>
            <w:tcW w:w="1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4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3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77002</w:t>
            </w:r>
          </w:p>
        </w:tc>
      </w:tr>
      <w:tr>
        <w:trPr>
          <w:trHeight w:val="15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4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39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4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 w:line="210" w:lineRule="exact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PLAINS ALL AMERICAN PIPELINE LP </w:t>
              </w:r>
            </w:hyperlink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[</w:t>
            </w:r>
          </w:p>
        </w:tc>
        <w:tc>
          <w:tcPr>
            <w:tcW w:w="19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60" w:type="dxa"/>
            <w:vAlign w:val="bottom"/>
            <w:vMerge w:val="restart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20" w:type="dxa"/>
            <w:vAlign w:val="bottom"/>
            <w:tcBorders>
              <w:top w:val="single" w:sz="8" w:color="0000EE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PAA </w:t>
            </w:r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]</w:t>
            </w:r>
          </w:p>
        </w:tc>
        <w:tc>
          <w:tcPr>
            <w:tcW w:w="180" w:type="dxa"/>
            <w:vAlign w:val="bottom"/>
            <w:vMerge w:val="restart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500" w:type="dxa"/>
            <w:vAlign w:val="bottom"/>
          </w:tcPr>
          <w:p>
            <w:pPr>
              <w:ind w:left="3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396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39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94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VP-Acctg &amp; Chief Acctg Officer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37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11/18/2010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39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4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240"/>
        <w:spacing w:after="0" w:line="236" w:lineRule="auto"/>
        <w:tabs>
          <w:tab w:leader="none" w:pos="45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ind w:left="4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1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00"/>
            <w:col w:w="7520"/>
          </w:cols>
          <w:pgMar w:left="240" w:top="225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7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Phantom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jc w:val="right"/>
              <w:ind w:right="1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11/18/2010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18,000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right"/>
              <w:ind w:right="2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18,000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96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18,000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720" w:type="dxa"/>
            <w:vAlign w:val="bottom"/>
          </w:tcPr>
          <w:p>
            <w:pPr>
              <w:ind w:left="60"/>
              <w:spacing w:after="0" w:line="6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color w:val="0000FF"/>
              </w:rPr>
              <w:t>Units</w:t>
            </w:r>
            <w:r>
              <w:rPr>
                <w:rFonts w:ascii="Arial" w:cs="Arial" w:eastAsia="Arial" w:hAnsi="Arial"/>
                <w:sz w:val="7"/>
                <w:szCs w:val="7"/>
                <w:color w:val="008000"/>
                <w:vertAlign w:val="superscript"/>
              </w:rPr>
              <w:t>(1)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80"/>
              <w:spacing w:after="0" w:line="6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7"/>
                <w:szCs w:val="7"/>
                <w:color w:val="0000FF"/>
              </w:rPr>
              <w:t>Units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8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Grant of phantom units under Long-Term Incentive Plan (includes associated distribution equivalent rights (payable in cash)).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1-for-1 Common Units for Phantom Units granted under long-term incentive plan.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420" w:firstLine="8"/>
        <w:spacing w:after="0" w:line="272" w:lineRule="auto"/>
        <w:tabs>
          <w:tab w:leader="none" w:pos="174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Phantom unis vest in equal one-third increments upon achievement of annualized distributions of $3.90, $4.05 and $4.20 per unit and continued employment through may 2013, May 2014 and May 2015, respectively.</w:t>
      </w:r>
    </w:p>
    <w:p>
      <w:pPr>
        <w:spacing w:after="0" w:line="10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Any phantom units that have not vested as of the May 2016 distribution date will be forfeited.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3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/c/ Chris Herbold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11/18/2010</w:t>
            </w:r>
          </w:p>
        </w:tc>
      </w:tr>
      <w:tr>
        <w:trPr>
          <w:trHeight w:val="20"/>
        </w:trPr>
        <w:tc>
          <w:tcPr>
            <w:tcW w:w="12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3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20" w:firstLine="8"/>
        <w:spacing w:after="0" w:line="321" w:lineRule="auto"/>
        <w:tabs>
          <w:tab w:leader="none" w:pos="18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497929" TargetMode="External"/><Relationship Id="rId13" Type="http://schemas.openxmlformats.org/officeDocument/2006/relationships/hyperlink" Target="http://www.sec.gov/cgi-bin/browse-edgar?action=getcompany&amp;CIK=000107042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2020-01-29T11:46:41Z</dcterms:created>
  <dcterms:modified xsi:type="dcterms:W3CDTF">2020-01-29T11:46:41Z</dcterms:modified>
</cp:coreProperties>
</file>