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142875</wp:posOffset>
            </wp:positionV>
            <wp:extent cx="255587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587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402,447,679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140" w:firstLine="324"/>
        <w:spacing w:after="0" w:line="257" w:lineRule="auto"/>
        <w:rPr>
          <w:sz w:val="20"/>
          <w:szCs w:val="20"/>
          <w:color w:val="auto"/>
        </w:rPr>
      </w:pPr>
      <w:r>
        <w:rPr>
          <w:rFonts w:ascii="Arial" w:cs="Arial" w:eastAsia="Arial" w:hAnsi="Arial"/>
          <w:sz w:val="18"/>
          <w:szCs w:val="18"/>
          <w:color w:val="auto"/>
        </w:rPr>
        <w:t>This prospectus supplement updates and amends certain information contained in the prospectus dated December 10, 2014, as supplemented by the prospectus supplements dated December 31, 2014, April 1, 2015, July 1, 2015, October 1, 2015, December 22, 2015, January 4, 2016, February 1, 2016 and March 7, 2016 (as supplemented, the “Prospectus”), covering the resale by selling shareholders of up to an aggregate of 402,447,679 Class A shares representing limited partner interests in us. This prospectus supplement is not complete without, and may not be utilized except in connection with, the Prospectus, including any additional amendments or supplements thereto.</w:t>
      </w:r>
    </w:p>
    <w:p>
      <w:pPr>
        <w:spacing w:after="0" w:line="184" w:lineRule="exact"/>
        <w:rPr>
          <w:sz w:val="24"/>
          <w:szCs w:val="24"/>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76" w:lineRule="exact"/>
        <w:rPr>
          <w:sz w:val="24"/>
          <w:szCs w:val="24"/>
          <w:color w:val="auto"/>
        </w:rPr>
      </w:pPr>
    </w:p>
    <w:p>
      <w:pPr>
        <w:ind w:right="420" w:firstLine="324"/>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Class A shares or determined if this prospectus supplement is truthful or complete. Any representation to the contrary is a criminal offense.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700"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right="20" w:firstLine="324"/>
        <w:spacing w:after="0" w:line="297" w:lineRule="auto"/>
        <w:rPr>
          <w:sz w:val="20"/>
          <w:szCs w:val="20"/>
          <w:color w:val="auto"/>
        </w:rPr>
      </w:pPr>
      <w:r>
        <w:rPr>
          <w:rFonts w:ascii="Arial" w:cs="Arial" w:eastAsia="Arial" w:hAnsi="Arial"/>
          <w:sz w:val="16"/>
          <w:szCs w:val="16"/>
          <w:color w:val="auto"/>
        </w:rPr>
        <w:t>On or about December 30, 2016, (i) KAFU Holdings, L.P. exercised the Exchange Right with respect to an aggregate of 350 of its Class B shares, AAP units and general partner units and then distributed the resulting 350 Class A shares to certain of the selling shareholders listed below and (ii) KAFU Holdings (QP), L.P. (“KAFU QP”) exercised the Exchange Right with respect to an aggregate of 434,252 of its Class B shares, AAP units and general partner units and then distributed the resulting 434,252 Class A shares to certain of the selling shareholders listed below. We are amending the Selling Shareholders table in the Prospectus to reflect these transfers and to include or update information with respect to the transferees of such interests.</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Class A Shares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Class A Shares</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Class A Shares</w:t>
            </w: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Owned Prior</w:t>
            </w:r>
          </w:p>
        </w:tc>
        <w:tc>
          <w:tcPr>
            <w:tcW w:w="11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Owned Prior</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Offered</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 the Offering</w:t>
            </w: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to the Offering</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Hereby</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KAFU Holdings, L.P.(1)</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933,224</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933,224</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Xue Chen</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114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KAFU Holdings (QP), L.P.(1)</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21,172,741</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8.9%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21,172,741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w w:val="99"/>
              </w:rPr>
              <w:t>Jewish Community Foundation of the Jewish</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Federation Council of Greater Los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Angeles</w:t>
            </w:r>
          </w:p>
        </w:tc>
        <w:tc>
          <w:tcPr>
            <w:tcW w:w="1380" w:type="dxa"/>
            <w:vAlign w:val="bottom"/>
          </w:tcPr>
          <w:p>
            <w:pPr>
              <w:jc w:val="right"/>
              <w:spacing w:after="0"/>
              <w:rPr>
                <w:sz w:val="20"/>
                <w:szCs w:val="20"/>
                <w:color w:val="auto"/>
              </w:rPr>
            </w:pPr>
            <w:r>
              <w:rPr>
                <w:rFonts w:ascii="Arial" w:cs="Arial" w:eastAsia="Arial" w:hAnsi="Arial"/>
                <w:sz w:val="18"/>
                <w:szCs w:val="18"/>
                <w:color w:val="auto"/>
              </w:rPr>
              <w:t>1,074,445</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426,272(2)</w:t>
            </w:r>
          </w:p>
        </w:tc>
        <w:tc>
          <w:tcPr>
            <w:tcW w:w="1240" w:type="dxa"/>
            <w:vAlign w:val="bottom"/>
          </w:tcPr>
          <w:p>
            <w:pPr>
              <w:jc w:val="right"/>
              <w:spacing w:after="0"/>
              <w:rPr>
                <w:sz w:val="20"/>
                <w:szCs w:val="20"/>
                <w:color w:val="auto"/>
              </w:rPr>
            </w:pPr>
            <w:r>
              <w:rPr>
                <w:rFonts w:ascii="Arial" w:cs="Arial" w:eastAsia="Arial" w:hAnsi="Arial"/>
                <w:sz w:val="18"/>
                <w:szCs w:val="18"/>
                <w:color w:val="auto"/>
              </w:rPr>
              <w:t>648,173</w:t>
            </w:r>
          </w:p>
        </w:tc>
        <w:tc>
          <w:tcPr>
            <w:tcW w:w="2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Philip and Felice Rosen Living Trust dtd</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12/17/13</w:t>
            </w:r>
          </w:p>
        </w:tc>
        <w:tc>
          <w:tcPr>
            <w:tcW w:w="3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6,532</w:t>
            </w:r>
          </w:p>
        </w:tc>
        <w:tc>
          <w:tcPr>
            <w:tcW w:w="1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6,532</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The Morrow Institute Medical Group, Inc.</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Defined Benefit Pension Plan</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1,448</w:t>
            </w:r>
          </w:p>
        </w:tc>
        <w:tc>
          <w:tcPr>
            <w:tcW w:w="114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1,448</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4"/>
          <w:szCs w:val="24"/>
          <w:color w:val="auto"/>
        </w:rPr>
      </w:pPr>
    </w:p>
    <w:p>
      <w:pPr>
        <w:ind w:left="340" w:right="440" w:hanging="332"/>
        <w:spacing w:after="0" w:line="286" w:lineRule="auto"/>
        <w:tabs>
          <w:tab w:leader="none" w:pos="347"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 received 426,272 Class A shares in the transfer from KAFU QP; 648,173 Class A shares were previously owned.</w:t>
      </w:r>
    </w:p>
    <w:p>
      <w:pPr>
        <w:sectPr>
          <w:pgSz w:w="11900" w:h="16838" w:orient="portrait"/>
          <w:cols w:equalWidth="0" w:num="1">
            <w:col w:w="11420"/>
          </w:cols>
          <w:pgMar w:left="240" w:top="44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2020-01-22T02:04:48Z</dcterms:created>
  <dcterms:modified xsi:type="dcterms:W3CDTF">2020-01-22T02:04:48Z</dcterms:modified>
</cp:coreProperties>
</file>