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720" w:right="300" w:hanging="388"/>
        <w:spacing w:after="0" w:line="256" w:lineRule="auto"/>
        <w:tabs>
          <w:tab w:leader="none" w:pos="588"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240" w:hanging="388"/>
        <w:spacing w:after="0" w:line="256" w:lineRule="auto"/>
        <w:tabs>
          <w:tab w:leader="none" w:pos="628"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140" w:type="dxa"/>
        <w:tblCellMar>
          <w:top w:w="0" w:type="dxa"/>
          <w:left w:w="0" w:type="dxa"/>
          <w:bottom w:w="0" w:type="dxa"/>
          <w:right w:w="0" w:type="dxa"/>
        </w:tblCellMar>
      </w:tblPr>
      <w:tr>
        <w:trPr>
          <w:trHeight w:val="220"/>
        </w:trPr>
        <w:tc>
          <w:tcPr>
            <w:tcW w:w="6660" w:type="dxa"/>
            <w:vAlign w:val="bottom"/>
          </w:tcPr>
          <w:p>
            <w:pPr>
              <w:jc w:val="center"/>
              <w:ind w:right="3250"/>
              <w:spacing w:after="0"/>
              <w:rPr>
                <w:sz w:val="20"/>
                <w:szCs w:val="20"/>
                <w:color w:val="auto"/>
              </w:rPr>
            </w:pPr>
            <w:r>
              <w:rPr>
                <w:rFonts w:ascii="Arial" w:cs="Arial" w:eastAsia="Arial" w:hAnsi="Arial"/>
                <w:sz w:val="18"/>
                <w:szCs w:val="18"/>
                <w:b w:val="1"/>
                <w:bCs w:val="1"/>
                <w:color w:val="auto"/>
                <w:w w:val="91"/>
              </w:rPr>
              <w:t>Delaware</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90-1005472</w:t>
            </w:r>
          </w:p>
        </w:tc>
      </w:tr>
      <w:tr>
        <w:trPr>
          <w:trHeight w:val="216"/>
        </w:trPr>
        <w:tc>
          <w:tcPr>
            <w:tcW w:w="6660" w:type="dxa"/>
            <w:vAlign w:val="bottom"/>
          </w:tcPr>
          <w:p>
            <w:pPr>
              <w:jc w:val="center"/>
              <w:ind w:right="3250"/>
              <w:spacing w:after="0"/>
              <w:rPr>
                <w:sz w:val="20"/>
                <w:szCs w:val="20"/>
                <w:color w:val="auto"/>
              </w:rPr>
            </w:pPr>
            <w:r>
              <w:rPr>
                <w:rFonts w:ascii="Arial" w:cs="Arial" w:eastAsia="Arial" w:hAnsi="Arial"/>
                <w:sz w:val="18"/>
                <w:szCs w:val="18"/>
                <w:color w:val="auto"/>
                <w:w w:val="92"/>
              </w:rPr>
              <w:t>(State or other jurisdiction of</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2"/>
              </w:rPr>
              <w:t>(I.R.S. Employer</w:t>
            </w:r>
          </w:p>
        </w:tc>
      </w:tr>
      <w:tr>
        <w:trPr>
          <w:trHeight w:val="230"/>
        </w:trPr>
        <w:tc>
          <w:tcPr>
            <w:tcW w:w="6660" w:type="dxa"/>
            <w:vAlign w:val="bottom"/>
          </w:tcPr>
          <w:p>
            <w:pPr>
              <w:jc w:val="center"/>
              <w:ind w:right="325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660" w:type="dxa"/>
            <w:vAlign w:val="bottom"/>
          </w:tcPr>
          <w:p>
            <w:pPr>
              <w:jc w:val="center"/>
              <w:ind w:right="325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77002</w:t>
            </w:r>
          </w:p>
        </w:tc>
      </w:tr>
      <w:tr>
        <w:trPr>
          <w:trHeight w:val="230"/>
        </w:trPr>
        <w:tc>
          <w:tcPr>
            <w:tcW w:w="6660" w:type="dxa"/>
            <w:vAlign w:val="bottom"/>
          </w:tcPr>
          <w:p>
            <w:pPr>
              <w:jc w:val="center"/>
              <w:ind w:right="3230"/>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1"/>
              </w:rPr>
              <w:t>(Zip Code)</w:t>
            </w:r>
          </w:p>
        </w:tc>
      </w:tr>
      <w:tr>
        <w:trPr>
          <w:trHeight w:val="418"/>
        </w:trPr>
        <w:tc>
          <w:tcPr>
            <w:tcW w:w="6660" w:type="dxa"/>
            <w:vAlign w:val="bottom"/>
          </w:tcPr>
          <w:p>
            <w:pPr>
              <w:jc w:val="right"/>
              <w:ind w:right="1430"/>
              <w:spacing w:after="0"/>
              <w:rPr>
                <w:sz w:val="20"/>
                <w:szCs w:val="20"/>
                <w:color w:val="auto"/>
              </w:rPr>
            </w:pPr>
            <w:r>
              <w:rPr>
                <w:rFonts w:ascii="Arial" w:cs="Arial" w:eastAsia="Arial" w:hAnsi="Arial"/>
                <w:sz w:val="18"/>
                <w:szCs w:val="18"/>
                <w:b w:val="1"/>
                <w:bCs w:val="1"/>
                <w:color w:val="auto"/>
              </w:rPr>
              <w:t>(713) 646-4100</w:t>
            </w:r>
          </w:p>
        </w:tc>
        <w:tc>
          <w:tcPr>
            <w:tcW w:w="1500" w:type="dxa"/>
            <w:vAlign w:val="bottom"/>
          </w:tcPr>
          <w:p>
            <w:pPr>
              <w:spacing w:after="0"/>
              <w:rPr>
                <w:sz w:val="24"/>
                <w:szCs w:val="24"/>
                <w:color w:val="auto"/>
              </w:rPr>
            </w:pPr>
          </w:p>
        </w:tc>
      </w:tr>
      <w:tr>
        <w:trPr>
          <w:trHeight w:val="230"/>
        </w:trPr>
        <w:tc>
          <w:tcPr>
            <w:tcW w:w="6660" w:type="dxa"/>
            <w:vAlign w:val="bottom"/>
          </w:tcPr>
          <w:p>
            <w:pPr>
              <w:jc w:val="center"/>
              <w:ind w:left="2390"/>
              <w:spacing w:after="0"/>
              <w:rPr>
                <w:sz w:val="20"/>
                <w:szCs w:val="20"/>
                <w:color w:val="auto"/>
              </w:rPr>
            </w:pPr>
            <w:r>
              <w:rPr>
                <w:rFonts w:ascii="Arial" w:cs="Arial" w:eastAsia="Arial" w:hAnsi="Arial"/>
                <w:sz w:val="18"/>
                <w:szCs w:val="18"/>
                <w:color w:val="auto"/>
                <w:w w:val="90"/>
              </w:rPr>
              <w:t>(Registrant’s telephone number, including area code)</w:t>
            </w:r>
          </w:p>
        </w:tc>
        <w:tc>
          <w:tcPr>
            <w:tcW w:w="15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81"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3" w:right="279" w:bottom="0" w:gutter="0" w:footer="0" w:header="0"/>
        </w:sectPr>
      </w:pPr>
    </w:p>
    <w:p>
      <w:pPr>
        <w:spacing w:after="0" w:line="147" w:lineRule="exact"/>
        <w:rPr>
          <w:sz w:val="24"/>
          <w:szCs w:val="24"/>
          <w:color w:val="auto"/>
        </w:rPr>
      </w:pPr>
    </w:p>
    <w:p>
      <w:pPr>
        <w:ind w:left="190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200" w:lineRule="exact"/>
        <w:rPr>
          <w:sz w:val="24"/>
          <w:szCs w:val="24"/>
          <w:color w:val="auto"/>
        </w:rPr>
      </w:pPr>
    </w:p>
    <w:p>
      <w:pPr>
        <w:sectPr>
          <w:pgSz w:w="11900" w:h="16838" w:orient="portrait"/>
          <w:cols w:equalWidth="0" w:num="2">
            <w:col w:w="7220" w:space="720"/>
            <w:col w:w="3440"/>
          </w:cols>
          <w:pgMar w:left="240" w:top="233" w:right="279" w:bottom="0" w:gutter="0" w:footer="0" w:header="0"/>
          <w:type w:val="continuous"/>
        </w:sectPr>
      </w:pPr>
    </w:p>
    <w:p>
      <w:pPr>
        <w:spacing w:after="0" w:line="37" w:lineRule="exact"/>
        <w:rPr>
          <w:sz w:val="24"/>
          <w:szCs w:val="24"/>
          <w:color w:val="auto"/>
        </w:rPr>
      </w:pPr>
    </w:p>
    <w:p>
      <w:pPr>
        <w:ind w:left="19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6" w:lineRule="exact"/>
        <w:rPr>
          <w:sz w:val="24"/>
          <w:szCs w:val="24"/>
          <w:color w:val="auto"/>
        </w:rPr>
      </w:pPr>
    </w:p>
    <w:p>
      <w:pPr>
        <w:sectPr>
          <w:pgSz w:w="11900" w:h="16838" w:orient="portrait"/>
          <w:cols w:equalWidth="0" w:num="2">
            <w:col w:w="6840" w:space="720"/>
            <w:col w:w="3820"/>
          </w:cols>
          <w:pgMar w:left="240" w:top="233" w:right="279" w:bottom="0" w:gutter="0" w:footer="0" w:header="0"/>
          <w:type w:val="continuous"/>
        </w:sect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o Yes x No</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May 1, 2015, there were 223,790,809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233" w:right="279" w:bottom="0" w:gutter="0" w:footer="0" w:header="0"/>
          <w:type w:val="continuous"/>
        </w:sectPr>
      </w:pPr>
    </w:p>
    <w:bookmarkStart w:id="1" w:name="page2"/>
    <w:bookmarkEnd w:id="1"/>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gridSpan w:val="32"/>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7860" w:type="dxa"/>
            <w:vAlign w:val="bottom"/>
            <w:gridSpan w:val="32"/>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gridSpan w:val="32"/>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1. UNAUDITED CONDENSED CONSOLIDATED FINANCIAL STATEMENTS:</w:t>
              </w:r>
            </w:hyperlink>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60" w:type="dxa"/>
            <w:vAlign w:val="bottom"/>
            <w:gridSpan w:val="30"/>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As of March 31, 2015 and December 31, 2014</w:t>
              </w:r>
            </w:hyperlink>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2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months ended March 31, 2015 and 2014</w:t>
              </w:r>
            </w:hyperlink>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40" w:type="dxa"/>
            <w:vAlign w:val="bottom"/>
            <w:tcBorders>
              <w:bottom w:val="single" w:sz="8" w:color="0000EE"/>
            </w:tcBorders>
            <w:gridSpan w:val="3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 (Loss): For the three months ended March 31, 2015 and 2014</w:t>
              </w:r>
            </w:hyperlink>
          </w:p>
        </w:tc>
        <w:tc>
          <w:tcPr>
            <w:tcW w:w="62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tcBorders>
              <w:bottom w:val="single" w:sz="8" w:color="0000EE"/>
            </w:tcBorders>
            <w:gridSpan w:val="39"/>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Changes in Accumulated Other Comprehensive Income / (Loss): For the three months ended March 31,</w:t>
              </w:r>
            </w:hyperlink>
          </w:p>
        </w:tc>
        <w:tc>
          <w:tcPr>
            <w:tcW w:w="9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gridSpan w:val="2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2015 and 2014</w:t>
              </w:r>
            </w:hyperlink>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6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Cash Flows: For the three months ended March 31, 2015 and 2014</w:t>
              </w:r>
            </w:hyperlink>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60" w:type="dxa"/>
            <w:vAlign w:val="bottom"/>
            <w:gridSpan w:val="37"/>
          </w:tcPr>
          <w:p>
            <w:pPr>
              <w:spacing w:after="0" w:line="19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Changes in Partners’ Capital: For the three months ended March 31, 2015 and 2014</w:t>
              </w:r>
            </w:hyperlink>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0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the Condensed Consolidated Financial Statements:</w:t>
              </w:r>
            </w:hyperlink>
          </w:p>
        </w:tc>
        <w:tc>
          <w:tcPr>
            <w:tcW w:w="3360" w:type="dxa"/>
            <w:vAlign w:val="bottom"/>
            <w:gridSpan w:val="8"/>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1. Organization and Basis of Consolidation and Presentation</w:t>
              </w:r>
            </w:hyperlink>
          </w:p>
        </w:tc>
        <w:tc>
          <w:tcPr>
            <w:tcW w:w="3140" w:type="dxa"/>
            <w:vAlign w:val="bottom"/>
            <w:gridSpan w:val="7"/>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2. Recent Accounting Pronouncements</w:t>
              </w:r>
            </w:hyperlink>
          </w:p>
        </w:tc>
        <w:tc>
          <w:tcPr>
            <w:tcW w:w="4680" w:type="dxa"/>
            <w:vAlign w:val="bottom"/>
            <w:gridSpan w:val="11"/>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00" w:type="dxa"/>
            <w:vAlign w:val="bottom"/>
            <w:gridSpan w:val="2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 Net Income Per Class A Share</w:t>
              </w:r>
            </w:hyperlink>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4. Accounts Receivable</w:t>
              </w:r>
            </w:hyperlink>
          </w:p>
        </w:tc>
        <w:tc>
          <w:tcPr>
            <w:tcW w:w="660" w:type="dxa"/>
            <w:vAlign w:val="bottom"/>
            <w:tcBorders>
              <w:top w:val="single" w:sz="8" w:color="0000EE"/>
            </w:tcBorders>
            <w:gridSpan w:val="4"/>
          </w:tcPr>
          <w:p>
            <w:pPr>
              <w:spacing w:after="0"/>
              <w:rPr>
                <w:sz w:val="17"/>
                <w:szCs w:val="17"/>
                <w:color w:val="auto"/>
              </w:rPr>
            </w:pPr>
          </w:p>
        </w:tc>
        <w:tc>
          <w:tcPr>
            <w:tcW w:w="5120" w:type="dxa"/>
            <w:vAlign w:val="bottom"/>
            <w:gridSpan w:val="17"/>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00" w:type="dxa"/>
            <w:vAlign w:val="bottom"/>
            <w:gridSpan w:val="2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5. Inventory, Linefill and Base Gas and Long-term Inventory</w:t>
              </w:r>
            </w:hyperlink>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6. Debt</w:t>
              </w:r>
            </w:hyperlink>
          </w:p>
        </w:tc>
        <w:tc>
          <w:tcPr>
            <w:tcW w:w="420" w:type="dxa"/>
            <w:vAlign w:val="bottom"/>
            <w:tcBorders>
              <w:top w:val="single" w:sz="8" w:color="0000EE"/>
            </w:tcBorders>
            <w:gridSpan w:val="3"/>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7. Partners’ Capital and Distributions</w:t>
              </w:r>
            </w:hyperlink>
          </w:p>
        </w:tc>
        <w:tc>
          <w:tcPr>
            <w:tcW w:w="4780" w:type="dxa"/>
            <w:vAlign w:val="bottom"/>
            <w:gridSpan w:val="13"/>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00" w:type="dxa"/>
            <w:vAlign w:val="bottom"/>
            <w:gridSpan w:val="2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8. Derivatives and Risk Management Activities</w:t>
              </w:r>
            </w:hyperlink>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9. Equity-Indexed Compensation Plans</w:t>
              </w:r>
            </w:hyperlink>
          </w:p>
        </w:tc>
        <w:tc>
          <w:tcPr>
            <w:tcW w:w="4080" w:type="dxa"/>
            <w:vAlign w:val="bottom"/>
            <w:gridSpan w:val="9"/>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10. Commitments and Contingencies</w:t>
              </w:r>
            </w:hyperlink>
          </w:p>
        </w:tc>
        <w:tc>
          <w:tcPr>
            <w:tcW w:w="140" w:type="dxa"/>
            <w:vAlign w:val="bottom"/>
            <w:tcBorders>
              <w:top w:val="single" w:sz="8" w:color="0000EE"/>
            </w:tcBorders>
            <w:gridSpan w:val="3"/>
          </w:tcPr>
          <w:p>
            <w:pPr>
              <w:spacing w:after="0"/>
              <w:rPr>
                <w:sz w:val="17"/>
                <w:szCs w:val="17"/>
                <w:color w:val="auto"/>
              </w:rPr>
            </w:pPr>
          </w:p>
        </w:tc>
        <w:tc>
          <w:tcPr>
            <w:tcW w:w="4680" w:type="dxa"/>
            <w:vAlign w:val="bottom"/>
            <w:gridSpan w:val="11"/>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11. Operating Segments</w:t>
              </w:r>
            </w:hyperlink>
          </w:p>
        </w:tc>
        <w:tc>
          <w:tcPr>
            <w:tcW w:w="5760" w:type="dxa"/>
            <w:vAlign w:val="bottom"/>
            <w:gridSpan w:val="20"/>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00" w:type="dxa"/>
            <w:vAlign w:val="bottom"/>
            <w:gridSpan w:val="2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12. Related Party Transactions</w:t>
              </w:r>
            </w:hyperlink>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80" w:type="dxa"/>
            <w:vAlign w:val="bottom"/>
            <w:gridSpan w:val="4"/>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960" w:type="dxa"/>
            <w:vAlign w:val="bottom"/>
            <w:gridSpan w:val="3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240" w:type="dxa"/>
            <w:vAlign w:val="bottom"/>
          </w:tcPr>
          <w:p>
            <w:pPr>
              <w:spacing w:after="0"/>
              <w:rPr>
                <w:sz w:val="24"/>
                <w:szCs w:val="24"/>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78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3. QUANTITATIVE AND QUALITATIVE DISCLOSURES ABOUT MARKET RISK</w:t>
              </w:r>
            </w:hyperlink>
          </w:p>
        </w:tc>
        <w:tc>
          <w:tcPr>
            <w:tcW w:w="4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67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4. CONTROLS AND PROCEDURES</w:t>
              </w:r>
            </w:hyperlink>
          </w:p>
        </w:tc>
        <w:tc>
          <w:tcPr>
            <w:tcW w:w="116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2780" w:type="dxa"/>
            <w:vAlign w:val="bottom"/>
            <w:tcBorders>
              <w:top w:val="single" w:sz="8" w:color="0000EE"/>
              <w:bottom w:val="single" w:sz="8" w:color="0000EE"/>
            </w:tcBorders>
            <w:gridSpan w:val="16"/>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380" w:type="dxa"/>
            <w:vAlign w:val="bottom"/>
            <w:tcBorders>
              <w:top w:val="single" w:sz="8" w:color="0000EE"/>
            </w:tcBorders>
            <w:gridSpan w:val="4"/>
          </w:tcPr>
          <w:p>
            <w:pPr>
              <w:spacing w:after="0"/>
              <w:rPr>
                <w:sz w:val="24"/>
                <w:szCs w:val="24"/>
                <w:color w:val="auto"/>
              </w:rPr>
            </w:pPr>
          </w:p>
        </w:tc>
        <w:tc>
          <w:tcPr>
            <w:tcW w:w="4700" w:type="dxa"/>
            <w:vAlign w:val="bottom"/>
            <w:gridSpan w:val="12"/>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1. LEGAL PROCEEDINGS</w:t>
              </w:r>
            </w:hyperlink>
          </w:p>
        </w:tc>
        <w:tc>
          <w:tcPr>
            <w:tcW w:w="5420" w:type="dxa"/>
            <w:vAlign w:val="bottom"/>
            <w:gridSpan w:val="19"/>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7860" w:type="dxa"/>
            <w:vAlign w:val="bottom"/>
            <w:gridSpan w:val="3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1A. RISK FACTORS</w:t>
              </w:r>
            </w:hyperlink>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2. UNREGISTERED SALES OF EQUITY SECURITIES AND USE OF PROCEEDS</w:t>
              </w:r>
            </w:hyperlink>
          </w:p>
        </w:tc>
        <w:tc>
          <w:tcPr>
            <w:tcW w:w="122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7860" w:type="dxa"/>
            <w:vAlign w:val="bottom"/>
            <w:gridSpan w:val="3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3. DEFAULTS UPON SENIOR SECURITIES</w:t>
              </w:r>
            </w:hyperlink>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7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4. MINE SAFETY DISCLOSURES</w:t>
              </w:r>
            </w:hyperlink>
          </w:p>
        </w:tc>
        <w:tc>
          <w:tcPr>
            <w:tcW w:w="4120" w:type="dxa"/>
            <w:vAlign w:val="bottom"/>
            <w:gridSpan w:val="10"/>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0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5. OTHER INFORMATION</w:t>
              </w:r>
            </w:hyperlink>
          </w:p>
        </w:tc>
        <w:tc>
          <w:tcPr>
            <w:tcW w:w="4860" w:type="dxa"/>
            <w:vAlign w:val="bottom"/>
            <w:gridSpan w:val="15"/>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4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6. EXHIBITS</w:t>
              </w:r>
            </w:hyperlink>
          </w:p>
        </w:tc>
        <w:tc>
          <w:tcPr>
            <w:tcW w:w="5420" w:type="dxa"/>
            <w:vAlign w:val="bottom"/>
            <w:gridSpan w:val="19"/>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3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1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00" w:type="dxa"/>
            <w:vAlign w:val="bottom"/>
            <w:gridSpan w:val="19"/>
          </w:tcPr>
          <w:p>
            <w:pPr>
              <w:jc w:val="center"/>
              <w:ind w:left="359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6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20" w:type="dxa"/>
            <w:vAlign w:val="bottom"/>
            <w:gridSpan w:val="8"/>
          </w:tcPr>
          <w:p>
            <w:pPr>
              <w:spacing w:after="0"/>
              <w:rPr>
                <w:rFonts w:ascii="Arial" w:cs="Arial" w:eastAsia="Arial" w:hAnsi="Arial"/>
                <w:sz w:val="18"/>
                <w:szCs w:val="18"/>
                <w:color w:val="0000EE"/>
                <w:w w:val="91"/>
              </w:rPr>
            </w:pPr>
            <w:hyperlink w:anchor="page1">
              <w:r>
                <w:rPr>
                  <w:rFonts w:ascii="Arial" w:cs="Arial" w:eastAsia="Arial" w:hAnsi="Arial"/>
                  <w:sz w:val="18"/>
                  <w:szCs w:val="18"/>
                  <w:color w:val="0000EE"/>
                  <w:w w:val="91"/>
                </w:rPr>
                <w:t>Table of Contents</w:t>
              </w:r>
            </w:hyperlink>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rPr>
              <w:t>PART I. FINANCIAL INFORMATION</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gridSpan w:val="8"/>
          </w:tcPr>
          <w:p>
            <w:pPr>
              <w:spacing w:after="0"/>
              <w:rPr>
                <w:sz w:val="20"/>
                <w:szCs w:val="20"/>
                <w:color w:val="auto"/>
              </w:rPr>
            </w:pPr>
            <w:r>
              <w:rPr>
                <w:rFonts w:ascii="Arial" w:cs="Arial" w:eastAsia="Arial" w:hAnsi="Arial"/>
                <w:sz w:val="18"/>
                <w:szCs w:val="18"/>
                <w:b w:val="1"/>
                <w:bCs w:val="1"/>
                <w:color w:val="auto"/>
              </w:rPr>
              <w:t>Item 1.</w:t>
            </w:r>
          </w:p>
        </w:tc>
        <w:tc>
          <w:tcPr>
            <w:tcW w:w="6540" w:type="dxa"/>
            <w:vAlign w:val="bottom"/>
            <w:gridSpan w:val="24"/>
          </w:tcPr>
          <w:p>
            <w:pPr>
              <w:spacing w:after="0"/>
              <w:rPr>
                <w:sz w:val="20"/>
                <w:szCs w:val="20"/>
                <w:color w:val="auto"/>
              </w:rPr>
            </w:pPr>
            <w:r>
              <w:rPr>
                <w:rFonts w:ascii="Arial" w:cs="Arial" w:eastAsia="Arial" w:hAnsi="Arial"/>
                <w:sz w:val="18"/>
                <w:szCs w:val="18"/>
                <w:b w:val="1"/>
                <w:bCs w:val="1"/>
                <w:color w:val="auto"/>
              </w:rPr>
              <w:t>UNAUDITED CONDENSED CONSOLIDATED FINANCIAL STATEMENTS</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11"/>
          </w:tcPr>
          <w:p>
            <w:pPr>
              <w:jc w:val="center"/>
              <w:ind w:left="310"/>
              <w:spacing w:after="0"/>
              <w:rPr>
                <w:sz w:val="20"/>
                <w:szCs w:val="20"/>
                <w:color w:val="auto"/>
              </w:rPr>
            </w:pPr>
            <w:r>
              <w:rPr>
                <w:rFonts w:ascii="Arial" w:cs="Arial" w:eastAsia="Arial" w:hAnsi="Arial"/>
                <w:sz w:val="18"/>
                <w:szCs w:val="18"/>
                <w:b w:val="1"/>
                <w:bCs w:val="1"/>
                <w:color w:val="auto"/>
                <w:w w:val="98"/>
              </w:rPr>
              <w:t>PLAINS GP HOLDINGS, L.P. AND SUBSIDIARIES</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gridSpan w:val="11"/>
          </w:tcPr>
          <w:p>
            <w:pPr>
              <w:jc w:val="center"/>
              <w:ind w:left="2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360" w:type="dxa"/>
            <w:vAlign w:val="bottom"/>
            <w:gridSpan w:val="8"/>
          </w:tcPr>
          <w:p>
            <w:pPr>
              <w:jc w:val="center"/>
              <w:ind w:right="940"/>
              <w:spacing w:after="0"/>
              <w:rPr>
                <w:sz w:val="20"/>
                <w:szCs w:val="20"/>
                <w:color w:val="auto"/>
              </w:rPr>
            </w:pPr>
            <w:r>
              <w:rPr>
                <w:rFonts w:ascii="Arial" w:cs="Arial" w:eastAsia="Arial" w:hAnsi="Arial"/>
                <w:sz w:val="18"/>
                <w:szCs w:val="18"/>
                <w:b w:val="1"/>
                <w:bCs w:val="1"/>
                <w:color w:val="auto"/>
                <w:w w:val="88"/>
              </w:rPr>
              <w:t>(in millions, except share data)</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24"/>
                <w:szCs w:val="24"/>
                <w:color w:val="auto"/>
              </w:rPr>
            </w:pPr>
          </w:p>
        </w:tc>
        <w:tc>
          <w:tcPr>
            <w:tcW w:w="12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31"/>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1"/>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5"/>
          </w:tcPr>
          <w:p>
            <w:pPr>
              <w:jc w:val="right"/>
              <w:ind w:right="280"/>
              <w:spacing w:after="0"/>
              <w:rPr>
                <w:sz w:val="20"/>
                <w:szCs w:val="20"/>
                <w:color w:val="auto"/>
              </w:rPr>
            </w:pPr>
            <w:r>
              <w:rPr>
                <w:rFonts w:ascii="Arial" w:cs="Arial" w:eastAsia="Arial" w:hAnsi="Arial"/>
                <w:sz w:val="18"/>
                <w:szCs w:val="18"/>
                <w:color w:val="auto"/>
              </w:rPr>
              <w:t>460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1"/>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1,817</w:t>
            </w:r>
          </w:p>
        </w:tc>
        <w:tc>
          <w:tcPr>
            <w:tcW w:w="2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5"/>
          </w:tcPr>
          <w:p>
            <w:pPr>
              <w:jc w:val="right"/>
              <w:ind w:right="280"/>
              <w:spacing w:after="0"/>
              <w:rPr>
                <w:sz w:val="20"/>
                <w:szCs w:val="20"/>
                <w:color w:val="auto"/>
              </w:rPr>
            </w:pPr>
            <w:r>
              <w:rPr>
                <w:rFonts w:ascii="Arial" w:cs="Arial" w:eastAsia="Arial" w:hAnsi="Arial"/>
                <w:sz w:val="18"/>
                <w:szCs w:val="18"/>
                <w:color w:val="auto"/>
              </w:rPr>
              <w:t>929</w:t>
            </w:r>
          </w:p>
        </w:tc>
        <w:tc>
          <w:tcPr>
            <w:tcW w:w="24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891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1"/>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gridSpan w:val="31"/>
          </w:tcPr>
          <w:p>
            <w:pPr>
              <w:ind w:left="160"/>
              <w:spacing w:after="0"/>
              <w:rPr>
                <w:sz w:val="20"/>
                <w:szCs w:val="20"/>
                <w:color w:val="auto"/>
              </w:rPr>
            </w:pPr>
            <w:r>
              <w:rPr>
                <w:rFonts w:ascii="Arial" w:cs="Arial" w:eastAsia="Arial" w:hAnsi="Arial"/>
                <w:sz w:val="18"/>
                <w:szCs w:val="18"/>
                <w:color w:val="auto"/>
              </w:rPr>
              <w:t>Total current assets</w:t>
            </w:r>
          </w:p>
        </w:tc>
        <w:tc>
          <w:tcPr>
            <w:tcW w:w="4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3,455</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4,181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31"/>
          </w:tcPr>
          <w:p>
            <w:pPr>
              <w:spacing w:after="0"/>
              <w:rPr>
                <w:sz w:val="20"/>
                <w:szCs w:val="20"/>
                <w:color w:val="auto"/>
              </w:rPr>
            </w:pPr>
            <w:r>
              <w:rPr>
                <w:rFonts w:ascii="Arial" w:cs="Arial" w:eastAsia="Arial" w:hAnsi="Arial"/>
                <w:sz w:val="18"/>
                <w:szCs w:val="18"/>
                <w:b w:val="1"/>
                <w:bCs w:val="1"/>
                <w:color w:val="auto"/>
              </w:rPr>
              <w:t>PROPERTY AND EQUIPMENT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5"/>
          </w:tcPr>
          <w:p>
            <w:pPr>
              <w:jc w:val="right"/>
              <w:ind w:right="280"/>
              <w:spacing w:after="0"/>
              <w:rPr>
                <w:sz w:val="20"/>
                <w:szCs w:val="20"/>
                <w:color w:val="auto"/>
              </w:rPr>
            </w:pPr>
            <w:r>
              <w:rPr>
                <w:rFonts w:ascii="Arial" w:cs="Arial" w:eastAsia="Arial" w:hAnsi="Arial"/>
                <w:sz w:val="18"/>
                <w:szCs w:val="18"/>
                <w:color w:val="auto"/>
              </w:rPr>
              <w:t>14,477</w:t>
            </w:r>
          </w:p>
        </w:tc>
        <w:tc>
          <w:tcPr>
            <w:tcW w:w="24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14,219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1"/>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(1,973)</w:t>
            </w:r>
          </w:p>
        </w:tc>
        <w:tc>
          <w:tcPr>
            <w:tcW w:w="2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gridSpan w:val="31"/>
          </w:tcPr>
          <w:p>
            <w:pPr>
              <w:ind w:left="160"/>
              <w:spacing w:after="0"/>
              <w:rPr>
                <w:sz w:val="20"/>
                <w:szCs w:val="20"/>
                <w:color w:val="auto"/>
              </w:rPr>
            </w:pPr>
            <w:r>
              <w:rPr>
                <w:rFonts w:ascii="Arial" w:cs="Arial" w:eastAsia="Arial" w:hAnsi="Arial"/>
                <w:sz w:val="18"/>
                <w:szCs w:val="18"/>
                <w:color w:val="auto"/>
              </w:rPr>
              <w:t>Property and equipment, net</w:t>
            </w:r>
          </w:p>
        </w:tc>
        <w:tc>
          <w:tcPr>
            <w:tcW w:w="4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12,504</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12,292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31"/>
          </w:tcPr>
          <w:p>
            <w:pPr>
              <w:spacing w:after="0"/>
              <w:rPr>
                <w:sz w:val="20"/>
                <w:szCs w:val="20"/>
                <w:color w:val="auto"/>
              </w:rPr>
            </w:pPr>
            <w:r>
              <w:rPr>
                <w:rFonts w:ascii="Arial" w:cs="Arial" w:eastAsia="Arial" w:hAnsi="Arial"/>
                <w:sz w:val="18"/>
                <w:szCs w:val="18"/>
                <w:b w:val="1"/>
                <w:bCs w:val="1"/>
                <w:color w:val="auto"/>
              </w:rPr>
              <w:t>OTHER ASSETS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2,435</w:t>
            </w:r>
          </w:p>
        </w:tc>
        <w:tc>
          <w:tcPr>
            <w:tcW w:w="2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1"/>
          </w:tcPr>
          <w:p>
            <w:pPr>
              <w:spacing w:after="0"/>
              <w:rPr>
                <w:sz w:val="20"/>
                <w:szCs w:val="20"/>
                <w:color w:val="auto"/>
              </w:rPr>
            </w:pPr>
            <w:r>
              <w:rPr>
                <w:rFonts w:ascii="Arial" w:cs="Arial" w:eastAsia="Arial" w:hAnsi="Arial"/>
                <w:sz w:val="18"/>
                <w:szCs w:val="18"/>
                <w:color w:val="auto"/>
              </w:rPr>
              <w:t>Investments in unconsolidated entities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5"/>
          </w:tcPr>
          <w:p>
            <w:pPr>
              <w:jc w:val="right"/>
              <w:ind w:right="280"/>
              <w:spacing w:after="0"/>
              <w:rPr>
                <w:sz w:val="20"/>
                <w:szCs w:val="20"/>
                <w:color w:val="auto"/>
              </w:rPr>
            </w:pPr>
            <w:r>
              <w:rPr>
                <w:rFonts w:ascii="Arial" w:cs="Arial" w:eastAsia="Arial" w:hAnsi="Arial"/>
                <w:sz w:val="18"/>
                <w:szCs w:val="18"/>
                <w:color w:val="auto"/>
              </w:rPr>
              <w:t>1,784</w:t>
            </w:r>
          </w:p>
        </w:tc>
        <w:tc>
          <w:tcPr>
            <w:tcW w:w="24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1,735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87"/>
              </w:rPr>
              <w:t>Deferred tax asset</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1,850</w:t>
            </w:r>
          </w:p>
        </w:tc>
        <w:tc>
          <w:tcPr>
            <w:tcW w:w="2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1"/>
          </w:tcPr>
          <w:p>
            <w:pPr>
              <w:spacing w:after="0"/>
              <w:rPr>
                <w:sz w:val="20"/>
                <w:szCs w:val="20"/>
                <w:color w:val="auto"/>
              </w:rPr>
            </w:pPr>
            <w:r>
              <w:rPr>
                <w:rFonts w:ascii="Arial" w:cs="Arial" w:eastAsia="Arial" w:hAnsi="Arial"/>
                <w:sz w:val="18"/>
                <w:szCs w:val="18"/>
                <w:color w:val="auto"/>
              </w:rPr>
              <w:t>Linefill and base gas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5"/>
          </w:tcPr>
          <w:p>
            <w:pPr>
              <w:jc w:val="right"/>
              <w:ind w:right="280"/>
              <w:spacing w:after="0"/>
              <w:rPr>
                <w:sz w:val="20"/>
                <w:szCs w:val="20"/>
                <w:color w:val="auto"/>
              </w:rPr>
            </w:pPr>
            <w:r>
              <w:rPr>
                <w:rFonts w:ascii="Arial" w:cs="Arial" w:eastAsia="Arial" w:hAnsi="Arial"/>
                <w:sz w:val="18"/>
                <w:szCs w:val="18"/>
                <w:color w:val="auto"/>
              </w:rPr>
              <w:t>960</w:t>
            </w:r>
          </w:p>
        </w:tc>
        <w:tc>
          <w:tcPr>
            <w:tcW w:w="24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1"/>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1"/>
          </w:tcPr>
          <w:p>
            <w:pPr>
              <w:spacing w:after="0"/>
              <w:rPr>
                <w:sz w:val="20"/>
                <w:szCs w:val="20"/>
                <w:color w:val="auto"/>
              </w:rPr>
            </w:pPr>
            <w:r>
              <w:rPr>
                <w:rFonts w:ascii="Arial" w:cs="Arial" w:eastAsia="Arial" w:hAnsi="Arial"/>
                <w:sz w:val="18"/>
                <w:szCs w:val="18"/>
                <w:color w:val="auto"/>
              </w:rPr>
              <w:t>Other long-term assets, net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5"/>
          </w:tcPr>
          <w:p>
            <w:pPr>
              <w:jc w:val="right"/>
              <w:ind w:right="280"/>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489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Borders>
              <w:top w:val="single" w:sz="8" w:color="CCEEFF"/>
              <w:bottom w:val="single" w:sz="8" w:color="CCEEFF"/>
            </w:tcBorders>
            <w:gridSpan w:val="7"/>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23,596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23,983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-4864100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-4864100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70" w:orient="portrait"/>
          <w:cols w:equalWidth="0" w:num="1">
            <w:col w:w="11460"/>
          </w:cols>
          <w:pgMar w:left="240" w:top="11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5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2,491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553</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488</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0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Senior notes, net of unamortized discount of $17 and $18, respectively</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8,758</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564</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594</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long-term liabilities</w:t>
            </w:r>
          </w:p>
        </w:tc>
        <w:tc>
          <w:tcPr>
            <w:tcW w:w="10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Class A Shareholders (222,773,809 and 206,933,274 shares outstanding, respectively)</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1,804</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Class B Shareholders (383,276,764 and 399,096,499 shares outstanding, respectively)</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8,344</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w:t>
            </w:r>
          </w:p>
        </w:tc>
        <w:tc>
          <w:tcPr>
            <w:tcW w:w="10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10,148</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04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23,596</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166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5,632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Facilities segment revenues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7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5,042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7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367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Interest expense (net of capitalized interest of $14 and $11, respectively)</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1660" w:type="dxa"/>
            <w:vAlign w:val="bottom"/>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WEIGHTED AVERAGE CLASS A SHARES OUTSTANDING</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56" w:right="239" w:bottom="0" w:gutter="0" w:footer="0" w:header="0"/>
        </w:sectPr>
      </w:pPr>
    </w:p>
    <w:bookmarkStart w:id="3" w:name="page4"/>
    <w:bookmarkEnd w:id="3"/>
    <w:p>
      <w:pPr>
        <w:jc w:val="center"/>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 / (LOSS) (in millions)</w:t>
      </w:r>
    </w:p>
    <w:p>
      <w:pPr>
        <w:spacing w:after="0" w:line="386"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6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2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(376)</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income/(loss)</w:t>
            </w:r>
          </w:p>
        </w:tc>
        <w:tc>
          <w:tcPr>
            <w:tcW w:w="15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(114)</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ind w:left="180"/>
              <w:spacing w:after="0"/>
              <w:rPr>
                <w:sz w:val="20"/>
                <w:szCs w:val="20"/>
                <w:color w:val="auto"/>
              </w:rPr>
            </w:pPr>
            <w:r>
              <w:rPr>
                <w:rFonts w:ascii="Arial" w:cs="Arial" w:eastAsia="Arial" w:hAnsi="Arial"/>
                <w:sz w:val="18"/>
                <w:szCs w:val="18"/>
                <w:color w:val="auto"/>
              </w:rPr>
              <w:t>Comprehensive (income)/loss attributable to noncontrolling interests</w:t>
            </w: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r>
      <w:tr>
        <w:trPr>
          <w:trHeight w:val="210"/>
        </w:trPr>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PAGP</w:t>
            </w: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ACCUMULATED OTHER COMPREHENSIVE INCOME /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period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24"/>
                <w:szCs w:val="2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period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income</w:t>
            </w:r>
          </w:p>
        </w:tc>
        <w:tc>
          <w:tcPr>
            <w:tcW w:w="24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262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Equity-indexed compensation expense</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Inventory valuation adjustments</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(benefit)/expense</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(Gain)/loss on foreign currency revaluation</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earnings in unconsolidated entities</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Distributions from unconsolidated entities</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343</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paid in connection with acquisitions, net of cash acquired</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equipment and other</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sales of linefill and base gas</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gridSpan w:val="2"/>
          </w:tcPr>
          <w:p>
            <w:pPr>
              <w:spacing w:after="0"/>
              <w:rPr>
                <w:sz w:val="20"/>
                <w:szCs w:val="20"/>
                <w:color w:val="auto"/>
              </w:rPr>
            </w:pPr>
            <w:r>
              <w:rPr>
                <w:rFonts w:ascii="Arial" w:cs="Arial" w:eastAsia="Arial" w:hAnsi="Arial"/>
                <w:sz w:val="18"/>
                <w:szCs w:val="18"/>
                <w:color w:val="auto"/>
              </w:rPr>
              <w:t>Cash paid for purchases of linefill and base gas</w:t>
            </w: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5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assets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Net repayments under PAA commercial paper program (Note 6)</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under AAP senior secured revolving credit facility (Note 6)</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Net proceeds from the issuance of common units by subsidiaries (Note 7)</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1,099</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Class A shareholders (Note 7)</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Distributions paid to noncontrolling interests (Note 7)</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(346)</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vMerge w:val="restart"/>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Effect of translation adjustment on cash</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0"/>
        </w:trPr>
        <w:tc>
          <w:tcPr>
            <w:tcW w:w="68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4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8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paid for:</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net of amounts capitalized</w:t>
            </w:r>
          </w:p>
        </w:tc>
        <w:tc>
          <w:tcPr>
            <w:tcW w:w="19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Income taxes, net of amounts refunded</w:t>
            </w:r>
          </w:p>
        </w:tc>
        <w:tc>
          <w:tcPr>
            <w:tcW w:w="19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gridSpan w:val="4"/>
          </w:tcPr>
          <w:p>
            <w:pPr>
              <w:jc w:val="center"/>
              <w:ind w:right="539"/>
              <w:spacing w:after="0"/>
              <w:rPr>
                <w:sz w:val="20"/>
                <w:szCs w:val="20"/>
                <w:color w:val="auto"/>
              </w:rPr>
            </w:pPr>
            <w:r>
              <w:rPr>
                <w:rFonts w:ascii="Arial" w:cs="Arial" w:eastAsia="Arial" w:hAnsi="Arial"/>
                <w:sz w:val="14"/>
                <w:szCs w:val="14"/>
                <w:b w:val="1"/>
                <w:bCs w:val="1"/>
                <w:color w:val="auto"/>
                <w:w w:val="95"/>
              </w:rPr>
              <w:t>Partners’ Capital</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Noncontrolling</w:t>
            </w: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660" w:type="dxa"/>
            <w:vAlign w:val="bottom"/>
            <w:tcBorders>
              <w:bottom w:val="single" w:sz="8" w:color="auto"/>
            </w:tcBorders>
            <w:gridSpan w:val="5"/>
          </w:tcPr>
          <w:p>
            <w:pPr>
              <w:jc w:val="center"/>
              <w:ind w:left="247"/>
              <w:spacing w:after="0"/>
              <w:rPr>
                <w:sz w:val="20"/>
                <w:szCs w:val="20"/>
                <w:color w:val="auto"/>
              </w:rPr>
            </w:pPr>
            <w:r>
              <w:rPr>
                <w:rFonts w:ascii="Arial" w:cs="Arial" w:eastAsia="Arial" w:hAnsi="Arial"/>
                <w:sz w:val="14"/>
                <w:szCs w:val="14"/>
                <w:b w:val="1"/>
                <w:bCs w:val="1"/>
                <w:color w:val="auto"/>
                <w:w w:val="93"/>
              </w:rPr>
              <w:t>(Excluding Noncontrolling Interests)</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Class A</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Class B</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89"/>
              </w:rPr>
              <w:t>Interests</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w w:val="91"/>
              </w:rPr>
              <w:t>(unaudited)</w:t>
            </w: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1,657</w:t>
            </w:r>
          </w:p>
        </w:tc>
        <w:tc>
          <w:tcPr>
            <w:tcW w:w="1140" w:type="dxa"/>
            <w:vAlign w:val="bottom"/>
            <w:gridSpan w:val="2"/>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ind w:left="14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231</w:t>
            </w:r>
          </w:p>
        </w:tc>
        <w:tc>
          <w:tcPr>
            <w:tcW w:w="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262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Change in ownership interest in connection with Exchange Right</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exercises (Note 7)</w:t>
            </w:r>
          </w:p>
        </w:tc>
        <w:tc>
          <w:tcPr>
            <w:tcW w:w="9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Issuance of common units by subsidiaries</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1,099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Distribution equivalent right payments</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Balance at March 31, 2015</w:t>
            </w:r>
          </w:p>
        </w:tc>
        <w:tc>
          <w:tcPr>
            <w:tcW w:w="94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gridSpan w:val="4"/>
          </w:tcPr>
          <w:p>
            <w:pPr>
              <w:jc w:val="center"/>
              <w:ind w:right="539"/>
              <w:spacing w:after="0"/>
              <w:rPr>
                <w:sz w:val="20"/>
                <w:szCs w:val="20"/>
                <w:color w:val="auto"/>
              </w:rPr>
            </w:pPr>
            <w:r>
              <w:rPr>
                <w:rFonts w:ascii="Arial" w:cs="Arial" w:eastAsia="Arial" w:hAnsi="Arial"/>
                <w:sz w:val="14"/>
                <w:szCs w:val="14"/>
                <w:b w:val="1"/>
                <w:bCs w:val="1"/>
                <w:color w:val="auto"/>
                <w:w w:val="95"/>
              </w:rPr>
              <w:t>Partners’ Capital</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Noncontrolling</w:t>
            </w:r>
          </w:p>
        </w:tc>
        <w:tc>
          <w:tcPr>
            <w:tcW w:w="24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660" w:type="dxa"/>
            <w:vAlign w:val="bottom"/>
            <w:tcBorders>
              <w:bottom w:val="single" w:sz="8" w:color="auto"/>
            </w:tcBorders>
            <w:gridSpan w:val="5"/>
          </w:tcPr>
          <w:p>
            <w:pPr>
              <w:jc w:val="center"/>
              <w:ind w:left="247"/>
              <w:spacing w:after="0"/>
              <w:rPr>
                <w:sz w:val="20"/>
                <w:szCs w:val="20"/>
                <w:color w:val="auto"/>
              </w:rPr>
            </w:pPr>
            <w:r>
              <w:rPr>
                <w:rFonts w:ascii="Arial" w:cs="Arial" w:eastAsia="Arial" w:hAnsi="Arial"/>
                <w:sz w:val="14"/>
                <w:szCs w:val="14"/>
                <w:b w:val="1"/>
                <w:bCs w:val="1"/>
                <w:color w:val="auto"/>
                <w:w w:val="93"/>
              </w:rPr>
              <w:t>(Excluding Noncontrolling Interests)</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Class A</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Class B</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89"/>
              </w:rPr>
              <w:t>Interests</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w w:val="91"/>
              </w:rPr>
              <w:t>(unaudited)</w:t>
            </w: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1,035</w:t>
            </w:r>
          </w:p>
        </w:tc>
        <w:tc>
          <w:tcPr>
            <w:tcW w:w="1140" w:type="dxa"/>
            <w:vAlign w:val="bottom"/>
            <w:gridSpan w:val="2"/>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ind w:left="14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358</w:t>
            </w:r>
          </w:p>
        </w:tc>
        <w:tc>
          <w:tcPr>
            <w:tcW w:w="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372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Change in ownership interest in connection with Exchange Right</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exercises (Note 7)</w:t>
            </w:r>
          </w:p>
        </w:tc>
        <w:tc>
          <w:tcPr>
            <w:tcW w:w="9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Issuance of common units by subsidiaries</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Issuance of PAA common units under LTIP, net of units tendered</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by employees to satisfy tax withholding obligations</w:t>
            </w:r>
          </w:p>
        </w:tc>
        <w:tc>
          <w:tcPr>
            <w:tcW w:w="9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equivalent right payments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9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940" w:type="dxa"/>
            <w:vAlign w:val="bottom"/>
            <w:tcBorders>
              <w:top w:val="single" w:sz="8" w:color="auto"/>
              <w:bottom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5" w:gutter="0" w:footer="0" w:header="0"/>
        </w:sectPr>
      </w:pPr>
    </w:p>
    <w:bookmarkStart w:id="5" w:name="page6"/>
    <w:bookmarkEnd w:id="5"/>
    <w:p>
      <w:pPr>
        <w:jc w:val="center"/>
        <w:ind w:right="20"/>
        <w:spacing w:after="0" w:line="275" w:lineRule="auto"/>
        <w:rPr>
          <w:sz w:val="20"/>
          <w:szCs w:val="20"/>
          <w:color w:val="auto"/>
        </w:rPr>
      </w:pPr>
      <w:r>
        <w:rPr>
          <w:rFonts w:ascii="Arial" w:cs="Arial" w:eastAsia="Arial" w:hAnsi="Arial"/>
          <w:sz w:val="18"/>
          <w:szCs w:val="18"/>
          <w:b w:val="1"/>
          <w:bCs w:val="1"/>
          <w:color w:val="auto"/>
        </w:rPr>
        <w:t>PLAINS GP HOLDINGS, L.P. AND SUBSIDIARIES NOTES TO THE CONDENSED CONSOLIDATED FINANCIAL STATEMENTS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Plains GP Holdings, L.P. (“PAGP”) is a Delaware limited partnership formed on July 17, 2013 to own an interest in the general partner and incentive distribution rights (“IDRs”) of Plains All American Pipeline, L.P. (“PAA”), a publicly traded Delaware limited partnership. PAGP has elected to be treated as a corporation for U.S. federal income tax purposes.</w:t>
      </w:r>
    </w:p>
    <w:p>
      <w:pPr>
        <w:spacing w:after="0" w:line="18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As of March 31, 2015, our sole assets consisted of (i) a 100% managing member interest in Plains All American GP LLC (“GP LLC”) and (ii) an approximate 37% limited partner interest in Plains AAP, L.P. (“AAP”) through our ownership of 222,773,809 Class A units of AAP (“AAP units”). GP LLC is a Delaware limited liability company that holds the general partner interest in AAP. AAP is a Delaware limited partnership that directly owns all of PAA’s IDRs and indirectly owns the 2% general partner interest in PAA. AAP is the sole member of PAA GP LLC (“PAA GP”), a Delaware limited liability company that directly holds the 2% general partner interest in PAA. Plains GP Holdings LLC, a Delaware limited liability company, is our general partner.</w:t>
      </w:r>
    </w:p>
    <w:p>
      <w:pPr>
        <w:spacing w:after="0" w:line="158"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GP LLC manages the business and affairs of PAA and AAP. Except for certain matters relating to PAA that require the approval of the limited partners of PAA, and certain matters relating to AAP that require the approval of the limited partners of AAP or of us as the sole member of GP LLC, either pursuant to the governing documents of PAA, AAP or GP LLC, or as may be required by non-waivable provisions of applicable law, GP LLC has full and complete authority, power and discretion to manage and control the business, affairs and property of PAA and AAP, to make all decisions regarding those matters and to perform any and all other acts or activities customary or incident to the management of PAA and AAP’s business, including the execution of contracts and management of litigation. GP LLC employs all domestic officers and personnel involved in the operation and management of PAA and AAP. PAA’s Canadian officers and personnel are employed by Plains Midstream Canada ULC (“PMC”).</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11 for further discussion of our operating segments.</w:t>
      </w:r>
    </w:p>
    <w:p>
      <w:pPr>
        <w:spacing w:after="0" w:line="188"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As used in this Form 10-Q and unless the context indicates otherwise (taking into account the fact that PAGP has no operating activities apart from those conducted by PAA and its subsidiaries), the terms “PAGP,” “Partnership,” “Plains,” “we,” “us,” “our,” “ours” and similar terms refer to PAGP and its consolidated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AOCI</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20" w:type="dxa"/>
            <w:vAlign w:val="bottom"/>
          </w:tcPr>
          <w:p>
            <w:pPr>
              <w:ind w:left="300"/>
              <w:spacing w:after="0"/>
              <w:rPr>
                <w:sz w:val="20"/>
                <w:szCs w:val="20"/>
                <w:color w:val="auto"/>
              </w:rPr>
            </w:pPr>
            <w:r>
              <w:rPr>
                <w:rFonts w:ascii="Arial" w:cs="Arial" w:eastAsia="Arial" w:hAnsi="Arial"/>
                <w:sz w:val="18"/>
                <w:szCs w:val="18"/>
                <w:color w:val="auto"/>
              </w:rPr>
              <w:t>Accumulated other comprehensive income / (loss)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Bcf</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20" w:type="dxa"/>
            <w:vAlign w:val="bottom"/>
          </w:tcPr>
          <w:p>
            <w:pPr>
              <w:ind w:left="300"/>
              <w:spacing w:after="0"/>
              <w:rPr>
                <w:sz w:val="20"/>
                <w:szCs w:val="20"/>
                <w:color w:val="auto"/>
              </w:rPr>
            </w:pPr>
            <w:r>
              <w:rPr>
                <w:rFonts w:ascii="Arial" w:cs="Arial" w:eastAsia="Arial" w:hAnsi="Arial"/>
                <w:sz w:val="18"/>
                <w:szCs w:val="18"/>
                <w:color w:val="auto"/>
              </w:rPr>
              <w:t>Billion cubic feet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Btu</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20" w:type="dxa"/>
            <w:vAlign w:val="bottom"/>
          </w:tcPr>
          <w:p>
            <w:pPr>
              <w:ind w:left="300"/>
              <w:spacing w:after="0"/>
              <w:rPr>
                <w:sz w:val="20"/>
                <w:szCs w:val="20"/>
                <w:color w:val="auto"/>
              </w:rPr>
            </w:pPr>
            <w:r>
              <w:rPr>
                <w:rFonts w:ascii="Arial" w:cs="Arial" w:eastAsia="Arial" w:hAnsi="Arial"/>
                <w:sz w:val="18"/>
                <w:szCs w:val="18"/>
                <w:color w:val="auto"/>
              </w:rPr>
              <w:t>British thermal unit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CAD</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20" w:type="dxa"/>
            <w:vAlign w:val="bottom"/>
          </w:tcPr>
          <w:p>
            <w:pPr>
              <w:ind w:left="300"/>
              <w:spacing w:after="0"/>
              <w:rPr>
                <w:sz w:val="20"/>
                <w:szCs w:val="20"/>
                <w:color w:val="auto"/>
              </w:rPr>
            </w:pPr>
            <w:r>
              <w:rPr>
                <w:rFonts w:ascii="Arial" w:cs="Arial" w:eastAsia="Arial" w:hAnsi="Arial"/>
                <w:sz w:val="18"/>
                <w:szCs w:val="18"/>
                <w:color w:val="auto"/>
              </w:rPr>
              <w:t>Canadian dollar</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DERs</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20" w:type="dxa"/>
            <w:vAlign w:val="bottom"/>
          </w:tcPr>
          <w:p>
            <w:pPr>
              <w:ind w:left="30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EPA</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20" w:type="dxa"/>
            <w:vAlign w:val="bottom"/>
          </w:tcPr>
          <w:p>
            <w:pPr>
              <w:ind w:left="300"/>
              <w:spacing w:after="0"/>
              <w:rPr>
                <w:sz w:val="20"/>
                <w:szCs w:val="20"/>
                <w:color w:val="auto"/>
              </w:rPr>
            </w:pPr>
            <w:r>
              <w:rPr>
                <w:rFonts w:ascii="Arial" w:cs="Arial" w:eastAsia="Arial" w:hAnsi="Arial"/>
                <w:sz w:val="18"/>
                <w:szCs w:val="18"/>
                <w:color w:val="auto"/>
              </w:rPr>
              <w:t>United States Environmental Protection Agency</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FASB</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20" w:type="dxa"/>
            <w:vAlign w:val="bottom"/>
          </w:tcPr>
          <w:p>
            <w:pPr>
              <w:ind w:left="30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GAAP</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20" w:type="dxa"/>
            <w:vAlign w:val="bottom"/>
          </w:tcPr>
          <w:p>
            <w:pPr>
              <w:ind w:left="30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ICE</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20" w:type="dxa"/>
            <w:vAlign w:val="bottom"/>
          </w:tcPr>
          <w:p>
            <w:pPr>
              <w:ind w:left="300"/>
              <w:spacing w:after="0"/>
              <w:rPr>
                <w:sz w:val="20"/>
                <w:szCs w:val="20"/>
                <w:color w:val="auto"/>
              </w:rPr>
            </w:pPr>
            <w:r>
              <w:rPr>
                <w:rFonts w:ascii="Arial" w:cs="Arial" w:eastAsia="Arial" w:hAnsi="Arial"/>
                <w:sz w:val="18"/>
                <w:szCs w:val="18"/>
                <w:color w:val="auto"/>
              </w:rPr>
              <w:t>Intercontinental Exchange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LIBOR</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20" w:type="dxa"/>
            <w:vAlign w:val="bottom"/>
          </w:tcPr>
          <w:p>
            <w:pPr>
              <w:ind w:left="30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LTIP</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20" w:type="dxa"/>
            <w:vAlign w:val="bottom"/>
          </w:tcPr>
          <w:p>
            <w:pPr>
              <w:ind w:left="300"/>
              <w:spacing w:after="0"/>
              <w:rPr>
                <w:sz w:val="20"/>
                <w:szCs w:val="20"/>
                <w:color w:val="auto"/>
              </w:rPr>
            </w:pPr>
            <w:r>
              <w:rPr>
                <w:rFonts w:ascii="Arial" w:cs="Arial" w:eastAsia="Arial" w:hAnsi="Arial"/>
                <w:sz w:val="18"/>
                <w:szCs w:val="18"/>
                <w:color w:val="auto"/>
              </w:rPr>
              <w:t>Long-term incentive plan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Mcf</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20" w:type="dxa"/>
            <w:vAlign w:val="bottom"/>
          </w:tcPr>
          <w:p>
            <w:pPr>
              <w:ind w:left="300"/>
              <w:spacing w:after="0"/>
              <w:rPr>
                <w:sz w:val="20"/>
                <w:szCs w:val="20"/>
                <w:color w:val="auto"/>
              </w:rPr>
            </w:pPr>
            <w:r>
              <w:rPr>
                <w:rFonts w:ascii="Arial" w:cs="Arial" w:eastAsia="Arial" w:hAnsi="Arial"/>
                <w:sz w:val="18"/>
                <w:szCs w:val="18"/>
                <w:color w:val="auto"/>
              </w:rPr>
              <w:t>Thousand cubic feet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NGL</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20" w:type="dxa"/>
            <w:vAlign w:val="bottom"/>
          </w:tcPr>
          <w:p>
            <w:pPr>
              <w:ind w:left="300"/>
              <w:spacing w:after="0"/>
              <w:rPr>
                <w:sz w:val="20"/>
                <w:szCs w:val="20"/>
                <w:color w:val="auto"/>
              </w:rPr>
            </w:pPr>
            <w:r>
              <w:rPr>
                <w:rFonts w:ascii="Arial" w:cs="Arial" w:eastAsia="Arial" w:hAnsi="Arial"/>
                <w:sz w:val="18"/>
                <w:szCs w:val="18"/>
                <w:color w:val="auto"/>
              </w:rPr>
              <w:t>Natural gas liquids, including ethane, propane and butane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NYMEX</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20" w:type="dxa"/>
            <w:vAlign w:val="bottom"/>
          </w:tcPr>
          <w:p>
            <w:pPr>
              <w:ind w:left="300"/>
              <w:spacing w:after="0"/>
              <w:rPr>
                <w:sz w:val="20"/>
                <w:szCs w:val="20"/>
                <w:color w:val="auto"/>
              </w:rPr>
            </w:pPr>
            <w:r>
              <w:rPr>
                <w:rFonts w:ascii="Arial" w:cs="Arial" w:eastAsia="Arial" w:hAnsi="Arial"/>
                <w:sz w:val="18"/>
                <w:szCs w:val="18"/>
                <w:color w:val="auto"/>
              </w:rPr>
              <w:t>New York Mercantile Exchange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Oxy</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20" w:type="dxa"/>
            <w:vAlign w:val="bottom"/>
          </w:tcPr>
          <w:p>
            <w:pPr>
              <w:ind w:left="300"/>
              <w:spacing w:after="0"/>
              <w:rPr>
                <w:sz w:val="20"/>
                <w:szCs w:val="20"/>
                <w:color w:val="auto"/>
              </w:rPr>
            </w:pPr>
            <w:r>
              <w:rPr>
                <w:rFonts w:ascii="Arial" w:cs="Arial" w:eastAsia="Arial" w:hAnsi="Arial"/>
                <w:sz w:val="18"/>
                <w:szCs w:val="18"/>
                <w:color w:val="auto"/>
              </w:rPr>
              <w:t>Occidental Petroleum Corporation or its subsidiaries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PLA</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20" w:type="dxa"/>
            <w:vAlign w:val="bottom"/>
          </w:tcPr>
          <w:p>
            <w:pPr>
              <w:ind w:left="300"/>
              <w:spacing w:after="0"/>
              <w:rPr>
                <w:sz w:val="20"/>
                <w:szCs w:val="20"/>
                <w:color w:val="auto"/>
              </w:rPr>
            </w:pPr>
            <w:r>
              <w:rPr>
                <w:rFonts w:ascii="Arial" w:cs="Arial" w:eastAsia="Arial" w:hAnsi="Arial"/>
                <w:sz w:val="18"/>
                <w:szCs w:val="18"/>
                <w:color w:val="auto"/>
              </w:rPr>
              <w:t>Pipeline loss allowance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USD</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20" w:type="dxa"/>
            <w:vAlign w:val="bottom"/>
          </w:tcPr>
          <w:p>
            <w:pPr>
              <w:ind w:left="300"/>
              <w:spacing w:after="0"/>
              <w:rPr>
                <w:sz w:val="20"/>
                <w:szCs w:val="20"/>
                <w:color w:val="auto"/>
              </w:rPr>
            </w:pPr>
            <w:r>
              <w:rPr>
                <w:rFonts w:ascii="Arial" w:cs="Arial" w:eastAsia="Arial" w:hAnsi="Arial"/>
                <w:sz w:val="18"/>
                <w:szCs w:val="18"/>
                <w:color w:val="auto"/>
              </w:rPr>
              <w:t>United States dollar</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WTI</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20" w:type="dxa"/>
            <w:vAlign w:val="bottom"/>
          </w:tcPr>
          <w:p>
            <w:pPr>
              <w:ind w:left="300"/>
              <w:spacing w:after="0"/>
              <w:rPr>
                <w:sz w:val="20"/>
                <w:szCs w:val="20"/>
                <w:color w:val="auto"/>
              </w:rPr>
            </w:pPr>
            <w:r>
              <w:rPr>
                <w:rFonts w:ascii="Arial" w:cs="Arial" w:eastAsia="Arial" w:hAnsi="Arial"/>
                <w:sz w:val="18"/>
                <w:szCs w:val="18"/>
                <w:color w:val="auto"/>
              </w:rPr>
              <w:t>West Texas Intermediate</w:t>
            </w:r>
          </w:p>
        </w:tc>
      </w:tr>
      <w:tr>
        <w:trPr>
          <w:trHeight w:val="432"/>
        </w:trPr>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20" w:type="dxa"/>
            <w:vAlign w:val="bottom"/>
          </w:tcPr>
          <w:p>
            <w:pPr>
              <w:ind w:left="3220"/>
              <w:spacing w:after="0"/>
              <w:rPr>
                <w:sz w:val="20"/>
                <w:szCs w:val="20"/>
                <w:color w:val="auto"/>
              </w:rPr>
            </w:pPr>
            <w:r>
              <w:rPr>
                <w:rFonts w:ascii="Arial" w:cs="Arial" w:eastAsia="Arial" w:hAnsi="Arial"/>
                <w:sz w:val="18"/>
                <w:szCs w:val="18"/>
                <w:color w:val="auto"/>
              </w:rPr>
              <w:t>8</w:t>
            </w:r>
          </w:p>
        </w:tc>
      </w:tr>
      <w:tr>
        <w:trPr>
          <w:trHeight w:val="132"/>
        </w:trPr>
        <w:tc>
          <w:tcPr>
            <w:tcW w:w="13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90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The accompanying unaudited condensed consolidated interim financial statements and related notes thereto should be read in conjunction with our 2014 Annual Report on Form 10-K. The accompanying consolidated financial statements include the accounts of PAGP and all of its wholly owned subsidiaries and those entities that it controls. Under GAAP, we consolidate PAA, AAP and GP LLC. Amounts associated with the interests in these entities not owned by us are reflected in our results of operations as net income attributable to noncontrolling interests and on our balance sheet in the partners’ capital section as noncontrolling interests. Investments in entities over which we have significant influence but not control are accounted for by the equity method.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These reclassifications do not affect net income attributable to PAGP. The condensed</w:t>
      </w:r>
    </w:p>
    <w:p>
      <w:pPr>
        <w:sectPr>
          <w:pgSz w:w="11900" w:h="16838" w:orient="portrait"/>
          <w:cols w:equalWidth="0" w:num="1">
            <w:col w:w="11460"/>
          </w:cols>
          <w:pgMar w:left="240" w:top="121" w:right="199" w:bottom="0" w:gutter="0" w:footer="0" w:header="0"/>
        </w:sectPr>
      </w:pPr>
    </w:p>
    <w:bookmarkStart w:id="6" w:name="page7"/>
    <w:bookmarkEnd w:id="6"/>
    <w:p>
      <w:pPr>
        <w:spacing w:after="0" w:line="2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consolidated balance sheet data as of December 31, 2014 was derived from audited financial statements, but does not include all disclosures required by GAAP. The results of operations for the three months ended March 31, 2015 should not be taken as indicative of results to be expected for the entire year.</w:t>
      </w:r>
    </w:p>
    <w:p>
      <w:pPr>
        <w:spacing w:after="0" w:line="12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In April 2015, the FASB issued guidance to simplify the presentation of debt issuance costs in entities’ financial statements. Under this revised guidance, an entity will present such costs as a direct reduction from the related debt liability (rather than as an asset under current guidance). Additionally, amortization of the debt issuance costs will be reported as interest expense. This guidance will become effective for interim and annual periods beginning after December 15, 2015 and will be adopted retrospectively to all prior periods. Early adoption is permitted for financial statements that have not been previously issued. We expect to adopt this guidance on January 1, 2016, and we are currently evaluating the effect that adopting this guidance will have on our financial position, results of operations and cash flows.</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February 2015, the FASB issued guidance that revises the analysis that a reporting entity must perform to determine whether it should consolidate certain types of legal entities. All legal entities are subject to reevaluation under the revised consolidation model. Among other things, this guidance (i) modifies the evaluation of whether limited partnerships and similar legal entities are variable interest entities or voting interest entities, (ii) eliminates the presumption that a general partner should consolidate a limited partnership and (iii) affects the consolidation analysis of reporting entities that are involved with variable interest entities, particularly those that have fee arrangements and related party relationships. This guidance will become effective for interim and annual periods beginning after December 15, 2015. Early adoption is permitted, including adoption in an interim period. We expect to adopt this guidance on January 1, 2016, and we are currently evaluating the effect that adopting this guidance will have on our financial position, results of operations and cash flows.</w:t>
      </w:r>
    </w:p>
    <w:p>
      <w:pPr>
        <w:spacing w:after="0" w:line="192"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January 2015, as part of its initiative to reduce complexity in accounting standards, the FASB issued guidance to eliminate the concept of extraordinary items from GAAP. This guidance will become effective for interim and annual periods beginning after December 15, 2015. We expect to adopt this guidance on January 1, 2016. We do not believe our adoption will have a material impact on our financial position, results of operations or cash flows.</w:t>
      </w:r>
    </w:p>
    <w:p>
      <w:pPr>
        <w:spacing w:after="0" w:line="14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May 2014, the FASB issued guidance regarding the recognition of revenue from contracts with customers with the underlying principle that an entity will recognize revenue to reflect amounts expected to be received in exchange for the provision of goods and services to customers upon the transfer of those goods or services. The guidance also requires additional disclosures about the nature, amount, timing and uncertainty of revenue and the related cash flows. This guidance becomes effective for interim and annual periods beginning after December 15, 2016 and can be adopted either with a full retrospective approach or a modified retrospective approach with a cumulative-effect adjustment as of the date of adoption. We currently expect to adopt this guidance on January 1, 2017, and we are evaluating which transition approach to apply and the effect that adopting this guidance will have on our financial position, results of operations and cash flows. In April 2015, the FASB proposed a one year deferral of the effective date of this standard.</w:t>
      </w:r>
    </w:p>
    <w:p>
      <w:pPr>
        <w:spacing w:after="0" w:line="16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April 2014, the FASB issued guidance that modifies the criteria under which assets to be disposed of are evaluated to determine if such assets qualify as a discontinued operation and requires new disclosures for both discontinued operations and certain other disposals that do not meet the definition of a discontinued operation. This guidance is effective prospectively for annual and interim reporting periods beginning after December 15, 2014. We adopted this guidance on January 1, 2015. Our adoption did not have a material impact on our financial position, results of operations or cash flows.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Class A Share</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 average number of outstanding Class A shares during the period. Class B shares do not share in the earnings of the Partnership. Accordingly, basic and diluted net income per Class B share has not been presented.</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Diluted net income per Class A share is determined by dividing net income attributable to PAGP by the weighted average number of outstanding diluted Class A shares during the period. For purposes of calculating diluted net income per Class A share, both the net income attributable to PAGP and the weighted average number of outstanding diluted Class A shares consider the impact of possible future exchanges of (i) AAP units and the associated Class B shares into our Class A shares and (ii) certain Class B units of AAP (referred to herein as “AAP Management Units”) into our Class A shares. In addition, the calculation of the weighted average number of outstanding diluted Class A shares considers the effect of potentially dilutive awards under the Plains GP Holdings, L.P. Long-Term Incentive Plan (the “PAGP LTIP”).</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Our PAGP LTIP awards that contemplate the issuance of Class A shares are considered dilutive unless (i) vesting occurs only upon the satisfaction of a performance condition and (ii) that performance condition has yet to be satisfied. PAGP LTIP awards that are deemed to be dilutive are reduced by a hypothetical share repurchase based on the remaining unamortized fair value, as prescribed by the treasury stock method in guidance issued by the FASB.</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the three months ended March 31, 2015, and the same period in 2014, the possible exchange of any AAP units and certain AAP Management Units would not have a dilutive effect on basic net income per Class A share. For both the three months ended March 31, 2015 and March 31, 2014, our PAGP LTIP awards were dilutive. However, there were less than 0.1 million dilutive LTIP awards for each of the three months ended March 31, 2015 and 2014, which did not change the presentation of weighted average shares outstanding or net income per Class A share. The following table illustrates the calculation of basic net income per Class A share and diluted net income per Class A share for the three months ended March 31, 2015 and 2014 (in millions, except per share data):</w:t>
      </w:r>
    </w:p>
    <w:p>
      <w:pPr>
        <w:spacing w:after="0" w:line="185"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-3175</wp:posOffset>
            </wp:positionV>
            <wp:extent cx="1912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8840"/>
        <w:spacing w:after="0"/>
        <w:tabs>
          <w:tab w:leader="none" w:pos="104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27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7305"/>
                    </a:xfrm>
                    <a:prstGeom prst="rect">
                      <a:avLst/>
                    </a:prstGeom>
                    <a:noFill/>
                  </pic:spPr>
                </pic:pic>
              </a:graphicData>
            </a:graphic>
          </wp:anchor>
        </w:drawing>
      </w:r>
    </w:p>
    <w:p>
      <w:pPr>
        <w:sectPr>
          <w:pgSz w:w="11900" w:h="16863" w:orient="portrait"/>
          <w:cols w:equalWidth="0" w:num="1">
            <w:col w:w="11400"/>
          </w:cols>
          <w:pgMar w:left="240" w:top="125" w:right="25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1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2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Class A shares outstanding</w:t>
            </w:r>
          </w:p>
        </w:tc>
        <w:tc>
          <w:tcPr>
            <w:tcW w:w="1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2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4—Accounts Receivable</w:t>
            </w:r>
          </w:p>
        </w:tc>
        <w:tc>
          <w:tcPr>
            <w:tcW w:w="17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storage.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17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March 31, 2015 and December 31, 2014, we had received $130 million and $180 million, respectively, of advance cash payments from third parties to mitigate credit risk. Furthermore, as of March 31, 2015 and December 31, 2014, we had received $12 million and $198 million, respectively, of standby letters of credit to support obligations due from third parties, a portion of which applies to future business. The decrease in standby letters of credit and advance cash payments from third parties as of March 31, 2015 compared to December 31, 2014 is largely due to a decrease in exposure to various customers requiring letters of credit. Furthermore, in an effort to mitigate credit risk, a significant portion of our transactions with counterparties are settled on a net-cash basis. Further, we enter into netting agreements (contractual agreements that allow us to offset receivables and payables with those counterparties against each other on our balance sheet) for a majority of such arrangements.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March 31, 2015 and December 31, 2014, substantially all of our accounts receivable (net of allowance for doubtful accounts) were less than 30 days past their scheduled invoice date. Our allowance for doubtful accounts receivable totaled $4 million as of both March 31, 2015 and December 31, 2014. Although we consider our allowance for doubtful accounts receivable to be adequate, actual amounts could vary significantly from estimated amounts.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as of the dates indicated (barrels and natural gas volumes in thousands and carrying value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Volumes</w:t>
            </w:r>
          </w:p>
        </w:tc>
        <w:tc>
          <w:tcPr>
            <w:tcW w:w="90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Unit of</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right"/>
              <w:ind w:right="194"/>
              <w:spacing w:after="0" w:line="119" w:lineRule="exact"/>
              <w:rPr>
                <w:sz w:val="20"/>
                <w:szCs w:val="20"/>
                <w:color w:val="auto"/>
              </w:rPr>
            </w:pPr>
            <w:r>
              <w:rPr>
                <w:rFonts w:ascii="Arial" w:cs="Arial" w:eastAsia="Arial" w:hAnsi="Arial"/>
                <w:sz w:val="13"/>
                <w:szCs w:val="13"/>
                <w:b w:val="1"/>
                <w:bCs w:val="1"/>
                <w:color w:val="auto"/>
              </w:rPr>
              <w:t>Price/</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Volumes</w:t>
            </w:r>
          </w:p>
        </w:tc>
        <w:tc>
          <w:tcPr>
            <w:tcW w:w="1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Unit of</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740" w:type="dxa"/>
            <w:vAlign w:val="bottom"/>
          </w:tcPr>
          <w:p>
            <w:pPr>
              <w:jc w:val="center"/>
              <w:ind w:right="94"/>
              <w:spacing w:after="0" w:line="119" w:lineRule="exact"/>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00" w:type="dxa"/>
            <w:vAlign w:val="bottom"/>
          </w:tcPr>
          <w:p>
            <w:pPr>
              <w:ind w:left="180"/>
              <w:spacing w:after="0"/>
              <w:rPr>
                <w:sz w:val="20"/>
                <w:szCs w:val="20"/>
                <w:color w:val="auto"/>
              </w:rPr>
            </w:pPr>
            <w:r>
              <w:rPr>
                <w:rFonts w:ascii="Arial" w:cs="Arial" w:eastAsia="Arial" w:hAnsi="Arial"/>
                <w:sz w:val="14"/>
                <w:szCs w:val="14"/>
                <w:b w:val="1"/>
                <w:bCs w:val="1"/>
                <w:color w:val="auto"/>
              </w:rPr>
              <w:t>Measure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Measure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Inventory</w:t>
            </w: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Crude oil</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15,351</w:t>
            </w:r>
          </w:p>
        </w:tc>
        <w:tc>
          <w:tcPr>
            <w:tcW w:w="900" w:type="dxa"/>
            <w:vAlign w:val="bottom"/>
          </w:tcPr>
          <w:p>
            <w:pPr>
              <w:spacing w:after="0"/>
              <w:rPr>
                <w:sz w:val="20"/>
                <w:szCs w:val="20"/>
                <w:color w:val="auto"/>
              </w:rPr>
            </w:pPr>
            <w:r>
              <w:rPr>
                <w:rFonts w:ascii="Arial" w:cs="Arial" w:eastAsia="Arial" w:hAnsi="Arial"/>
                <w:sz w:val="18"/>
                <w:szCs w:val="18"/>
                <w:color w:val="auto"/>
              </w:rPr>
              <w:t>barrels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686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44.69</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6,465</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barrels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7,277</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21.16</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13,553</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Natural gas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10,965</w:t>
            </w:r>
          </w:p>
        </w:tc>
        <w:tc>
          <w:tcPr>
            <w:tcW w:w="900" w:type="dxa"/>
            <w:vAlign w:val="bottom"/>
          </w:tcPr>
          <w:p>
            <w:pPr>
              <w:spacing w:after="0"/>
              <w:rPr>
                <w:sz w:val="20"/>
                <w:szCs w:val="20"/>
                <w:color w:val="auto"/>
              </w:rPr>
            </w:pPr>
            <w:r>
              <w:rPr>
                <w:rFonts w:ascii="Arial" w:cs="Arial" w:eastAsia="Arial" w:hAnsi="Arial"/>
                <w:sz w:val="18"/>
                <w:szCs w:val="18"/>
                <w:color w:val="auto"/>
              </w:rPr>
              <w:t>Mcf</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2.83</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32,317</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Mcf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Inventory subtotal</w:t>
            </w:r>
          </w:p>
        </w:tc>
        <w:tc>
          <w:tcPr>
            <w:tcW w:w="9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right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12,970</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59.91</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11,810</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NGL</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1,215</w:t>
            </w:r>
          </w:p>
        </w:tc>
        <w:tc>
          <w:tcPr>
            <w:tcW w:w="900" w:type="dxa"/>
            <w:vAlign w:val="bottom"/>
          </w:tcPr>
          <w:p>
            <w:pPr>
              <w:spacing w:after="0"/>
              <w:rPr>
                <w:sz w:val="20"/>
                <w:szCs w:val="20"/>
                <w:color w:val="auto"/>
              </w:rPr>
            </w:pPr>
            <w:r>
              <w:rPr>
                <w:rFonts w:ascii="Arial" w:cs="Arial" w:eastAsia="Arial" w:hAnsi="Arial"/>
                <w:sz w:val="18"/>
                <w:szCs w:val="18"/>
                <w:color w:val="auto"/>
              </w:rPr>
              <w:t>barrels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39.51</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1,212</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28,612</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Mcf</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28,612</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Mcf</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tcPr>
          <w:p>
            <w:pPr>
              <w:ind w:left="160"/>
              <w:spacing w:after="0" w:line="182" w:lineRule="exact"/>
              <w:rPr>
                <w:sz w:val="20"/>
                <w:szCs w:val="20"/>
                <w:color w:val="auto"/>
              </w:rPr>
            </w:pPr>
            <w:r>
              <w:rPr>
                <w:rFonts w:ascii="Arial" w:cs="Arial" w:eastAsia="Arial" w:hAnsi="Arial"/>
                <w:sz w:val="18"/>
                <w:szCs w:val="18"/>
                <w:color w:val="auto"/>
              </w:rPr>
              <w:t>Linefill and base gas</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340"/>
              <w:spacing w:after="0"/>
              <w:rPr>
                <w:sz w:val="20"/>
                <w:szCs w:val="20"/>
                <w:color w:val="auto"/>
              </w:rPr>
            </w:pPr>
            <w:r>
              <w:rPr>
                <w:rFonts w:ascii="Arial" w:cs="Arial" w:eastAsia="Arial" w:hAnsi="Arial"/>
                <w:sz w:val="18"/>
                <w:szCs w:val="18"/>
                <w:color w:val="auto"/>
              </w:rPr>
              <w:t>subtotal</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930</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2,646</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44.22</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2,582</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NGL</w:t>
            </w:r>
          </w:p>
        </w:tc>
        <w:tc>
          <w:tcPr>
            <w:tcW w:w="11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1,681</w:t>
            </w:r>
          </w:p>
        </w:tc>
        <w:tc>
          <w:tcPr>
            <w:tcW w:w="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barrels</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19.04</w:t>
            </w:r>
          </w:p>
        </w:tc>
        <w:tc>
          <w:tcPr>
            <w:tcW w:w="124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1,681</w:t>
            </w:r>
          </w:p>
        </w:tc>
        <w:tc>
          <w:tcPr>
            <w:tcW w:w="10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Long-term inventory</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652"/>
        <w:spacing w:after="0" w:line="227" w:lineRule="auto"/>
        <w:tabs>
          <w:tab w:leader="none" w:pos="64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$24 million during the three months ended March 31, 2015 primarily related to the writedown of our NGL inventory due to declines in prices. The loss was substantially offset by a portion of the derivative mark-to-market gain that was recognized in the fourth quarter of 2014 for which the related derivatives were still open as of March 31, 2015. See Note 8 for discussion of our derivative and risk management activities. During the three months ended March 31, 2014, we recorded a charge of $37 million related to the writedown of our natural</w:t>
      </w:r>
    </w:p>
    <w:p>
      <w:pPr>
        <w:sectPr>
          <w:pgSz w:w="11900" w:h="16838" w:orient="portrait"/>
          <w:cols w:equalWidth="0" w:num="1">
            <w:col w:w="11420"/>
          </w:cols>
          <w:pgMar w:left="240" w:top="140" w:right="239" w:bottom="0" w:gutter="0" w:footer="0" w:header="0"/>
        </w:sectPr>
      </w:pPr>
    </w:p>
    <w:bookmarkStart w:id="8" w:name="page9"/>
    <w:bookmarkEnd w:id="8"/>
    <w:p>
      <w:pPr>
        <w:spacing w:after="0" w:line="5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gas inventory that was purchased in conjunction with managing natural gas storage deliverability requirements during the extended period of severe cold weather in the first quarter of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as of the dates indicated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DEBT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line="216" w:lineRule="exact"/>
              <w:rPr>
                <w:sz w:val="20"/>
                <w:szCs w:val="20"/>
                <w:color w:val="auto"/>
              </w:rPr>
            </w:pPr>
            <w:r>
              <w:rPr>
                <w:rFonts w:ascii="Arial" w:cs="Arial" w:eastAsia="Arial" w:hAnsi="Arial"/>
                <w:sz w:val="18"/>
                <w:szCs w:val="18"/>
                <w:color w:val="auto"/>
                <w:w w:val="93"/>
              </w:rPr>
              <w:t xml:space="preserve">PAA commercial paper notes, bearing a weighted-average interest rate of 0.46% at December 31, 2014 </w:t>
            </w:r>
            <w:r>
              <w:rPr>
                <w:rFonts w:ascii="Arial" w:cs="Arial" w:eastAsia="Arial" w:hAnsi="Arial"/>
                <w:sz w:val="23"/>
                <w:szCs w:val="23"/>
                <w:color w:val="auto"/>
                <w:w w:val="93"/>
                <w:vertAlign w:val="superscript"/>
              </w:rPr>
              <w:t>(1)</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PAA senior notes: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5.25% senior notes due June 2015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3.95% senior notes due September 2015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short-term debt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PAA senior notes, net of unamortized discount of $17 and $18, respectively</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8,758</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Facilities and Other:</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AAP term loan, bearing a weighted-average interest rate of 1.8% and 1.8%, respectively</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AAP senior secured revolving credit facility, bearing a weighted-average interest rate of 1.8% and 1.8%,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long-term debt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520"/>
              <w:spacing w:after="0" w:line="21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(2)</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9,875</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0" w:hanging="616"/>
        <w:spacing w:after="0" w:line="234" w:lineRule="auto"/>
        <w:tabs>
          <w:tab w:leader="none" w:pos="643" w:val="left"/>
        </w:tabs>
        <w:numPr>
          <w:ilvl w:val="1"/>
          <w:numId w:val="4"/>
        </w:numPr>
        <w:rPr>
          <w:rFonts w:ascii="Arial" w:cs="Arial" w:eastAsia="Arial" w:hAnsi="Arial"/>
          <w:sz w:val="23"/>
          <w:szCs w:val="23"/>
          <w:color w:val="auto"/>
          <w:vertAlign w:val="superscript"/>
        </w:rPr>
      </w:pPr>
      <w:r>
        <w:rPr>
          <w:rFonts w:ascii="Arial" w:cs="Arial" w:eastAsia="Arial" w:hAnsi="Arial"/>
          <w:sz w:val="18"/>
          <w:szCs w:val="18"/>
          <w:color w:val="auto"/>
        </w:rPr>
        <w:t>At December 31, 2014, we classified all of the borrowings under the PAA commercial paper program as short-term as these borrowings were primarily designated as working capital borrowings, must be repaid within one year and were primarily for hedged NGL and crude oil inventory and NYMEX and ICE margin deposits.</w:t>
      </w:r>
    </w:p>
    <w:p>
      <w:pPr>
        <w:spacing w:after="0" w:line="202" w:lineRule="exact"/>
        <w:rPr>
          <w:rFonts w:ascii="Arial" w:cs="Arial" w:eastAsia="Arial" w:hAnsi="Arial"/>
          <w:sz w:val="23"/>
          <w:szCs w:val="23"/>
          <w:color w:val="auto"/>
          <w:vertAlign w:val="superscript"/>
        </w:rPr>
      </w:pPr>
    </w:p>
    <w:p>
      <w:pPr>
        <w:ind w:left="660" w:right="20" w:hanging="634"/>
        <w:spacing w:after="0" w:line="259" w:lineRule="auto"/>
        <w:tabs>
          <w:tab w:leader="none" w:pos="652"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PAA’s fixed-rate senior notes (including current maturities) had a face value of approximately $9.3 billion as of both March 31, 2015 and December 31, 2014. We estimated the aggregate fair value of these notes as of March 31, 2015 and December 31, 2014 to be approximately $10.0 billion and $9.9 billion, respectively. PAA’s fixed-rate senior notes are traded among institutions, and these trades are routinely published by a reporting service. Our determination of fair value is based on reported trading activity near quarter end. We estimate that the carrying value of outstanding borrowings under credit facilities and the PAA commercial paper program approximates fair value as interest rates reflect current market rates. The fair value estimates for the PAA senior notes, credit facilities and the PAA commercial paper program are based upon observable market data and are classified in Level 2 of the fair value hierarchy.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PAA senior unsecured 364-day revolving credit facility. </w:t>
      </w:r>
      <w:r>
        <w:rPr>
          <w:rFonts w:ascii="Arial" w:cs="Arial" w:eastAsia="Arial" w:hAnsi="Arial"/>
          <w:sz w:val="18"/>
          <w:szCs w:val="18"/>
          <w:color w:val="auto"/>
        </w:rPr>
        <w:t>In January 2015, PAA entered into a 364-day senior unsecured credit agreement with a</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capacity of $1.0 billion. Borrowings will accrue interest based, at PAA’s election, on either the Eurocurrency Rate or the Base Rate, as defined in the agreement, in each case plus a margin based on PAA’s credit rating at the applicable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Total borrowings under credit agreements and the PAA commercial paper program for the three months ended March 31, 2015 and 2014 were approximately $7.0 billion and $19.2 billion, respectively. Total repayments under credit agreements and the PAA commercial paper program were approximately $7.7 billion and $19.3 billion for the three months ended March 31, 2015 and 2014,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and construction activities. At March 31, 2015 and December 31, 2014, we had outstanding letters of credit of $83 million and $87 million,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details the distributions paid to Class A shareholders during or pertaining to the first three months of 2015 (in millions, except per share data):</w:t>
      </w:r>
    </w:p>
    <w:p>
      <w:pPr>
        <w:sectPr>
          <w:pgSz w:w="11900" w:h="16888" w:orient="portrait"/>
          <w:cols w:equalWidth="0" w:num="1">
            <w:col w:w="11420"/>
          </w:cols>
          <w:pgMar w:left="240" w:top="125" w:right="2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Distribution Date</w:t>
            </w:r>
          </w:p>
        </w:tc>
        <w:tc>
          <w:tcPr>
            <w:tcW w:w="1720" w:type="dxa"/>
            <w:vAlign w:val="bottom"/>
          </w:tcPr>
          <w:p>
            <w:pPr>
              <w:jc w:val="right"/>
              <w:ind w:right="159"/>
              <w:spacing w:after="0"/>
              <w:rPr>
                <w:sz w:val="20"/>
                <w:szCs w:val="20"/>
                <w:color w:val="auto"/>
              </w:rPr>
            </w:pPr>
            <w:r>
              <w:rPr>
                <w:rFonts w:ascii="Arial" w:cs="Arial" w:eastAsia="Arial" w:hAnsi="Arial"/>
                <w:sz w:val="14"/>
                <w:szCs w:val="14"/>
                <w:b w:val="1"/>
                <w:bCs w:val="1"/>
                <w:color w:val="auto"/>
              </w:rPr>
              <w:t>Distributions to</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ind w:right="519"/>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71"/>
        </w:trPr>
        <w:tc>
          <w:tcPr>
            <w:tcW w:w="4620" w:type="dxa"/>
            <w:vAlign w:val="bottom"/>
            <w:gridSpan w:val="3"/>
            <w:vMerge w:val="continue"/>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Class A Shareholders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ind w:right="639"/>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7,</w:t>
            </w:r>
          </w:p>
        </w:tc>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4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May 15, 2015 </w:t>
            </w:r>
            <w:r>
              <w:rPr>
                <w:rFonts w:ascii="Arial" w:cs="Arial" w:eastAsia="Arial" w:hAnsi="Arial"/>
                <w:sz w:val="23"/>
                <w:szCs w:val="23"/>
                <w:color w:val="auto"/>
                <w:vertAlign w:val="superscript"/>
              </w:rPr>
              <w:t>(1)</w:t>
            </w:r>
          </w:p>
        </w:tc>
        <w:tc>
          <w:tcPr>
            <w:tcW w:w="4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153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0.222</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0"/>
              </w:rPr>
              <w:t>January</w:t>
            </w:r>
          </w:p>
        </w:tc>
        <w:tc>
          <w:tcPr>
            <w:tcW w:w="3600" w:type="dxa"/>
            <w:vAlign w:val="bottom"/>
          </w:tcPr>
          <w:p>
            <w:pPr>
              <w:ind w:left="20"/>
              <w:spacing w:after="0"/>
              <w:rPr>
                <w:sz w:val="20"/>
                <w:szCs w:val="20"/>
                <w:color w:val="auto"/>
              </w:rPr>
            </w:pPr>
            <w:r>
              <w:rPr>
                <w:rFonts w:ascii="Arial" w:cs="Arial" w:eastAsia="Arial" w:hAnsi="Arial"/>
                <w:sz w:val="18"/>
                <w:szCs w:val="18"/>
                <w:color w:val="auto"/>
              </w:rPr>
              <w:t>8, 2015</w:t>
            </w:r>
          </w:p>
        </w:tc>
        <w:tc>
          <w:tcPr>
            <w:tcW w:w="4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February 13, 2015</w:t>
            </w:r>
          </w:p>
        </w:tc>
        <w:tc>
          <w:tcPr>
            <w:tcW w:w="1720" w:type="dxa"/>
            <w:vAlign w:val="bottom"/>
          </w:tcPr>
          <w:p>
            <w:pPr>
              <w:jc w:val="right"/>
              <w:ind w:right="1539"/>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42</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9"/>
              <w:spacing w:after="0"/>
              <w:rPr>
                <w:sz w:val="20"/>
                <w:szCs w:val="20"/>
                <w:color w:val="auto"/>
              </w:rPr>
            </w:pPr>
            <w:r>
              <w:rPr>
                <w:rFonts w:ascii="Arial" w:cs="Arial" w:eastAsia="Arial" w:hAnsi="Arial"/>
                <w:sz w:val="18"/>
                <w:szCs w:val="18"/>
                <w:color w:val="auto"/>
              </w:rPr>
              <w:t>0.203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Payable to shareholders of record at the close of business on May 1, 2015 for the period January 1, 2015 through March 31, 2015.</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Rights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Holders of AAP units and their permitted transferees each have the right to exchange all or a portion of their AAP units for Class A shares at an exchange ratio of one Class A share for each AAP unit exchanged (referred to herein as their “Exchange Right”). This Exchange Right may be exercised only if, simultaneously therewith, an equal number of Class B shares and general partner units are transferred by the exercising party to us. For additional information regarding Exchange Rights, see Note 11 to our Consolidated Financial Statements included in Part IV of our 2014 Annual Report on Form 10-K. During the three months ended March 31, 2015, certain holders of AAP units and their permitted transferees exercised their Exchange Right, which resulted in the exchange of AAP units, general partner units and our Class B shares for our Class A shares. The impact of such Exchange Right exercises on our Class A and Class B shares outstanding is reflected in the table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activity for our Class A shares and Class B shares for the three months ended March 31,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18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Class B Shares</w:t>
            </w:r>
          </w:p>
        </w:tc>
        <w:tc>
          <w:tcPr>
            <w:tcW w:w="1660" w:type="dxa"/>
            <w:vAlign w:val="bottom"/>
            <w:gridSpan w:val="3"/>
          </w:tcPr>
          <w:p>
            <w:pPr>
              <w:ind w:left="320"/>
              <w:spacing w:after="0"/>
              <w:rPr>
                <w:sz w:val="20"/>
                <w:szCs w:val="20"/>
                <w:color w:val="auto"/>
              </w:rPr>
            </w:pPr>
            <w:r>
              <w:rPr>
                <w:rFonts w:ascii="Arial" w:cs="Arial" w:eastAsia="Arial" w:hAnsi="Arial"/>
                <w:sz w:val="14"/>
                <w:szCs w:val="14"/>
                <w:b w:val="1"/>
                <w:bCs w:val="1"/>
                <w:color w:val="auto"/>
              </w:rPr>
              <w:t>Class A Shares</w:t>
            </w:r>
          </w:p>
        </w:tc>
        <w:tc>
          <w:tcPr>
            <w:tcW w:w="0" w:type="dxa"/>
            <w:vAlign w:val="bottom"/>
          </w:tcPr>
          <w:p>
            <w:pPr>
              <w:spacing w:after="0"/>
              <w:rPr>
                <w:sz w:val="1"/>
                <w:szCs w:val="1"/>
                <w:color w:val="auto"/>
              </w:rPr>
            </w:pPr>
          </w:p>
        </w:tc>
      </w:tr>
      <w:tr>
        <w:trPr>
          <w:trHeight w:val="210"/>
        </w:trPr>
        <w:tc>
          <w:tcPr>
            <w:tcW w:w="7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399,096,499</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206,933,274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8"/>
                <w:szCs w:val="18"/>
                <w:color w:val="auto"/>
              </w:rPr>
              <w:t>Shares (exchanged)/issued in connection with Exchange Right exercises</w:t>
            </w: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40" w:type="dxa"/>
            <w:vAlign w:val="bottom"/>
            <w:vMerge w:val="continue"/>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(15,819,735)</w:t>
            </w:r>
          </w:p>
        </w:tc>
        <w:tc>
          <w:tcPr>
            <w:tcW w:w="320" w:type="dxa"/>
            <w:vAlign w:val="bottom"/>
            <w:vMerge w:val="continue"/>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15,819,735</w:t>
            </w:r>
          </w:p>
        </w:tc>
        <w:tc>
          <w:tcPr>
            <w:tcW w:w="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connection with LTIP award vestings</w:t>
            </w: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40" w:type="dxa"/>
            <w:vAlign w:val="bottom"/>
          </w:tcPr>
          <w:p>
            <w:pPr>
              <w:spacing w:after="0"/>
              <w:rPr>
                <w:sz w:val="20"/>
                <w:szCs w:val="20"/>
                <w:color w:val="auto"/>
              </w:rPr>
            </w:pPr>
            <w:r>
              <w:rPr>
                <w:rFonts w:ascii="Arial" w:cs="Arial" w:eastAsia="Arial" w:hAnsi="Arial"/>
                <w:sz w:val="18"/>
                <w:szCs w:val="18"/>
                <w:color w:val="auto"/>
              </w:rPr>
              <w:t>Balance at March 31, 2015</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383,276,764</w:t>
            </w:r>
          </w:p>
        </w:tc>
        <w:tc>
          <w:tcPr>
            <w:tcW w:w="3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222,773,809</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jc w:val="both"/>
        <w:ind w:right="280" w:firstLine="648"/>
        <w:spacing w:after="0" w:line="342" w:lineRule="auto"/>
        <w:rPr>
          <w:sz w:val="20"/>
          <w:szCs w:val="20"/>
          <w:color w:val="auto"/>
        </w:rPr>
      </w:pPr>
      <w:r>
        <w:rPr>
          <w:rFonts w:ascii="Arial" w:cs="Arial" w:eastAsia="Arial" w:hAnsi="Arial"/>
          <w:sz w:val="16"/>
          <w:szCs w:val="16"/>
          <w:color w:val="auto"/>
        </w:rPr>
        <w:t>As of March 31, 2015, noncontrolling interests in our subsidiaries consisted of (i) a 98% limited partner interest in PAA, (ii) an approximate 63% limited partner interest in AAP that consists of Class A units and AAP Management Units (a profits interest) and (iii) a 25% interest in SLC Pipeline LLC.</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PAA Distributions. </w:t>
      </w:r>
      <w:r>
        <w:rPr>
          <w:rFonts w:ascii="Arial" w:cs="Arial" w:eastAsia="Arial" w:hAnsi="Arial"/>
          <w:sz w:val="18"/>
          <w:szCs w:val="18"/>
          <w:color w:val="auto"/>
        </w:rPr>
        <w:t>The following table details the distributions to PAA’s partners paid during or pertaining to the first three months of 2015, net of</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distribution reductions (in millions, except per unit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Distributions to PAA’s Partners</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Distributions</w:t>
            </w:r>
          </w:p>
        </w:tc>
      </w:tr>
      <w:tr>
        <w:trPr>
          <w:trHeight w:val="142"/>
        </w:trPr>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6"/>
              </w:rPr>
              <w:t>Limited</w:t>
            </w:r>
          </w:p>
        </w:tc>
        <w:tc>
          <w:tcPr>
            <w:tcW w:w="20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4"/>
          </w:tcPr>
          <w:p>
            <w:pPr>
              <w:jc w:val="right"/>
              <w:ind w:right="759"/>
              <w:spacing w:after="0" w:line="142" w:lineRule="exact"/>
              <w:rPr>
                <w:sz w:val="20"/>
                <w:szCs w:val="20"/>
                <w:color w:val="auto"/>
              </w:rPr>
            </w:pPr>
            <w:r>
              <w:rPr>
                <w:rFonts w:ascii="Arial" w:cs="Arial" w:eastAsia="Arial" w:hAnsi="Arial"/>
                <w:sz w:val="14"/>
                <w:szCs w:val="14"/>
                <w:b w:val="1"/>
                <w:bCs w:val="1"/>
                <w:color w:val="auto"/>
              </w:rPr>
              <w:t>AAP</w:t>
            </w: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5"/>
              </w:rPr>
              <w:t>per limited</w:t>
            </w:r>
          </w:p>
        </w:tc>
      </w:tr>
      <w:tr>
        <w:trPr>
          <w:trHeight w:val="142"/>
        </w:trPr>
        <w:tc>
          <w:tcPr>
            <w:tcW w:w="1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Date Declared</w:t>
            </w:r>
          </w:p>
        </w:tc>
        <w:tc>
          <w:tcPr>
            <w:tcW w:w="234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Distribution Date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4"/>
              </w:rPr>
              <w:t>Partners</w:t>
            </w:r>
          </w:p>
        </w:tc>
        <w:tc>
          <w:tcPr>
            <w:tcW w:w="200" w:type="dxa"/>
            <w:vAlign w:val="bottom"/>
          </w:tcPr>
          <w:p>
            <w:pPr>
              <w:spacing w:after="0"/>
              <w:rPr>
                <w:sz w:val="12"/>
                <w:szCs w:val="12"/>
                <w:color w:val="auto"/>
              </w:rPr>
            </w:pPr>
          </w:p>
        </w:tc>
        <w:tc>
          <w:tcPr>
            <w:tcW w:w="960" w:type="dxa"/>
            <w:vAlign w:val="bottom"/>
          </w:tcPr>
          <w:p>
            <w:pPr>
              <w:jc w:val="right"/>
              <w:ind w:right="401"/>
              <w:spacing w:after="0" w:line="142" w:lineRule="exact"/>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Incentive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7"/>
              </w:rPr>
              <w:t>partner unit</w:t>
            </w: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7,</w:t>
            </w:r>
          </w:p>
        </w:tc>
        <w:tc>
          <w:tcPr>
            <w:tcW w:w="1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May 15, 2015 </w:t>
            </w:r>
            <w:r>
              <w:rPr>
                <w:rFonts w:ascii="Arial" w:cs="Arial" w:eastAsia="Arial" w:hAnsi="Arial"/>
                <w:sz w:val="23"/>
                <w:szCs w:val="23"/>
                <w:color w:val="auto"/>
                <w:vertAlign w:val="superscript"/>
              </w:rPr>
              <w:t>(1)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0"/>
              </w:rPr>
              <w:t>January</w:t>
            </w:r>
          </w:p>
        </w:tc>
        <w:tc>
          <w:tcPr>
            <w:tcW w:w="1200" w:type="dxa"/>
            <w:vAlign w:val="bottom"/>
          </w:tcPr>
          <w:p>
            <w:pPr>
              <w:ind w:left="20"/>
              <w:spacing w:after="0"/>
              <w:rPr>
                <w:sz w:val="20"/>
                <w:szCs w:val="20"/>
                <w:color w:val="auto"/>
              </w:rPr>
            </w:pPr>
            <w:r>
              <w:rPr>
                <w:rFonts w:ascii="Arial" w:cs="Arial" w:eastAsia="Arial" w:hAnsi="Arial"/>
                <w:sz w:val="18"/>
                <w:szCs w:val="18"/>
                <w:color w:val="auto"/>
              </w:rPr>
              <w:t>8, 2015</w:t>
            </w:r>
          </w:p>
        </w:tc>
        <w:tc>
          <w:tcPr>
            <w:tcW w:w="2340" w:type="dxa"/>
            <w:vAlign w:val="bottom"/>
            <w:gridSpan w:val="2"/>
          </w:tcPr>
          <w:p>
            <w:pPr>
              <w:ind w:left="280"/>
              <w:spacing w:after="0"/>
              <w:rPr>
                <w:sz w:val="20"/>
                <w:szCs w:val="20"/>
                <w:color w:val="auto"/>
              </w:rPr>
            </w:pPr>
            <w:r>
              <w:rPr>
                <w:rFonts w:ascii="Arial" w:cs="Arial" w:eastAsia="Arial" w:hAnsi="Arial"/>
                <w:sz w:val="18"/>
                <w:szCs w:val="18"/>
                <w:color w:val="auto"/>
              </w:rPr>
              <w:t>February 13, 2015</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98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131</w:t>
            </w:r>
          </w:p>
        </w:tc>
        <w:tc>
          <w:tcPr>
            <w:tcW w:w="92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0.6750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1520" w:hanging="5612"/>
        <w:spacing w:after="0" w:line="461" w:lineRule="auto"/>
        <w:tabs>
          <w:tab w:leader="none" w:pos="6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May 1, 2015 for the period January 1, 2015 through March 31, 2015.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to AAP’s partners from distributions received from PAA paid during or pertaining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three months of 2015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vMerge w:val="restart"/>
          </w:tcPr>
          <w:p>
            <w:pPr>
              <w:jc w:val="right"/>
              <w:ind w:right="87"/>
              <w:spacing w:after="0"/>
              <w:rPr>
                <w:sz w:val="20"/>
                <w:szCs w:val="20"/>
                <w:color w:val="auto"/>
              </w:rPr>
            </w:pPr>
            <w:r>
              <w:rPr>
                <w:rFonts w:ascii="Arial" w:cs="Arial" w:eastAsia="Arial" w:hAnsi="Arial"/>
                <w:sz w:val="14"/>
                <w:szCs w:val="14"/>
                <w:b w:val="1"/>
                <w:bCs w:val="1"/>
                <w:color w:val="auto"/>
              </w:rPr>
              <w:t>Distributions Received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ind w:right="147"/>
              <w:spacing w:after="0"/>
              <w:rPr>
                <w:sz w:val="20"/>
                <w:szCs w:val="20"/>
                <w:color w:val="auto"/>
              </w:rPr>
            </w:pPr>
            <w:r>
              <w:rPr>
                <w:rFonts w:ascii="Arial" w:cs="Arial" w:eastAsia="Arial" w:hAnsi="Arial"/>
                <w:sz w:val="14"/>
                <w:szCs w:val="14"/>
                <w:b w:val="1"/>
                <w:bCs w:val="1"/>
                <w:color w:val="auto"/>
              </w:rPr>
              <w:t>Cash</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Distributions to AAP’s Partners</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60" w:type="dxa"/>
            <w:vAlign w:val="bottom"/>
            <w:vMerge w:val="restart"/>
          </w:tcPr>
          <w:p>
            <w:pPr>
              <w:spacing w:after="0"/>
              <w:rPr>
                <w:sz w:val="20"/>
                <w:szCs w:val="20"/>
                <w:color w:val="auto"/>
              </w:rPr>
            </w:pPr>
            <w:r>
              <w:rPr>
                <w:rFonts w:ascii="Arial" w:cs="Arial" w:eastAsia="Arial" w:hAnsi="Arial"/>
                <w:sz w:val="14"/>
                <w:szCs w:val="14"/>
                <w:b w:val="1"/>
                <w:bCs w:val="1"/>
                <w:color w:val="auto"/>
              </w:rPr>
              <w:t>Distribution Date</w:t>
            </w:r>
          </w:p>
        </w:tc>
        <w:tc>
          <w:tcPr>
            <w:tcW w:w="320" w:type="dxa"/>
            <w:vAlign w:val="bottom"/>
            <w:vMerge w:val="restart"/>
          </w:tcPr>
          <w:p>
            <w:pPr>
              <w:spacing w:after="0"/>
              <w:rPr>
                <w:sz w:val="10"/>
                <w:szCs w:val="10"/>
                <w:color w:val="auto"/>
              </w:rPr>
            </w:pPr>
          </w:p>
        </w:tc>
        <w:tc>
          <w:tcPr>
            <w:tcW w:w="21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47"/>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Noncontrolling</w:t>
            </w:r>
          </w:p>
        </w:tc>
        <w:tc>
          <w:tcPr>
            <w:tcW w:w="280" w:type="dxa"/>
            <w:vAlign w:val="bottom"/>
          </w:tcPr>
          <w:p>
            <w:pPr>
              <w:spacing w:after="0"/>
              <w:rPr>
                <w:sz w:val="10"/>
                <w:szCs w:val="10"/>
                <w:color w:val="auto"/>
              </w:rPr>
            </w:pPr>
          </w:p>
        </w:tc>
        <w:tc>
          <w:tcPr>
            <w:tcW w:w="100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PAGP</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2160" w:type="dxa"/>
            <w:vAlign w:val="bottom"/>
            <w:tcBorders>
              <w:bottom w:val="single" w:sz="8" w:color="auto"/>
            </w:tcBorders>
          </w:tcPr>
          <w:p>
            <w:pPr>
              <w:jc w:val="right"/>
              <w:ind w:right="227"/>
              <w:spacing w:after="0"/>
              <w:rPr>
                <w:sz w:val="20"/>
                <w:szCs w:val="20"/>
                <w:color w:val="auto"/>
              </w:rPr>
            </w:pPr>
            <w:r>
              <w:rPr>
                <w:rFonts w:ascii="Arial" w:cs="Arial" w:eastAsia="Arial" w:hAnsi="Arial"/>
                <w:sz w:val="14"/>
                <w:szCs w:val="14"/>
                <w:b w:val="1"/>
                <w:bCs w:val="1"/>
                <w:color w:val="auto"/>
              </w:rPr>
              <w:t>by AAP from PAA</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Reserves</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Interests</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May 15, 2015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200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February 13, 2015</w:t>
            </w:r>
          </w:p>
        </w:tc>
        <w:tc>
          <w:tcPr>
            <w:tcW w:w="2160" w:type="dxa"/>
            <w:vAlign w:val="bottom"/>
          </w:tcPr>
          <w:p>
            <w:pPr>
              <w:jc w:val="right"/>
              <w:ind w:right="200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136</w:t>
            </w:r>
          </w:p>
        </w:tc>
        <w:tc>
          <w:tcPr>
            <w:tcW w:w="1180" w:type="dxa"/>
            <w:vAlign w:val="bottom"/>
            <w:gridSpan w:val="2"/>
          </w:tcPr>
          <w:p>
            <w:pPr>
              <w:jc w:val="right"/>
              <w:ind w:right="867"/>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133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91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3"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May 1, 2015 for the period January 1, 2015 through March 31, 2015.</w:t>
      </w:r>
    </w:p>
    <w:p>
      <w:pPr>
        <w:spacing w:after="0" w:line="20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During the three months ended March 31, 2015, distributions of $1 million were paid to noncontrolling interests in SLC</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LLC.</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Sales of Common Units by Subsidiaries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PAA Continuous Offering Program. </w:t>
      </w:r>
      <w:r>
        <w:rPr>
          <w:rFonts w:ascii="Arial" w:cs="Arial" w:eastAsia="Arial" w:hAnsi="Arial"/>
          <w:sz w:val="18"/>
          <w:szCs w:val="18"/>
          <w:color w:val="auto"/>
        </w:rPr>
        <w:t>During the three months ended March 31, 2015, PAA issued an aggregate of approximately 1.1 million common</w:t>
      </w:r>
      <w:r>
        <w:rPr>
          <w:rFonts w:ascii="Arial" w:cs="Arial" w:eastAsia="Arial" w:hAnsi="Arial"/>
          <w:sz w:val="18"/>
          <w:szCs w:val="18"/>
          <w:i w:val="1"/>
          <w:iCs w:val="1"/>
          <w:color w:val="auto"/>
        </w:rPr>
        <w:t xml:space="preserve"> </w:t>
      </w:r>
      <w:r>
        <w:rPr>
          <w:rFonts w:ascii="Arial" w:cs="Arial" w:eastAsia="Arial" w:hAnsi="Arial"/>
          <w:sz w:val="18"/>
          <w:szCs w:val="18"/>
          <w:color w:val="auto"/>
        </w:rPr>
        <w:t>units under its continuous offering program, generating proceeds of $58 million, net of offering costs.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PAA Underwritten Offering. </w:t>
      </w:r>
      <w:r>
        <w:rPr>
          <w:rFonts w:ascii="Arial" w:cs="Arial" w:eastAsia="Arial" w:hAnsi="Arial"/>
          <w:sz w:val="18"/>
          <w:szCs w:val="18"/>
          <w:color w:val="auto"/>
        </w:rPr>
        <w:t>In March 2015, PAA completed an underwritten public offering of 21.0 million common units, generating proceeds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$1.0 billion, net of costs associated with the offering.</w:t>
      </w:r>
    </w:p>
    <w:p>
      <w:pPr>
        <w:sectPr>
          <w:pgSz w:w="11900" w:h="16838" w:orient="portrait"/>
          <w:cols w:equalWidth="0" w:num="1">
            <w:col w:w="11420"/>
          </w:cols>
          <w:pgMar w:left="240" w:top="347" w:right="239"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8—Derivatives and Risk Management Activities</w:t>
      </w:r>
    </w:p>
    <w:p>
      <w:pPr>
        <w:spacing w:after="0" w:line="22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Commodity Purchases and Sales </w:t>
      </w:r>
      <w:r>
        <w:rPr>
          <w:rFonts w:ascii="Arial" w:cs="Arial" w:eastAsia="Arial" w:hAnsi="Arial"/>
          <w:sz w:val="18"/>
          <w:szCs w:val="18"/>
          <w:color w:val="auto"/>
        </w:rPr>
        <w:t>— In the normal course of our operations, we purchase and sell commodities. We use derivatives to manage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risks and to optimize profits. As of March 31, 2015, net derivative positions related to these activities included:</w:t>
      </w:r>
    </w:p>
    <w:p>
      <w:pPr>
        <w:spacing w:after="0" w:line="170" w:lineRule="exact"/>
        <w:rPr>
          <w:sz w:val="20"/>
          <w:szCs w:val="20"/>
          <w:color w:val="auto"/>
        </w:rPr>
      </w:pPr>
    </w:p>
    <w:p>
      <w:pPr>
        <w:ind w:left="980" w:right="68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average of 233,600 barrels per day net long position (total of 7.0 million barrels) associated with our crude oil purchases, which was unwound ratably during April 2015 to match monthly average pricing.</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net short time spread position averaging 18,200 barrels per day (total of 7.2 million barrels), which hedges a portion of our anticipated crude oil lease gathering purchases through June 2016.</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average of 37,500 barrels per day (total of 9.1 million barrels) of crude oil grade spread positions through December 2015. These derivatives allow us to lock in grade basis differentials.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short position of 6.8 Bcf through April 2016 related to anticipated sales of natural gas inventory and base gas requirements.</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short position of 16.8 million barrels through March 2017 related to anticipated purchases and sales of our crude oil, NGL and refined products inventory.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fractionation and sell the resulting individual specification products (including ethane, propane, butane and condensate). In conjunction with these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activities, we hedge the price risk associated with the purchase of the natural gas and the subsequent sale of the individual specification products. As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March 31, 2015, we had a long natural gas position of 18.1 Bcf through December 2016, a short propane position of 3.5 million barrels through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2016, a short butane position of 1.0 million barrels through December 2016 and a short WTI position of 0.4 million barrels through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2016. In addition, we had a long power position of 0.4 million megawatt hours, which hedges a portion of our power supply requirements at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natural gas processing and fractionation plants through December 2016.</w:t>
      </w:r>
    </w:p>
    <w:p>
      <w:pPr>
        <w:spacing w:after="0" w:line="21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To the extent they qualify and we decide to make the election, all of our commodity derivatives for which we elect hedge accounting are designated as cash flow hedges. 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purchase and sale agreements qualify for the normal purchases and normal sales scope exception.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debt issuances and outstanding debt instruments. The derivative instruments we use to manage this risk consist primarily of interest rate swaps and treasury locks. As of March 31, 2015, AOCI includes deferred losses of $234 million that relate to open and terminated interest rate derivatives that were designated as cash flow hedges.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73"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We have entered into forward starting interest rate swaps to hedge the underlying benchmark interest rate related to forecasted PAA debt issuances through 2019. The following table summarizes the terms of our forward starting interest rate swaps as of March 31, 2015 (notional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and Types of</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Expected</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Average Rate</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Accounting</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Termination Date</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Locked</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95"/>
        </w:trPr>
        <w:tc>
          <w:tcPr>
            <w:tcW w:w="2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Anticipated PAA debt offering</w:t>
            </w:r>
          </w:p>
        </w:tc>
        <w:tc>
          <w:tcPr>
            <w:tcW w:w="32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10 forward starting swaps</w:t>
            </w: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500"/>
              <w:spacing w:after="0" w:line="195" w:lineRule="exact"/>
              <w:rPr>
                <w:sz w:val="20"/>
                <w:szCs w:val="20"/>
                <w:color w:val="auto"/>
              </w:rPr>
            </w:pPr>
            <w:r>
              <w:rPr>
                <w:rFonts w:ascii="Arial" w:cs="Arial" w:eastAsia="Arial" w:hAnsi="Arial"/>
                <w:sz w:val="18"/>
                <w:szCs w:val="18"/>
                <w:color w:val="auto"/>
                <w:w w:val="79"/>
              </w:rPr>
              <w:t>250</w:t>
            </w:r>
          </w:p>
        </w:tc>
        <w:tc>
          <w:tcPr>
            <w:tcW w:w="34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6/15/2015</w:t>
            </w:r>
          </w:p>
        </w:tc>
        <w:tc>
          <w:tcPr>
            <w:tcW w:w="3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3.60%</w:t>
            </w:r>
          </w:p>
        </w:tc>
        <w:tc>
          <w:tcPr>
            <w:tcW w:w="10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Cash flow hedge</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(30-year)</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rPr>
              <w:t>Anticipated PAA debt offering</w:t>
            </w:r>
          </w:p>
        </w:tc>
        <w:tc>
          <w:tcPr>
            <w:tcW w:w="1940" w:type="dxa"/>
            <w:vAlign w:val="bottom"/>
          </w:tcPr>
          <w:p>
            <w:pPr>
              <w:jc w:val="center"/>
              <w:spacing w:after="0" w:line="201" w:lineRule="exact"/>
              <w:rPr>
                <w:sz w:val="20"/>
                <w:szCs w:val="20"/>
                <w:color w:val="auto"/>
              </w:rPr>
            </w:pPr>
            <w:r>
              <w:rPr>
                <w:rFonts w:ascii="Arial" w:cs="Arial" w:eastAsia="Arial" w:hAnsi="Arial"/>
                <w:sz w:val="18"/>
                <w:szCs w:val="18"/>
                <w:color w:val="auto"/>
                <w:w w:val="91"/>
              </w:rPr>
              <w:t>8 forward starting swaps</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200</w:t>
            </w:r>
          </w:p>
        </w:tc>
        <w:tc>
          <w:tcPr>
            <w:tcW w:w="1420" w:type="dxa"/>
            <w:vAlign w:val="bottom"/>
          </w:tcPr>
          <w:p>
            <w:pPr>
              <w:jc w:val="center"/>
              <w:spacing w:after="0" w:line="201" w:lineRule="exact"/>
              <w:rPr>
                <w:sz w:val="20"/>
                <w:szCs w:val="20"/>
                <w:color w:val="auto"/>
              </w:rPr>
            </w:pPr>
            <w:r>
              <w:rPr>
                <w:rFonts w:ascii="Arial" w:cs="Arial" w:eastAsia="Arial" w:hAnsi="Arial"/>
                <w:sz w:val="18"/>
                <w:szCs w:val="18"/>
                <w:color w:val="auto"/>
                <w:w w:val="89"/>
              </w:rPr>
              <w:t>6/15/2016</w:t>
            </w:r>
          </w:p>
        </w:tc>
        <w:tc>
          <w:tcPr>
            <w:tcW w:w="320" w:type="dxa"/>
            <w:vAlign w:val="bottom"/>
          </w:tcPr>
          <w:p>
            <w:pPr>
              <w:spacing w:after="0"/>
              <w:rPr>
                <w:sz w:val="17"/>
                <w:szCs w:val="17"/>
                <w:color w:val="auto"/>
              </w:rPr>
            </w:pP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90"/>
              </w:rPr>
              <w:t>3.06%</w:t>
            </w:r>
          </w:p>
        </w:tc>
        <w:tc>
          <w:tcPr>
            <w:tcW w:w="100" w:type="dxa"/>
            <w:vAlign w:val="bottom"/>
          </w:tcPr>
          <w:p>
            <w:pPr>
              <w:spacing w:after="0"/>
              <w:rPr>
                <w:sz w:val="17"/>
                <w:szCs w:val="17"/>
                <w:color w:val="auto"/>
              </w:rPr>
            </w:pPr>
          </w:p>
        </w:tc>
        <w:tc>
          <w:tcPr>
            <w:tcW w:w="17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(30-year)</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Anticipated PAA debt offering</w:t>
            </w:r>
          </w:p>
        </w:tc>
        <w:tc>
          <w:tcPr>
            <w:tcW w:w="1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8 forward starting swaps</w:t>
            </w:r>
          </w:p>
        </w:tc>
        <w:tc>
          <w:tcPr>
            <w:tcW w:w="4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00"/>
              <w:spacing w:after="0" w:line="201" w:lineRule="exact"/>
              <w:rPr>
                <w:sz w:val="20"/>
                <w:szCs w:val="20"/>
                <w:color w:val="auto"/>
              </w:rPr>
            </w:pPr>
            <w:r>
              <w:rPr>
                <w:rFonts w:ascii="Arial" w:cs="Arial" w:eastAsia="Arial" w:hAnsi="Arial"/>
                <w:sz w:val="18"/>
                <w:szCs w:val="18"/>
                <w:color w:val="auto"/>
              </w:rPr>
              <w:t>200</w:t>
            </w:r>
          </w:p>
        </w:tc>
        <w:tc>
          <w:tcPr>
            <w:tcW w:w="14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6/15/2017</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3.14%</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(30-year)</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Anticipated PAA debt offering</w:t>
            </w:r>
          </w:p>
        </w:tc>
        <w:tc>
          <w:tcPr>
            <w:tcW w:w="2460" w:type="dxa"/>
            <w:vAlign w:val="bottom"/>
          </w:tcPr>
          <w:p>
            <w:pPr>
              <w:jc w:val="center"/>
              <w:ind w:left="190"/>
              <w:spacing w:after="0"/>
              <w:rPr>
                <w:sz w:val="20"/>
                <w:szCs w:val="20"/>
                <w:color w:val="auto"/>
              </w:rPr>
            </w:pPr>
            <w:r>
              <w:rPr>
                <w:rFonts w:ascii="Arial" w:cs="Arial" w:eastAsia="Arial" w:hAnsi="Arial"/>
                <w:sz w:val="18"/>
                <w:szCs w:val="18"/>
                <w:color w:val="auto"/>
                <w:w w:val="91"/>
              </w:rPr>
              <w:t>8 forward starting swaps</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200</w:t>
            </w:r>
          </w:p>
        </w:tc>
        <w:tc>
          <w:tcPr>
            <w:tcW w:w="1600" w:type="dxa"/>
            <w:vAlign w:val="bottom"/>
          </w:tcPr>
          <w:p>
            <w:pPr>
              <w:jc w:val="right"/>
              <w:ind w:right="450"/>
              <w:spacing w:after="0"/>
              <w:rPr>
                <w:sz w:val="20"/>
                <w:szCs w:val="20"/>
                <w:color w:val="auto"/>
              </w:rPr>
            </w:pPr>
            <w:r>
              <w:rPr>
                <w:rFonts w:ascii="Arial" w:cs="Arial" w:eastAsia="Arial" w:hAnsi="Arial"/>
                <w:sz w:val="18"/>
                <w:szCs w:val="18"/>
                <w:color w:val="auto"/>
              </w:rPr>
              <w:t>6/15/2018</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3.20%</w:t>
            </w:r>
          </w:p>
        </w:tc>
        <w:tc>
          <w:tcPr>
            <w:tcW w:w="1860" w:type="dxa"/>
            <w:vAlign w:val="bottom"/>
          </w:tcPr>
          <w:p>
            <w:pPr>
              <w:ind w:left="340"/>
              <w:spacing w:after="0"/>
              <w:rPr>
                <w:sz w:val="20"/>
                <w:szCs w:val="20"/>
                <w:color w:val="auto"/>
              </w:rPr>
            </w:pPr>
            <w:r>
              <w:rPr>
                <w:rFonts w:ascii="Arial" w:cs="Arial" w:eastAsia="Arial" w:hAnsi="Arial"/>
                <w:sz w:val="18"/>
                <w:szCs w:val="18"/>
                <w:color w:val="auto"/>
              </w:rPr>
              <w:t>Cash flow hedge</w:t>
            </w:r>
          </w:p>
        </w:tc>
      </w:tr>
      <w:tr>
        <w:trPr>
          <w:trHeight w:val="230"/>
        </w:trPr>
        <w:tc>
          <w:tcPr>
            <w:tcW w:w="2700" w:type="dxa"/>
            <w:vAlign w:val="bottom"/>
          </w:tcPr>
          <w:p>
            <w:pPr>
              <w:spacing w:after="0"/>
              <w:rPr>
                <w:sz w:val="20"/>
                <w:szCs w:val="20"/>
                <w:color w:val="auto"/>
              </w:rPr>
            </w:pPr>
          </w:p>
        </w:tc>
        <w:tc>
          <w:tcPr>
            <w:tcW w:w="2460" w:type="dxa"/>
            <w:vAlign w:val="bottom"/>
          </w:tcPr>
          <w:p>
            <w:pPr>
              <w:jc w:val="center"/>
              <w:ind w:left="190"/>
              <w:spacing w:after="0"/>
              <w:rPr>
                <w:sz w:val="20"/>
                <w:szCs w:val="20"/>
                <w:color w:val="auto"/>
              </w:rPr>
            </w:pPr>
            <w:r>
              <w:rPr>
                <w:rFonts w:ascii="Arial" w:cs="Arial" w:eastAsia="Arial" w:hAnsi="Arial"/>
                <w:sz w:val="18"/>
                <w:szCs w:val="18"/>
                <w:color w:val="auto"/>
                <w:w w:val="90"/>
              </w:rPr>
              <w:t>(30-year)</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Anticipated PAA debt offering</w:t>
            </w:r>
          </w:p>
        </w:tc>
        <w:tc>
          <w:tcPr>
            <w:tcW w:w="2460" w:type="dxa"/>
            <w:vAlign w:val="bottom"/>
            <w:shd w:val="clear" w:color="auto" w:fill="CCEEFF"/>
          </w:tcPr>
          <w:p>
            <w:pPr>
              <w:jc w:val="center"/>
              <w:ind w:left="190"/>
              <w:spacing w:after="0" w:line="201" w:lineRule="exact"/>
              <w:rPr>
                <w:sz w:val="20"/>
                <w:szCs w:val="20"/>
                <w:color w:val="auto"/>
              </w:rPr>
            </w:pPr>
            <w:r>
              <w:rPr>
                <w:rFonts w:ascii="Arial" w:cs="Arial" w:eastAsia="Arial" w:hAnsi="Arial"/>
                <w:sz w:val="18"/>
                <w:szCs w:val="18"/>
                <w:color w:val="auto"/>
                <w:w w:val="91"/>
              </w:rPr>
              <w:t>8 forward starting swaps</w:t>
            </w:r>
          </w:p>
        </w:tc>
        <w:tc>
          <w:tcPr>
            <w:tcW w:w="580" w:type="dxa"/>
            <w:vAlign w:val="bottom"/>
            <w:shd w:val="clear" w:color="auto" w:fill="CCEEFF"/>
          </w:tcPr>
          <w:p>
            <w:pPr>
              <w:jc w:val="right"/>
              <w:ind w:right="190"/>
              <w:spacing w:after="0" w:line="201"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200</w:t>
            </w:r>
          </w:p>
        </w:tc>
        <w:tc>
          <w:tcPr>
            <w:tcW w:w="1600" w:type="dxa"/>
            <w:vAlign w:val="bottom"/>
            <w:shd w:val="clear" w:color="auto" w:fill="CCEEFF"/>
          </w:tcPr>
          <w:p>
            <w:pPr>
              <w:jc w:val="right"/>
              <w:ind w:right="450"/>
              <w:spacing w:after="0" w:line="201" w:lineRule="exact"/>
              <w:rPr>
                <w:sz w:val="20"/>
                <w:szCs w:val="20"/>
                <w:color w:val="auto"/>
              </w:rPr>
            </w:pPr>
            <w:r>
              <w:rPr>
                <w:rFonts w:ascii="Arial" w:cs="Arial" w:eastAsia="Arial" w:hAnsi="Arial"/>
                <w:sz w:val="18"/>
                <w:szCs w:val="18"/>
                <w:color w:val="auto"/>
              </w:rPr>
              <w:t>6/14/2019</w:t>
            </w:r>
          </w:p>
        </w:tc>
        <w:tc>
          <w:tcPr>
            <w:tcW w:w="1340" w:type="dxa"/>
            <w:vAlign w:val="bottom"/>
            <w:shd w:val="clear" w:color="auto" w:fill="CCEEFF"/>
          </w:tcPr>
          <w:p>
            <w:pPr>
              <w:jc w:val="right"/>
              <w:ind w:right="270"/>
              <w:spacing w:after="0" w:line="201" w:lineRule="exact"/>
              <w:rPr>
                <w:sz w:val="20"/>
                <w:szCs w:val="20"/>
                <w:color w:val="auto"/>
              </w:rPr>
            </w:pPr>
            <w:r>
              <w:rPr>
                <w:rFonts w:ascii="Arial" w:cs="Arial" w:eastAsia="Arial" w:hAnsi="Arial"/>
                <w:sz w:val="18"/>
                <w:szCs w:val="18"/>
                <w:color w:val="auto"/>
              </w:rPr>
              <w:t>2.83%</w:t>
            </w:r>
          </w:p>
        </w:tc>
        <w:tc>
          <w:tcPr>
            <w:tcW w:w="18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Cash flow hedge</w:t>
            </w:r>
          </w:p>
        </w:tc>
      </w:tr>
      <w:tr>
        <w:trPr>
          <w:trHeight w:val="230"/>
        </w:trPr>
        <w:tc>
          <w:tcPr>
            <w:tcW w:w="2700" w:type="dxa"/>
            <w:vAlign w:val="bottom"/>
            <w:shd w:val="clear" w:color="auto" w:fill="CCEEFF"/>
          </w:tcPr>
          <w:p>
            <w:pPr>
              <w:spacing w:after="0"/>
              <w:rPr>
                <w:sz w:val="20"/>
                <w:szCs w:val="20"/>
                <w:color w:val="auto"/>
              </w:rPr>
            </w:pPr>
          </w:p>
        </w:tc>
        <w:tc>
          <w:tcPr>
            <w:tcW w:w="246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0"/>
              </w:rPr>
              <w:t>(30-year)</w:t>
            </w:r>
          </w:p>
        </w:tc>
        <w:tc>
          <w:tcPr>
            <w:tcW w:w="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As of March 31, 2015, our outstanding foreign currency derivatives include derivatives we use to (i) hedge currency exchange risk associated with USD-denominated commodity purchases and sales in Canada and (ii) hedge currency exchange risk created by the use of USD-denominated commodity derivatives to hedge commodity price risk associated with CAD-denominated commodity purchases and sales.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March 31, 2015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USD</w:t>
            </w:r>
          </w:p>
        </w:tc>
        <w:tc>
          <w:tcPr>
            <w:tcW w:w="300" w:type="dxa"/>
            <w:vAlign w:val="bottom"/>
          </w:tcPr>
          <w:p>
            <w:pPr>
              <w:spacing w:after="0"/>
              <w:rPr>
                <w:sz w:val="14"/>
                <w:szCs w:val="14"/>
                <w:color w:val="auto"/>
              </w:rPr>
            </w:pPr>
          </w:p>
        </w:tc>
        <w:tc>
          <w:tcPr>
            <w:tcW w:w="132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CAD</w:t>
            </w: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USD to CAD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Forward exchange contracts that exchange CAD</w:t>
            </w:r>
          </w:p>
        </w:tc>
        <w:tc>
          <w:tcPr>
            <w:tcW w:w="3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for USD:</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jc w:val="right"/>
              <w:ind w:right="190"/>
              <w:spacing w:after="0"/>
              <w:rPr>
                <w:sz w:val="20"/>
                <w:szCs w:val="20"/>
                <w:color w:val="auto"/>
              </w:rPr>
            </w:pPr>
            <w:r>
              <w:rPr>
                <w:rFonts w:ascii="Arial" w:cs="Arial" w:eastAsia="Arial" w:hAnsi="Arial"/>
                <w:sz w:val="18"/>
                <w:szCs w:val="18"/>
                <w:color w:val="auto"/>
              </w:rPr>
              <w:t>2015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187</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$1.00 - $1.27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2016</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Borders>
              <w:bottom w:val="single" w:sz="8" w:color="CCEEFF"/>
            </w:tcBorders>
          </w:tcPr>
          <w:p>
            <w:pPr>
              <w:spacing w:after="0"/>
              <w:rPr>
                <w:sz w:val="21"/>
                <w:szCs w:val="21"/>
                <w:color w:val="auto"/>
              </w:rPr>
            </w:pPr>
          </w:p>
        </w:tc>
        <w:tc>
          <w:tcPr>
            <w:tcW w:w="23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720" w:type="dxa"/>
            <w:vAlign w:val="bottom"/>
          </w:tcPr>
          <w:p>
            <w:pPr>
              <w:spacing w:after="0" w:line="198" w:lineRule="exact"/>
              <w:rPr>
                <w:sz w:val="20"/>
                <w:szCs w:val="20"/>
                <w:color w:val="auto"/>
              </w:rPr>
            </w:pPr>
            <w:r>
              <w:rPr>
                <w:rFonts w:ascii="Arial" w:cs="Arial" w:eastAsia="Arial" w:hAnsi="Arial"/>
                <w:sz w:val="18"/>
                <w:szCs w:val="18"/>
                <w:b w:val="1"/>
                <w:bCs w:val="1"/>
                <w:color w:val="auto"/>
              </w:rPr>
              <w:t>Forward exchange contracts that exchange USD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b w:val="1"/>
                <w:bCs w:val="1"/>
                <w:color w:val="auto"/>
              </w:rPr>
              <w:t>for CAD:</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2015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jc w:val="right"/>
              <w:ind w:right="190"/>
              <w:spacing w:after="0"/>
              <w:rPr>
                <w:sz w:val="20"/>
                <w:szCs w:val="20"/>
                <w:color w:val="auto"/>
              </w:rPr>
            </w:pPr>
            <w:r>
              <w:rPr>
                <w:rFonts w:ascii="Arial" w:cs="Arial" w:eastAsia="Arial" w:hAnsi="Arial"/>
                <w:sz w:val="18"/>
                <w:szCs w:val="18"/>
                <w:color w:val="auto"/>
              </w:rPr>
              <w:t>2016</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$1.00 - $1.27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 summary of the impact of our derivative activities recognized in earnings for the three months ended March 31, 2015 and 2014 is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rPr>
              <w:t>Three Months Ended March 31, 2015</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2014</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Derivatives in</w:t>
            </w:r>
          </w:p>
        </w:tc>
        <w:tc>
          <w:tcPr>
            <w:tcW w:w="100" w:type="dxa"/>
            <w:vAlign w:val="bottom"/>
          </w:tcPr>
          <w:p>
            <w:pPr>
              <w:spacing w:after="0"/>
              <w:rPr>
                <w:sz w:val="10"/>
                <w:szCs w:val="10"/>
                <w:color w:val="auto"/>
              </w:rPr>
            </w:pPr>
          </w:p>
        </w:tc>
        <w:tc>
          <w:tcPr>
            <w:tcW w:w="12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Derivatives</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Derivatives in</w:t>
            </w:r>
          </w:p>
        </w:tc>
        <w:tc>
          <w:tcPr>
            <w:tcW w:w="100" w:type="dxa"/>
            <w:vAlign w:val="bottom"/>
          </w:tcPr>
          <w:p>
            <w:pPr>
              <w:spacing w:after="0"/>
              <w:rPr>
                <w:sz w:val="10"/>
                <w:szCs w:val="10"/>
                <w:color w:val="auto"/>
              </w:rPr>
            </w:pPr>
          </w:p>
        </w:tc>
        <w:tc>
          <w:tcPr>
            <w:tcW w:w="12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Derivatives</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Hedging</w:t>
            </w: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20" w:type="dxa"/>
            <w:vAlign w:val="bottom"/>
          </w:tcPr>
          <w:p>
            <w:pPr>
              <w:spacing w:after="0"/>
              <w:rPr>
                <w:sz w:val="12"/>
                <w:szCs w:val="12"/>
                <w:color w:val="auto"/>
              </w:rPr>
            </w:pPr>
          </w:p>
        </w:tc>
        <w:tc>
          <w:tcPr>
            <w:tcW w:w="7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xml:space="preserve">Relationships </w:t>
            </w:r>
            <w:r>
              <w:rPr>
                <w:rFonts w:ascii="Arial" w:cs="Arial" w:eastAsia="Arial" w:hAnsi="Arial"/>
                <w:sz w:val="8"/>
                <w:szCs w:val="8"/>
                <w:b w:val="1"/>
                <w:bCs w:val="1"/>
                <w:color w:val="auto"/>
                <w:w w:val="92"/>
              </w:rPr>
              <w:t>(1)</w:t>
            </w:r>
          </w:p>
        </w:tc>
        <w:tc>
          <w:tcPr>
            <w:tcW w:w="1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as a Hedge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 xml:space="preserve">Relationships </w:t>
            </w:r>
            <w:r>
              <w:rPr>
                <w:rFonts w:ascii="Arial" w:cs="Arial" w:eastAsia="Arial" w:hAnsi="Arial"/>
                <w:sz w:val="8"/>
                <w:szCs w:val="8"/>
                <w:b w:val="1"/>
                <w:bCs w:val="1"/>
                <w:color w:val="auto"/>
                <w:w w:val="90"/>
              </w:rPr>
              <w:t>(1)</w:t>
            </w: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as a Hedge</w:t>
            </w: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Transportation segment revenues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2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Gain/(Loss) on Derivatives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Recognized in Net Income</w:t>
            </w:r>
          </w:p>
        </w:tc>
        <w:tc>
          <w:tcPr>
            <w:tcW w:w="12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880" w:type="dxa"/>
            <w:vAlign w:val="bottom"/>
            <w:tcBorders>
              <w:right w:val="single" w:sz="8" w:color="auto"/>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2" w:name="page13"/>
    <w:bookmarkEnd w:id="12"/>
    <w:p>
      <w:pPr>
        <w:ind w:left="5620" w:right="3820" w:hanging="5576"/>
        <w:spacing w:after="0" w:line="461" w:lineRule="auto"/>
        <w:tabs>
          <w:tab w:leader="none" w:pos="447"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Represents gains/(losses) on cash flow hedges reclassified from AOCI to income during the period.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March 31, 2015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w w:val="89"/>
              </w:rPr>
              <w:t>Asset Derivatives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4"/>
                <w:szCs w:val="14"/>
                <w:b w:val="1"/>
                <w:bCs w:val="1"/>
                <w:color w:val="auto"/>
              </w:rPr>
              <w:t>Liability Derivatives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1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Location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Derivatives designated as hedging instruments:</w:t>
            </w:r>
          </w:p>
        </w:tc>
        <w:tc>
          <w:tcPr>
            <w:tcW w:w="54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Commodity derivatives</w:t>
            </w:r>
          </w:p>
        </w:tc>
        <w:tc>
          <w:tcPr>
            <w:tcW w:w="2660" w:type="dxa"/>
            <w:vAlign w:val="bottom"/>
            <w:gridSpan w:val="3"/>
          </w:tcPr>
          <w:p>
            <w:pPr>
              <w:ind w:left="540"/>
              <w:spacing w:after="0"/>
              <w:rPr>
                <w:sz w:val="20"/>
                <w:szCs w:val="20"/>
                <w:color w:val="auto"/>
              </w:rPr>
            </w:pPr>
            <w:r>
              <w:rPr>
                <w:rFonts w:ascii="Arial" w:cs="Arial" w:eastAsia="Arial" w:hAnsi="Arial"/>
                <w:sz w:val="16"/>
                <w:szCs w:val="16"/>
                <w:color w:val="auto"/>
              </w:rPr>
              <w:t>Other current assets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200" w:type="dxa"/>
            <w:vAlign w:val="bottom"/>
            <w:tcBorders>
              <w:right w:val="single" w:sz="8" w:color="auto"/>
            </w:tcBorders>
          </w:tcPr>
          <w:p>
            <w:pPr>
              <w:spacing w:after="0"/>
              <w:rPr>
                <w:sz w:val="16"/>
                <w:szCs w:val="16"/>
                <w:color w:val="auto"/>
              </w:rPr>
            </w:pPr>
          </w:p>
        </w:tc>
        <w:tc>
          <w:tcPr>
            <w:tcW w:w="1960" w:type="dxa"/>
            <w:vAlign w:val="bottom"/>
            <w:gridSpan w:val="2"/>
          </w:tcPr>
          <w:p>
            <w:pPr>
              <w:ind w:left="140"/>
              <w:spacing w:after="0"/>
              <w:rPr>
                <w:sz w:val="20"/>
                <w:szCs w:val="20"/>
                <w:color w:val="auto"/>
              </w:rPr>
            </w:pPr>
            <w:r>
              <w:rPr>
                <w:rFonts w:ascii="Arial" w:cs="Arial" w:eastAsia="Arial" w:hAnsi="Arial"/>
                <w:sz w:val="16"/>
                <w:szCs w:val="16"/>
                <w:color w:val="auto"/>
              </w:rPr>
              <w:t>Other long-term liabilities</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ind w:left="180"/>
              <w:spacing w:after="0"/>
              <w:rPr>
                <w:sz w:val="20"/>
                <w:szCs w:val="20"/>
                <w:color w:val="auto"/>
              </w:rPr>
            </w:pPr>
            <w:r>
              <w:rPr>
                <w:rFonts w:ascii="Arial" w:cs="Arial" w:eastAsia="Arial" w:hAnsi="Arial"/>
                <w:sz w:val="16"/>
                <w:szCs w:val="16"/>
                <w:color w:val="auto"/>
              </w:rPr>
              <w:t>and deferred credits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266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Other long-term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and deferred credits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Interest rate derivatives</w:t>
            </w:r>
          </w:p>
        </w:tc>
        <w:tc>
          <w:tcPr>
            <w:tcW w:w="5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960" w:type="dxa"/>
            <w:vAlign w:val="bottom"/>
            <w:gridSpan w:val="2"/>
          </w:tcPr>
          <w:p>
            <w:pPr>
              <w:ind w:left="14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4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0" w:type="dxa"/>
            <w:vAlign w:val="bottom"/>
            <w:tcBorders>
              <w:bottom w:val="single" w:sz="8" w:color="CCEEFF"/>
              <w:right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and deferred credits</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derivatives designated as hedging instruments</w:t>
            </w:r>
          </w:p>
        </w:tc>
        <w:tc>
          <w:tcPr>
            <w:tcW w:w="54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CCEEFF"/>
              <w:right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5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Commodity derivatives</w:t>
            </w:r>
          </w:p>
        </w:tc>
        <w:tc>
          <w:tcPr>
            <w:tcW w:w="2660" w:type="dxa"/>
            <w:vAlign w:val="bottom"/>
            <w:gridSpan w:val="3"/>
          </w:tcPr>
          <w:p>
            <w:pPr>
              <w:ind w:left="540"/>
              <w:spacing w:after="0"/>
              <w:rPr>
                <w:sz w:val="20"/>
                <w:szCs w:val="20"/>
                <w:color w:val="auto"/>
              </w:rPr>
            </w:pPr>
            <w:r>
              <w:rPr>
                <w:rFonts w:ascii="Arial" w:cs="Arial" w:eastAsia="Arial" w:hAnsi="Arial"/>
                <w:sz w:val="16"/>
                <w:szCs w:val="16"/>
                <w:color w:val="auto"/>
              </w:rPr>
              <w:t>Other current assets</w:t>
            </w:r>
          </w:p>
        </w:tc>
        <w:tc>
          <w:tcPr>
            <w:tcW w:w="200" w:type="dxa"/>
            <w:vAlign w:val="bottom"/>
            <w:gridSpan w:val="2"/>
          </w:tcPr>
          <w:p>
            <w:pPr>
              <w:jc w:val="right"/>
              <w:ind w:right="24"/>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205</w:t>
            </w:r>
          </w:p>
        </w:tc>
        <w:tc>
          <w:tcPr>
            <w:tcW w:w="200" w:type="dxa"/>
            <w:vAlign w:val="bottom"/>
            <w:tcBorders>
              <w:right w:val="single" w:sz="8" w:color="auto"/>
            </w:tcBorders>
          </w:tcPr>
          <w:p>
            <w:pPr>
              <w:spacing w:after="0"/>
              <w:rPr>
                <w:sz w:val="17"/>
                <w:szCs w:val="17"/>
                <w:color w:val="auto"/>
              </w:rPr>
            </w:pPr>
          </w:p>
        </w:tc>
        <w:tc>
          <w:tcPr>
            <w:tcW w:w="1960" w:type="dxa"/>
            <w:vAlign w:val="bottom"/>
            <w:gridSpan w:val="2"/>
          </w:tcPr>
          <w:p>
            <w:pPr>
              <w:ind w:left="140"/>
              <w:spacing w:after="0"/>
              <w:rPr>
                <w:sz w:val="20"/>
                <w:szCs w:val="20"/>
                <w:color w:val="auto"/>
              </w:rPr>
            </w:pPr>
            <w:r>
              <w:rPr>
                <w:rFonts w:ascii="Arial" w:cs="Arial" w:eastAsia="Arial" w:hAnsi="Arial"/>
                <w:sz w:val="16"/>
                <w:szCs w:val="16"/>
                <w:color w:val="auto"/>
              </w:rPr>
              <w:t>Other current assets</w:t>
            </w:r>
          </w:p>
        </w:tc>
        <w:tc>
          <w:tcPr>
            <w:tcW w:w="4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266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Other long-term assets, net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0" w:type="dxa"/>
            <w:vAlign w:val="bottom"/>
            <w:tcBorders>
              <w:right w:val="single" w:sz="8" w:color="auto"/>
            </w:tcBorders>
            <w:shd w:val="clear" w:color="auto" w:fill="CCEEFF"/>
          </w:tcPr>
          <w:p>
            <w:pPr>
              <w:spacing w:after="0"/>
              <w:rPr>
                <w:sz w:val="17"/>
                <w:szCs w:val="17"/>
                <w:color w:val="auto"/>
              </w:rPr>
            </w:pPr>
          </w:p>
        </w:tc>
        <w:tc>
          <w:tcPr>
            <w:tcW w:w="1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660" w:type="dxa"/>
            <w:vAlign w:val="bottom"/>
            <w:gridSpan w:val="3"/>
          </w:tcPr>
          <w:p>
            <w:pPr>
              <w:ind w:left="540"/>
              <w:spacing w:after="0"/>
              <w:rPr>
                <w:sz w:val="20"/>
                <w:szCs w:val="20"/>
                <w:color w:val="auto"/>
              </w:rPr>
            </w:pPr>
            <w:r>
              <w:rPr>
                <w:rFonts w:ascii="Arial" w:cs="Arial" w:eastAsia="Arial" w:hAnsi="Arial"/>
                <w:sz w:val="16"/>
                <w:szCs w:val="16"/>
                <w:color w:val="auto"/>
              </w:rPr>
              <w:t>Other long-term liabilities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right w:val="single" w:sz="8" w:color="auto"/>
            </w:tcBorders>
          </w:tcPr>
          <w:p>
            <w:pPr>
              <w:spacing w:after="0"/>
              <w:rPr>
                <w:sz w:val="16"/>
                <w:szCs w:val="16"/>
                <w:color w:val="auto"/>
              </w:rPr>
            </w:pPr>
          </w:p>
        </w:tc>
        <w:tc>
          <w:tcPr>
            <w:tcW w:w="1960" w:type="dxa"/>
            <w:vAlign w:val="bottom"/>
            <w:gridSpan w:val="2"/>
          </w:tcPr>
          <w:p>
            <w:pPr>
              <w:ind w:left="14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color w:val="auto"/>
              </w:rPr>
              <w:t>and deferred credits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ind w:left="180"/>
              <w:spacing w:after="0"/>
              <w:rPr>
                <w:sz w:val="20"/>
                <w:szCs w:val="20"/>
                <w:color w:val="auto"/>
              </w:rPr>
            </w:pPr>
            <w:r>
              <w:rPr>
                <w:rFonts w:ascii="Arial" w:cs="Arial" w:eastAsia="Arial" w:hAnsi="Arial"/>
                <w:sz w:val="16"/>
                <w:szCs w:val="16"/>
                <w:color w:val="auto"/>
              </w:rPr>
              <w:t>and deferred credits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Foreign currency derivatives</w:t>
            </w: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960" w:type="dxa"/>
            <w:vAlign w:val="bottom"/>
            <w:gridSpan w:val="2"/>
          </w:tcPr>
          <w:p>
            <w:pPr>
              <w:ind w:left="14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derivatives not designated as hedging instruments</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18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Total derivatives</w:t>
            </w:r>
          </w:p>
        </w:tc>
        <w:tc>
          <w:tcPr>
            <w:tcW w:w="5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2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w w:val="89"/>
              </w:rPr>
              <w:t>Asset Derivatives</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tcBorders>
              <w:bottom w:val="single" w:sz="8" w:color="auto"/>
            </w:tcBorders>
            <w:gridSpan w:val="4"/>
          </w:tcPr>
          <w:p>
            <w:pPr>
              <w:jc w:val="right"/>
              <w:ind w:right="69"/>
              <w:spacing w:after="0"/>
              <w:rPr>
                <w:sz w:val="20"/>
                <w:szCs w:val="20"/>
                <w:color w:val="auto"/>
              </w:rPr>
            </w:pPr>
            <w:r>
              <w:rPr>
                <w:rFonts w:ascii="Arial" w:cs="Arial" w:eastAsia="Arial" w:hAnsi="Arial"/>
                <w:sz w:val="14"/>
                <w:szCs w:val="14"/>
                <w:b w:val="1"/>
                <w:bCs w:val="1"/>
                <w:color w:val="auto"/>
              </w:rPr>
              <w:t>Liability Derivatives</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1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right"/>
              <w:ind w:right="302"/>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ind w:right="301"/>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Location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62"/>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Location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Derivatives designated as hedging instruments:</w:t>
            </w:r>
          </w:p>
        </w:tc>
        <w:tc>
          <w:tcPr>
            <w:tcW w:w="54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Commodity derivatives</w:t>
            </w:r>
          </w:p>
        </w:tc>
        <w:tc>
          <w:tcPr>
            <w:tcW w:w="2660" w:type="dxa"/>
            <w:vAlign w:val="bottom"/>
            <w:gridSpan w:val="3"/>
          </w:tcPr>
          <w:p>
            <w:pPr>
              <w:ind w:left="540"/>
              <w:spacing w:after="0"/>
              <w:rPr>
                <w:sz w:val="20"/>
                <w:szCs w:val="20"/>
                <w:color w:val="auto"/>
              </w:rPr>
            </w:pPr>
            <w:r>
              <w:rPr>
                <w:rFonts w:ascii="Arial" w:cs="Arial" w:eastAsia="Arial" w:hAnsi="Arial"/>
                <w:sz w:val="16"/>
                <w:szCs w:val="16"/>
                <w:color w:val="auto"/>
              </w:rPr>
              <w:t>Other current assets</w:t>
            </w:r>
          </w:p>
        </w:tc>
        <w:tc>
          <w:tcPr>
            <w:tcW w:w="240" w:type="dxa"/>
            <w:vAlign w:val="bottom"/>
            <w:gridSpan w:val="2"/>
          </w:tcPr>
          <w:p>
            <w:pPr>
              <w:jc w:val="right"/>
              <w:ind w:right="64"/>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Borders>
              <w:right w:val="single" w:sz="8" w:color="auto"/>
            </w:tcBorders>
          </w:tcPr>
          <w:p>
            <w:pPr>
              <w:spacing w:after="0"/>
              <w:rPr>
                <w:sz w:val="17"/>
                <w:szCs w:val="17"/>
                <w:color w:val="auto"/>
              </w:rPr>
            </w:pPr>
          </w:p>
        </w:tc>
        <w:tc>
          <w:tcPr>
            <w:tcW w:w="2240" w:type="dxa"/>
            <w:vAlign w:val="bottom"/>
            <w:gridSpan w:val="3"/>
          </w:tcPr>
          <w:p>
            <w:pPr>
              <w:ind w:left="140"/>
              <w:spacing w:after="0"/>
              <w:rPr>
                <w:sz w:val="20"/>
                <w:szCs w:val="20"/>
                <w:color w:val="auto"/>
              </w:rPr>
            </w:pPr>
            <w:r>
              <w:rPr>
                <w:rFonts w:ascii="Arial" w:cs="Arial" w:eastAsia="Arial" w:hAnsi="Arial"/>
                <w:sz w:val="16"/>
                <w:szCs w:val="16"/>
                <w:color w:val="auto"/>
              </w:rPr>
              <w:t>Other current assets</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266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Other long-term assets, net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0" w:type="dxa"/>
            <w:vAlign w:val="bottom"/>
            <w:tcBorders>
              <w:right w:val="single" w:sz="8" w:color="auto"/>
            </w:tcBorders>
            <w:shd w:val="clear" w:color="auto" w:fill="CCEEFF"/>
          </w:tcPr>
          <w:p>
            <w:pPr>
              <w:spacing w:after="0"/>
              <w:rPr>
                <w:sz w:val="17"/>
                <w:szCs w:val="17"/>
                <w:color w:val="auto"/>
              </w:rPr>
            </w:pPr>
          </w:p>
        </w:tc>
        <w:tc>
          <w:tcPr>
            <w:tcW w:w="22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long-term assets, net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Interest rate derivatives</w:t>
            </w:r>
          </w:p>
        </w:tc>
        <w:tc>
          <w:tcPr>
            <w:tcW w:w="5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22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40" w:type="dxa"/>
            <w:vAlign w:val="bottom"/>
            <w:gridSpan w:val="3"/>
          </w:tcPr>
          <w:p>
            <w:pPr>
              <w:ind w:left="140"/>
              <w:spacing w:after="0"/>
              <w:rPr>
                <w:sz w:val="20"/>
                <w:szCs w:val="20"/>
                <w:color w:val="auto"/>
              </w:rPr>
            </w:pPr>
            <w:r>
              <w:rPr>
                <w:rFonts w:ascii="Arial" w:cs="Arial" w:eastAsia="Arial" w:hAnsi="Arial"/>
                <w:sz w:val="16"/>
                <w:szCs w:val="16"/>
                <w:color w:val="auto"/>
              </w:rPr>
              <w:t>Other long-term liabilities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4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CCEEFF"/>
              <w:right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1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and deferred credits</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derivatives designated as hedging instruments</w:t>
            </w:r>
          </w:p>
        </w:tc>
        <w:tc>
          <w:tcPr>
            <w:tcW w:w="54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0" w:type="dxa"/>
            <w:vAlign w:val="bottom"/>
            <w:tcBorders>
              <w:bottom w:val="single" w:sz="8" w:color="CCEEFF"/>
              <w:right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5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Commodity derivatives</w:t>
            </w:r>
          </w:p>
        </w:tc>
        <w:tc>
          <w:tcPr>
            <w:tcW w:w="2660" w:type="dxa"/>
            <w:vAlign w:val="bottom"/>
            <w:gridSpan w:val="3"/>
          </w:tcPr>
          <w:p>
            <w:pPr>
              <w:ind w:left="540"/>
              <w:spacing w:after="0"/>
              <w:rPr>
                <w:sz w:val="20"/>
                <w:szCs w:val="20"/>
                <w:color w:val="auto"/>
              </w:rPr>
            </w:pPr>
            <w:r>
              <w:rPr>
                <w:rFonts w:ascii="Arial" w:cs="Arial" w:eastAsia="Arial" w:hAnsi="Arial"/>
                <w:sz w:val="16"/>
                <w:szCs w:val="16"/>
                <w:color w:val="auto"/>
              </w:rPr>
              <w:t>Other current assets</w:t>
            </w:r>
          </w:p>
        </w:tc>
        <w:tc>
          <w:tcPr>
            <w:tcW w:w="240" w:type="dxa"/>
            <w:vAlign w:val="bottom"/>
            <w:gridSpan w:val="2"/>
          </w:tcPr>
          <w:p>
            <w:pPr>
              <w:jc w:val="right"/>
              <w:ind w:right="64"/>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439</w:t>
            </w:r>
          </w:p>
        </w:tc>
        <w:tc>
          <w:tcPr>
            <w:tcW w:w="200" w:type="dxa"/>
            <w:vAlign w:val="bottom"/>
            <w:tcBorders>
              <w:right w:val="single" w:sz="8" w:color="auto"/>
            </w:tcBorders>
          </w:tcPr>
          <w:p>
            <w:pPr>
              <w:spacing w:after="0"/>
              <w:rPr>
                <w:sz w:val="17"/>
                <w:szCs w:val="17"/>
                <w:color w:val="auto"/>
              </w:rPr>
            </w:pPr>
          </w:p>
        </w:tc>
        <w:tc>
          <w:tcPr>
            <w:tcW w:w="2240" w:type="dxa"/>
            <w:vAlign w:val="bottom"/>
            <w:gridSpan w:val="3"/>
          </w:tcPr>
          <w:p>
            <w:pPr>
              <w:ind w:left="140"/>
              <w:spacing w:after="0"/>
              <w:rPr>
                <w:sz w:val="20"/>
                <w:szCs w:val="20"/>
                <w:color w:val="auto"/>
              </w:rPr>
            </w:pPr>
            <w:r>
              <w:rPr>
                <w:rFonts w:ascii="Arial" w:cs="Arial" w:eastAsia="Arial" w:hAnsi="Arial"/>
                <w:sz w:val="16"/>
                <w:szCs w:val="16"/>
                <w:color w:val="auto"/>
              </w:rPr>
              <w:t>Other current assets</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266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Other long-term assets, net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0" w:type="dxa"/>
            <w:vAlign w:val="bottom"/>
            <w:tcBorders>
              <w:right w:val="single" w:sz="8" w:color="auto"/>
            </w:tcBorders>
            <w:shd w:val="clear" w:color="auto" w:fill="CCEEFF"/>
          </w:tcPr>
          <w:p>
            <w:pPr>
              <w:spacing w:after="0"/>
              <w:rPr>
                <w:sz w:val="17"/>
                <w:szCs w:val="17"/>
                <w:color w:val="auto"/>
              </w:rPr>
            </w:pPr>
          </w:p>
        </w:tc>
        <w:tc>
          <w:tcPr>
            <w:tcW w:w="22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long-term assets, net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240" w:type="dxa"/>
            <w:vAlign w:val="bottom"/>
            <w:gridSpan w:val="3"/>
          </w:tcPr>
          <w:p>
            <w:pPr>
              <w:ind w:left="140"/>
              <w:spacing w:after="0"/>
              <w:rPr>
                <w:sz w:val="20"/>
                <w:szCs w:val="20"/>
                <w:color w:val="auto"/>
              </w:rPr>
            </w:pPr>
            <w:r>
              <w:rPr>
                <w:rFonts w:ascii="Arial" w:cs="Arial" w:eastAsia="Arial" w:hAnsi="Arial"/>
                <w:sz w:val="16"/>
                <w:szCs w:val="16"/>
                <w:color w:val="auto"/>
              </w:rPr>
              <w:t>Other current liabilities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22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and deferred credits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derivatives</w:t>
            </w:r>
          </w:p>
        </w:tc>
        <w:tc>
          <w:tcPr>
            <w:tcW w:w="5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22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derivatives not designated as hedging instruments</w:t>
            </w:r>
          </w:p>
        </w:tc>
        <w:tc>
          <w:tcPr>
            <w:tcW w:w="54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200" w:type="dxa"/>
            <w:vAlign w:val="bottom"/>
            <w:tcBorders>
              <w:bottom w:val="single" w:sz="8" w:color="CCEEFF"/>
              <w:right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Total derivatives</w:t>
            </w:r>
          </w:p>
        </w:tc>
        <w:tc>
          <w:tcPr>
            <w:tcW w:w="5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gridSpan w:val="2"/>
          </w:tcPr>
          <w:p>
            <w:pPr>
              <w:jc w:val="right"/>
              <w:ind w:right="64"/>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493</w:t>
            </w:r>
          </w:p>
        </w:tc>
        <w:tc>
          <w:tcPr>
            <w:tcW w:w="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our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March 31, 2015, we had a net broker payable of $112 million (consisting of initial margin of $61 million reduced by $173 million of variation margin that had been returned to us). As of December 31, 2014, we had a net broker payable of $133 million (consisting of initial margin of $126 million reduced by $259 million of variation margin that had been returned to us).</w:t>
      </w:r>
    </w:p>
    <w:p>
      <w:pPr>
        <w:sectPr>
          <w:pgSz w:w="11900" w:h="16838" w:orient="portrait"/>
          <w:cols w:equalWidth="0" w:num="1">
            <w:col w:w="11420"/>
          </w:cols>
          <w:pgMar w:left="240" w:top="125" w:right="239" w:bottom="0" w:gutter="0" w:footer="0" w:header="0"/>
        </w:sectPr>
      </w:pPr>
    </w:p>
    <w:bookmarkStart w:id="13" w:name="page14"/>
    <w:bookmarkEnd w:id="13"/>
    <w:p>
      <w:pPr>
        <w:ind w:right="360" w:firstLine="648"/>
        <w:spacing w:after="0" w:line="277" w:lineRule="auto"/>
        <w:rPr>
          <w:sz w:val="20"/>
          <w:szCs w:val="20"/>
          <w:color w:val="auto"/>
        </w:rPr>
      </w:pPr>
      <w:r>
        <w:rPr>
          <w:rFonts w:ascii="Arial" w:cs="Arial" w:eastAsia="Arial" w:hAnsi="Arial"/>
          <w:sz w:val="18"/>
          <w:szCs w:val="18"/>
          <w:color w:val="auto"/>
        </w:rPr>
        <w:t>The following tables present information about derivatives and financial assets and liabilities that are subject to offsetting, including enforceable master netting arrangements as of the dates indicated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gridSpan w:val="6"/>
          </w:tcPr>
          <w:p>
            <w:pPr>
              <w:jc w:val="right"/>
              <w:ind w:right="1160"/>
              <w:spacing w:after="0"/>
              <w:rPr>
                <w:sz w:val="20"/>
                <w:szCs w:val="20"/>
                <w:color w:val="auto"/>
              </w:rPr>
            </w:pPr>
            <w:r>
              <w:rPr>
                <w:rFonts w:ascii="Arial" w:cs="Arial" w:eastAsia="Arial" w:hAnsi="Arial"/>
                <w:sz w:val="14"/>
                <w:szCs w:val="14"/>
                <w:b w:val="1"/>
                <w:bCs w:val="1"/>
                <w:color w:val="auto"/>
              </w:rPr>
              <w:t>March 31, 2015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Derivative</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rPr>
              <w:t>Derivative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Asset Positions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Liability Positions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Asset Positions</w:t>
            </w:r>
          </w:p>
        </w:tc>
        <w:tc>
          <w:tcPr>
            <w:tcW w:w="100" w:type="dxa"/>
            <w:vAlign w:val="bottom"/>
          </w:tcPr>
          <w:p>
            <w:pPr>
              <w:spacing w:after="0"/>
              <w:rPr>
                <w:sz w:val="14"/>
                <w:szCs w:val="1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Liability Positions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Netting Adjustments:</w:t>
            </w: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6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Cash collateral paid/(received)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current assets</w:t>
            </w:r>
          </w:p>
        </w:tc>
        <w:tc>
          <w:tcPr>
            <w:tcW w:w="6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648"/>
        <w:spacing w:after="0" w:line="291" w:lineRule="auto"/>
        <w:rPr>
          <w:sz w:val="20"/>
          <w:szCs w:val="20"/>
          <w:color w:val="auto"/>
        </w:rPr>
      </w:pPr>
      <w:r>
        <w:rPr>
          <w:rFonts w:ascii="Arial" w:cs="Arial" w:eastAsia="Arial" w:hAnsi="Arial"/>
          <w:sz w:val="16"/>
          <w:szCs w:val="16"/>
          <w:color w:val="auto"/>
        </w:rPr>
        <w:t>As of March 31, 2015, there was a net loss of $237 million deferred in AOCI including tax effects. The deferred net loss recorded in AOCI is expected to be reclassified to future earnings contemporaneously with (i) the earnings recognition of the underlying hedged commodity transaction or</w:t>
      </w:r>
    </w:p>
    <w:p>
      <w:pPr>
        <w:ind w:right="100" w:firstLine="8"/>
        <w:spacing w:after="0" w:line="254"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expense accruals associated with underlying debt instruments. Of the total net loss deferred in AOCI at March 31, 2015, we expect to reclassify a net gain of $9 million to earnings in the next twelve months. The remaining deferred loss of $246 million is expected to be reclassified to earnings through 2049. A portion of these amounts are based on market prices as of March 31, 2015; thus, actual amounts to be reclassified will differ and could vary materially as a result of changes in market conditions.</w:t>
      </w:r>
    </w:p>
    <w:p>
      <w:pPr>
        <w:spacing w:after="0" w:line="19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net deferred gain/(loss), including tax effects, recognized in AOCI for derivatives for the three months ended March 31, 2015 and 2014 was as follows (in millions):</w:t>
      </w:r>
    </w:p>
    <w:p>
      <w:pPr>
        <w:spacing w:after="0" w:line="16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16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 net</w:t>
            </w:r>
          </w:p>
        </w:tc>
        <w:tc>
          <w:tcPr>
            <w:tcW w:w="3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7"/>
                <w:szCs w:val="17"/>
                <w:color w:val="auto"/>
                <w:w w:val="72"/>
              </w:rPr>
              <w:t>(12)</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rate derivatives, net</w:t>
            </w:r>
          </w:p>
        </w:tc>
        <w:tc>
          <w:tcPr>
            <w:tcW w:w="3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w w:val="99"/>
              </w:rPr>
              <w:t>(20)</w:t>
            </w:r>
          </w:p>
        </w:tc>
      </w:tr>
      <w:tr>
        <w:trPr>
          <w:trHeight w:val="223"/>
        </w:trPr>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4"/>
              </w:rPr>
              <w:t>(32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At March 31, 2015 and December 31, 2014,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March 31, 2015 and December 31, 2014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8"/>
                <w:szCs w:val="8"/>
                <w:b w:val="1"/>
                <w:bCs w:val="1"/>
                <w:color w:val="auto"/>
              </w:rPr>
              <w:t>(1)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Fair Value as of March 31, 2015</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6"/>
              </w:rPr>
              <w:t>Fair Value as of December 31, 2014</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8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68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9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520" w:type="dxa"/>
            <w:vAlign w:val="bottom"/>
            <w:vMerge w:val="restart"/>
          </w:tcPr>
          <w:p>
            <w:pPr>
              <w:ind w:left="180"/>
              <w:spacing w:after="0" w:line="201" w:lineRule="exact"/>
              <w:rPr>
                <w:sz w:val="20"/>
                <w:szCs w:val="20"/>
                <w:color w:val="auto"/>
              </w:rPr>
            </w:pPr>
            <w:r>
              <w:rPr>
                <w:rFonts w:ascii="Arial" w:cs="Arial" w:eastAsia="Arial" w:hAnsi="Arial"/>
                <w:sz w:val="18"/>
                <w:szCs w:val="18"/>
                <w:color w:val="auto"/>
              </w:rPr>
              <w:t>Total net derivative</w:t>
            </w: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520" w:type="dxa"/>
            <w:vAlign w:val="bottom"/>
            <w:vMerge w:val="continue"/>
          </w:tcPr>
          <w:p>
            <w:pPr>
              <w:spacing w:after="0"/>
              <w:rPr>
                <w:sz w:val="15"/>
                <w:szCs w:val="15"/>
                <w:color w:val="auto"/>
              </w:rPr>
            </w:pPr>
          </w:p>
        </w:tc>
        <w:tc>
          <w:tcPr>
            <w:tcW w:w="22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220" w:type="dxa"/>
            <w:vAlign w:val="bottom"/>
            <w:vMerge w:val="restart"/>
          </w:tcPr>
          <w:p>
            <w:pPr>
              <w:spacing w:after="0"/>
              <w:rPr>
                <w:sz w:val="15"/>
                <w:szCs w:val="15"/>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(25)</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5</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(85)</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179</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15</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520" w:type="dxa"/>
            <w:vAlign w:val="bottom"/>
          </w:tcPr>
          <w:p>
            <w:pPr>
              <w:ind w:left="360"/>
              <w:spacing w:after="0"/>
              <w:rPr>
                <w:sz w:val="20"/>
                <w:szCs w:val="20"/>
                <w:color w:val="auto"/>
              </w:rPr>
            </w:pPr>
            <w:r>
              <w:rPr>
                <w:rFonts w:ascii="Arial" w:cs="Arial" w:eastAsia="Arial" w:hAnsi="Arial"/>
                <w:sz w:val="18"/>
                <w:szCs w:val="18"/>
                <w:color w:val="auto"/>
              </w:rPr>
              <w:t>asset/(liability)</w:t>
            </w:r>
          </w:p>
        </w:tc>
        <w:tc>
          <w:tcPr>
            <w:tcW w:w="2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80" w:type="dxa"/>
            <w:vAlign w:val="bottom"/>
            <w:tcBorders>
              <w:right w:val="single" w:sz="8" w:color="auto"/>
            </w:tcBorders>
            <w:gridSpan w:val="2"/>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1"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ectPr>
          <w:pgSz w:w="11900" w:h="16838" w:orient="portrait"/>
          <w:cols w:equalWidth="0" w:num="1">
            <w:col w:w="11420"/>
          </w:cols>
          <w:pgMar w:left="240" w:top="341" w:right="239" w:bottom="0" w:gutter="0" w:footer="0" w:header="0"/>
        </w:sectPr>
      </w:pPr>
    </w:p>
    <w:bookmarkStart w:id="14" w:name="page15"/>
    <w:bookmarkEnd w:id="14"/>
    <w:p>
      <w:pPr>
        <w:spacing w:after="0" w:line="11" w:lineRule="exact"/>
        <w:rPr>
          <w:sz w:val="20"/>
          <w:szCs w:val="20"/>
          <w:color w:val="auto"/>
        </w:rPr>
      </w:pPr>
    </w:p>
    <w:p>
      <w:pPr>
        <w:ind w:left="660" w:right="180"/>
        <w:spacing w:after="0" w:line="255" w:lineRule="auto"/>
        <w:rPr>
          <w:sz w:val="20"/>
          <w:szCs w:val="20"/>
          <w:color w:val="auto"/>
        </w:rPr>
      </w:pPr>
      <w:r>
        <w:rPr>
          <w:rFonts w:ascii="Arial" w:cs="Arial" w:eastAsia="Arial" w:hAnsi="Arial"/>
          <w:sz w:val="18"/>
          <w:szCs w:val="18"/>
          <w:color w:val="auto"/>
        </w:rPr>
        <w:t>Level 3 of the fair value hierarchy includes certain physical commodity contracts.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Level 3 derivatives. We reported unrealized gains and losses associated with Level 3 commodity derivatives in our Condensed Consolidated Statements of Operations as Supply and Logistics segment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for the three months ended March 31, 2015 and 2014 (in millions):</w:t>
      </w:r>
    </w:p>
    <w:p>
      <w:pPr>
        <w:spacing w:after="0" w:line="16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Pr>
          <w:p>
            <w:pPr>
              <w:ind w:left="160"/>
              <w:spacing w:after="0" w:line="196" w:lineRule="exact"/>
              <w:rPr>
                <w:sz w:val="20"/>
                <w:szCs w:val="20"/>
                <w:color w:val="auto"/>
              </w:rPr>
            </w:pPr>
            <w:r>
              <w:rPr>
                <w:rFonts w:ascii="Arial" w:cs="Arial" w:eastAsia="Arial" w:hAnsi="Arial"/>
                <w:sz w:val="18"/>
                <w:szCs w:val="18"/>
                <w:color w:val="auto"/>
              </w:rPr>
              <w:t>Total gains/(losses) for the period:</w:t>
            </w:r>
          </w:p>
        </w:tc>
        <w:tc>
          <w:tcPr>
            <w:tcW w:w="2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Derivatives entered into during the period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Change in unrealized gains/(losses) included in earnings relating to Level 3 derivatives still held at the end of</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period</w:t>
            </w:r>
          </w:p>
        </w:tc>
        <w:tc>
          <w:tcPr>
            <w:tcW w:w="1180" w:type="dxa"/>
            <w:vAlign w:val="bottom"/>
            <w:gridSpan w:val="2"/>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jc w:val="right"/>
              <w:ind w:right="221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0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9—Equity-Indexed Compensation Plans</w:t>
      </w:r>
    </w:p>
    <w:p>
      <w:pPr>
        <w:spacing w:after="0" w:line="229"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We refer to the PAGP LTIP, PAA LTIPs and AAP Management Units collectively as our “equity-indexed compensation plans.” For additional discussion of our equity-indexed compensation plans and awards, see Note 16 to our Consolidated Financial Statements included in Part IV of our 2014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PAGP LTIP 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for awards under the PAGP LTIP is summarized in the following table (shares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840" w:type="dxa"/>
            <w:vAlign w:val="bottom"/>
          </w:tcPr>
          <w:p>
            <w:pPr>
              <w:spacing w:after="0"/>
              <w:rPr>
                <w:sz w:val="12"/>
                <w:szCs w:val="12"/>
                <w:color w:val="auto"/>
              </w:rPr>
            </w:pPr>
          </w:p>
        </w:tc>
        <w:tc>
          <w:tcPr>
            <w:tcW w:w="1300" w:type="dxa"/>
            <w:vAlign w:val="bottom"/>
            <w:vMerge w:val="restart"/>
          </w:tcPr>
          <w:p>
            <w:pPr>
              <w:ind w:left="400"/>
              <w:spacing w:after="0"/>
              <w:rPr>
                <w:sz w:val="20"/>
                <w:szCs w:val="20"/>
                <w:color w:val="auto"/>
              </w:rPr>
            </w:pPr>
            <w:r>
              <w:rPr>
                <w:rFonts w:ascii="Arial" w:cs="Arial" w:eastAsia="Arial" w:hAnsi="Arial"/>
                <w:sz w:val="14"/>
                <w:szCs w:val="14"/>
                <w:b w:val="1"/>
                <w:bCs w:val="1"/>
                <w:color w:val="auto"/>
                <w:w w:val="97"/>
              </w:rPr>
              <w:t>PAGP Shares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78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ind w:left="180"/>
              <w:spacing w:after="0" w:line="236"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line="20" w:lineRule="exact"/>
              <w:rPr>
                <w:sz w:val="1"/>
                <w:szCs w:val="1"/>
                <w:color w:val="auto"/>
              </w:rPr>
            </w:pPr>
          </w:p>
        </w:tc>
      </w:tr>
      <w:tr>
        <w:trPr>
          <w:trHeight w:val="197"/>
        </w:trPr>
        <w:tc>
          <w:tcPr>
            <w:tcW w:w="784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Outstanding at March 31, 2015</w:t>
            </w:r>
          </w:p>
        </w:tc>
        <w:tc>
          <w:tcPr>
            <w:tcW w:w="13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49"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60" w:hanging="11"/>
        <w:spacing w:after="0" w:line="277" w:lineRule="auto"/>
        <w:rPr>
          <w:sz w:val="20"/>
          <w:szCs w:val="20"/>
          <w:color w:val="auto"/>
        </w:rPr>
      </w:pPr>
      <w:r>
        <w:rPr>
          <w:rFonts w:ascii="Arial" w:cs="Arial" w:eastAsia="Arial" w:hAnsi="Arial"/>
          <w:sz w:val="18"/>
          <w:szCs w:val="18"/>
          <w:color w:val="auto"/>
        </w:rPr>
        <w:t>During the three months ended March 31, 2015, less than 0.1 million PAGP LTIP awards were issued under the automatic re-grant feature for awards issued to PAGP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2015, less than 0.1 million PAGP LTIP awards were settled in shares.</w:t>
      </w:r>
    </w:p>
    <w:p>
      <w:pPr>
        <w:spacing w:after="0" w:line="200" w:lineRule="exact"/>
        <w:rPr>
          <w:sz w:val="20"/>
          <w:szCs w:val="20"/>
          <w:color w:val="auto"/>
        </w:rPr>
      </w:pPr>
    </w:p>
    <w:p>
      <w:pPr>
        <w:sectPr>
          <w:pgSz w:w="11900" w:h="16849" w:orient="portrait"/>
          <w:cols w:equalWidth="0" w:num="2">
            <w:col w:w="140" w:space="500"/>
            <w:col w:w="10820"/>
          </w:cols>
          <w:pgMar w:left="240" w:top="125" w:right="19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LTIP Awards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Activity for LTIP awards under our equity-indexed compensation plans denominated in PAA units is summarized in the following table (units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840" w:type="dxa"/>
            <w:vAlign w:val="bottom"/>
          </w:tcPr>
          <w:p>
            <w:pPr>
              <w:spacing w:after="0"/>
              <w:rPr>
                <w:sz w:val="12"/>
                <w:szCs w:val="12"/>
                <w:color w:val="auto"/>
              </w:rPr>
            </w:pPr>
          </w:p>
        </w:tc>
        <w:tc>
          <w:tcPr>
            <w:tcW w:w="11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8"/>
                <w:szCs w:val="8"/>
                <w:b w:val="1"/>
                <w:bCs w:val="1"/>
                <w:color w:val="auto"/>
              </w:rPr>
              <w:t>(1)</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78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Fair Value per Unit</w:t>
            </w: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line="20" w:lineRule="exact"/>
              <w:rPr>
                <w:sz w:val="1"/>
                <w:szCs w:val="1"/>
                <w:color w:val="auto"/>
              </w:rPr>
            </w:pPr>
          </w:p>
        </w:tc>
      </w:tr>
      <w:tr>
        <w:trPr>
          <w:trHeight w:val="197"/>
        </w:trPr>
        <w:tc>
          <w:tcPr>
            <w:tcW w:w="784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1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16"/>
        </w:trPr>
        <w:tc>
          <w:tcPr>
            <w:tcW w:w="902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2015</w:t>
            </w: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49" w:orient="portrait"/>
          <w:cols w:equalWidth="0" w:num="1">
            <w:col w:w="11460"/>
          </w:cols>
          <w:pgMar w:left="240" w:top="125" w:right="19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do not include AAP Management Units.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2015, less than 0.1 million PAA LTIP awards were settled in cash.</w:t>
      </w:r>
    </w:p>
    <w:p>
      <w:pPr>
        <w:spacing w:after="0" w:line="200" w:lineRule="exact"/>
        <w:rPr>
          <w:sz w:val="20"/>
          <w:szCs w:val="20"/>
          <w:color w:val="auto"/>
        </w:rPr>
      </w:pPr>
    </w:p>
    <w:p>
      <w:pPr>
        <w:sectPr>
          <w:pgSz w:w="11900" w:h="16849" w:orient="portrait"/>
          <w:cols w:equalWidth="0" w:num="2">
            <w:col w:w="140" w:space="500"/>
            <w:col w:w="10820"/>
          </w:cols>
          <w:pgMar w:left="240" w:top="125" w:right="19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for AAP Management Units is summarized in the following table (in millions):</w:t>
      </w:r>
    </w:p>
    <w:p>
      <w:pPr>
        <w:spacing w:after="0" w:line="217" w:lineRule="exact"/>
        <w:rPr>
          <w:sz w:val="20"/>
          <w:szCs w:val="20"/>
          <w:color w:val="auto"/>
        </w:rPr>
      </w:pPr>
    </w:p>
    <w:p>
      <w:pPr>
        <w:ind w:left="3680"/>
        <w:spacing w:after="0"/>
        <w:tabs>
          <w:tab w:leader="none" w:pos="5520" w:val="left"/>
          <w:tab w:leader="none" w:pos="7300" w:val="left"/>
          <w:tab w:leader="none" w:pos="9700" w:val="left"/>
        </w:tabs>
        <w:rPr>
          <w:sz w:val="20"/>
          <w:szCs w:val="20"/>
          <w:color w:val="auto"/>
        </w:rPr>
      </w:pPr>
      <w:r>
        <w:rPr>
          <w:rFonts w:ascii="Arial" w:cs="Arial" w:eastAsia="Arial" w:hAnsi="Arial"/>
          <w:sz w:val="14"/>
          <w:szCs w:val="14"/>
          <w:b w:val="1"/>
          <w:bCs w:val="1"/>
          <w:color w:val="auto"/>
        </w:rPr>
        <w:t>Reserved for</w:t>
      </w:r>
      <w:r>
        <w:rPr>
          <w:sz w:val="20"/>
          <w:szCs w:val="20"/>
          <w:color w:val="auto"/>
        </w:rPr>
        <w:tab/>
      </w:r>
      <w:r>
        <w:rPr>
          <w:rFonts w:ascii="Arial" w:cs="Arial" w:eastAsia="Arial" w:hAnsi="Arial"/>
          <w:sz w:val="14"/>
          <w:szCs w:val="14"/>
          <w:b w:val="1"/>
          <w:bCs w:val="1"/>
          <w:color w:val="auto"/>
        </w:rPr>
        <w:t>Outstanding</w:t>
      </w:r>
      <w:r>
        <w:rPr>
          <w:sz w:val="20"/>
          <w:szCs w:val="20"/>
          <w:color w:val="auto"/>
        </w:rPr>
        <w:tab/>
      </w:r>
      <w:r>
        <w:rPr>
          <w:rFonts w:ascii="Arial" w:cs="Arial" w:eastAsia="Arial" w:hAnsi="Arial"/>
          <w:sz w:val="14"/>
          <w:szCs w:val="14"/>
          <w:b w:val="1"/>
          <w:bCs w:val="1"/>
          <w:color w:val="auto"/>
        </w:rPr>
        <w:t>Outstanding</w:t>
      </w:r>
      <w:r>
        <w:rPr>
          <w:sz w:val="20"/>
          <w:szCs w:val="20"/>
          <w:color w:val="auto"/>
        </w:rPr>
        <w:tab/>
      </w:r>
      <w:r>
        <w:rPr>
          <w:rFonts w:ascii="Arial" w:cs="Arial" w:eastAsia="Arial" w:hAnsi="Arial"/>
          <w:sz w:val="13"/>
          <w:szCs w:val="13"/>
          <w:b w:val="1"/>
          <w:bCs w:val="1"/>
          <w:color w:val="auto"/>
        </w:rPr>
        <w:t>Grant Date</w:t>
      </w:r>
    </w:p>
    <w:p>
      <w:pPr>
        <w:spacing w:after="0" w:line="4" w:lineRule="exact"/>
        <w:rPr>
          <w:sz w:val="20"/>
          <w:szCs w:val="20"/>
          <w:color w:val="auto"/>
        </w:rPr>
      </w:pPr>
    </w:p>
    <w:p>
      <w:pPr>
        <w:jc w:val="right"/>
        <w:ind w:right="600"/>
        <w:spacing w:after="0"/>
        <w:tabs>
          <w:tab w:leader="none" w:pos="3540" w:val="left"/>
          <w:tab w:leader="none" w:pos="1580" w:val="left"/>
        </w:tabs>
        <w:rPr>
          <w:sz w:val="20"/>
          <w:szCs w:val="20"/>
          <w:color w:val="auto"/>
        </w:rPr>
      </w:pPr>
      <w:r>
        <w:rPr>
          <w:rFonts w:ascii="Arial" w:cs="Arial" w:eastAsia="Arial" w:hAnsi="Arial"/>
          <w:sz w:val="14"/>
          <w:szCs w:val="14"/>
          <w:b w:val="1"/>
          <w:bCs w:val="1"/>
          <w:color w:val="auto"/>
        </w:rPr>
        <w:t>Future Grants</w:t>
      </w:r>
      <w:r>
        <w:rPr>
          <w:sz w:val="20"/>
          <w:szCs w:val="20"/>
          <w:color w:val="auto"/>
        </w:rPr>
        <w:tab/>
      </w:r>
      <w:r>
        <w:rPr>
          <w:rFonts w:ascii="Arial" w:cs="Arial" w:eastAsia="Arial" w:hAnsi="Arial"/>
          <w:sz w:val="14"/>
          <w:szCs w:val="14"/>
          <w:b w:val="1"/>
          <w:bCs w:val="1"/>
          <w:color w:val="auto"/>
        </w:rPr>
        <w:t>Units Earned</w:t>
      </w:r>
      <w:r>
        <w:rPr>
          <w:sz w:val="20"/>
          <w:szCs w:val="20"/>
          <w:color w:val="auto"/>
        </w:rPr>
        <w:tab/>
      </w:r>
      <w:r>
        <w:rPr>
          <w:rFonts w:ascii="Arial" w:cs="Arial" w:eastAsia="Arial" w:hAnsi="Arial"/>
          <w:sz w:val="13"/>
          <w:szCs w:val="13"/>
          <w:b w:val="1"/>
          <w:bCs w:val="1"/>
          <w:color w:val="auto"/>
        </w:rPr>
        <w:t>Fair Value of Outstanding</w:t>
      </w:r>
    </w:p>
    <w:p>
      <w:pPr>
        <w:sectPr>
          <w:pgSz w:w="11900" w:h="16849" w:orient="portrait"/>
          <w:cols w:equalWidth="0" w:num="1">
            <w:col w:w="11460"/>
          </w:cols>
          <w:pgMar w:left="240" w:top="125" w:right="199"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95"/>
        </w:trPr>
        <w:tc>
          <w:tcPr>
            <w:tcW w:w="3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2"/>
          </w:tcPr>
          <w:p>
            <w:pPr>
              <w:ind w:left="180"/>
              <w:spacing w:after="0"/>
              <w:rPr>
                <w:sz w:val="20"/>
                <w:szCs w:val="20"/>
                <w:color w:val="auto"/>
              </w:rPr>
            </w:pPr>
            <w:r>
              <w:rPr>
                <w:rFonts w:ascii="Arial" w:cs="Arial" w:eastAsia="Arial" w:hAnsi="Arial"/>
                <w:sz w:val="14"/>
                <w:szCs w:val="14"/>
                <w:b w:val="1"/>
                <w:bCs w:val="1"/>
                <w:color w:val="auto"/>
              </w:rPr>
              <w:t xml:space="preserve">AAP Management Units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5"/>
              </w:rPr>
              <w:t>49.1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8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ind w:left="180"/>
              <w:spacing w:after="0"/>
              <w:rPr>
                <w:sz w:val="20"/>
                <w:szCs w:val="20"/>
                <w:color w:val="auto"/>
              </w:rPr>
            </w:pPr>
            <w:r>
              <w:rPr>
                <w:rFonts w:ascii="Arial" w:cs="Arial" w:eastAsia="Arial" w:hAnsi="Arial"/>
                <w:sz w:val="18"/>
                <w:szCs w:val="18"/>
                <w:color w:val="auto"/>
              </w:rPr>
              <w:t>Earned</w:t>
            </w: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20" w:type="dxa"/>
            <w:vAlign w:val="bottom"/>
            <w:tcBorders>
              <w:bottom w:val="single" w:sz="8" w:color="CCEEFF"/>
            </w:tcBorders>
            <w:vMerge w:val="continue"/>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N/A</w:t>
            </w:r>
          </w:p>
        </w:tc>
        <w:tc>
          <w:tcPr>
            <w:tcW w:w="300" w:type="dxa"/>
            <w:vAlign w:val="bottom"/>
            <w:tcBorders>
              <w:bottom w:val="single" w:sz="8" w:color="CCEEFF"/>
            </w:tcBorders>
            <w:vMerge w:val="continue"/>
          </w:tcPr>
          <w:p>
            <w:pPr>
              <w:spacing w:after="0"/>
              <w:rPr>
                <w:sz w:val="17"/>
                <w:szCs w:val="17"/>
                <w:color w:val="auto"/>
              </w:rPr>
            </w:pPr>
          </w:p>
        </w:tc>
        <w:tc>
          <w:tcPr>
            <w:tcW w:w="1380" w:type="dxa"/>
            <w:vAlign w:val="bottom"/>
            <w:tcBorders>
              <w:bottom w:val="single" w:sz="8" w:color="auto"/>
            </w:tcBorders>
          </w:tcPr>
          <w:p>
            <w:pPr>
              <w:ind w:left="1060"/>
              <w:spacing w:after="0" w:line="196" w:lineRule="exact"/>
              <w:rPr>
                <w:sz w:val="20"/>
                <w:szCs w:val="20"/>
                <w:color w:val="auto"/>
              </w:rPr>
            </w:pPr>
            <w:r>
              <w:rPr>
                <w:rFonts w:ascii="Arial" w:cs="Arial" w:eastAsia="Arial" w:hAnsi="Arial"/>
                <w:sz w:val="18"/>
                <w:szCs w:val="18"/>
                <w:color w:val="auto"/>
                <w:w w:val="99"/>
              </w:rPr>
              <w:t>N/A</w:t>
            </w:r>
          </w:p>
        </w:tc>
        <w:tc>
          <w:tcPr>
            <w:tcW w:w="280" w:type="dxa"/>
            <w:vAlign w:val="bottom"/>
            <w:tcBorders>
              <w:bottom w:val="single" w:sz="8" w:color="CCEEFF"/>
            </w:tcBorders>
            <w:vMerge w:val="continue"/>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right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5"/>
              </w:rPr>
              <w:t>49.1</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80" w:type="dxa"/>
            <w:vAlign w:val="bottom"/>
            <w:tcBorders>
              <w:bottom w:val="single" w:sz="8" w:color="CCEEFF"/>
              <w:right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00" w:hanging="652"/>
        <w:spacing w:after="0" w:line="227" w:lineRule="auto"/>
        <w:tabs>
          <w:tab w:leader="none" w:pos="64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Of the $64 million grant date fair value, $56 million had been recognized through March 31, 2015 on a cumulative basis. Of this amount, $1 million was recognized as expense during the three months ended March 31, 2015.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Equity-Indexed Compensation Plan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summarizes the expense recognized and the value of vested LTIP awards (settled in PAA common units, PAGP shares and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our equity-indexed compensation plans and includes both liability-classified and equity-classified awards (in millions):</w:t>
      </w:r>
    </w:p>
    <w:p>
      <w:pPr>
        <w:spacing w:after="0" w:line="200" w:lineRule="exact"/>
        <w:rPr>
          <w:sz w:val="20"/>
          <w:szCs w:val="20"/>
          <w:color w:val="auto"/>
        </w:rPr>
      </w:pPr>
    </w:p>
    <w:p>
      <w:pPr>
        <w:spacing w:after="0" w:line="219"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64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564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(1)</w:t>
            </w:r>
          </w:p>
        </w:tc>
        <w:tc>
          <w:tcPr>
            <w:tcW w:w="26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line="216" w:lineRule="exact"/>
              <w:rPr>
                <w:sz w:val="20"/>
                <w:szCs w:val="20"/>
                <w:color w:val="auto"/>
              </w:rPr>
            </w:pPr>
            <w:r>
              <w:rPr>
                <w:rFonts w:ascii="Arial" w:cs="Arial" w:eastAsia="Arial" w:hAnsi="Arial"/>
                <w:sz w:val="18"/>
                <w:szCs w:val="18"/>
                <w:color w:val="auto"/>
              </w:rPr>
              <w:t xml:space="preserve">LTIP unit or share-settled vestings </w:t>
            </w:r>
            <w:r>
              <w:rPr>
                <w:rFonts w:ascii="Arial" w:cs="Arial" w:eastAsia="Arial" w:hAnsi="Arial"/>
                <w:sz w:val="23"/>
                <w:szCs w:val="23"/>
                <w:color w:val="auto"/>
                <w:vertAlign w:val="superscript"/>
              </w:rPr>
              <w:t>(2)</w:t>
            </w:r>
          </w:p>
        </w:tc>
        <w:tc>
          <w:tcPr>
            <w:tcW w:w="368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5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LTIP cash-settled vestings </w:t>
            </w:r>
            <w:r>
              <w:rPr>
                <w:rFonts w:ascii="Arial" w:cs="Arial" w:eastAsia="Arial" w:hAnsi="Arial"/>
                <w:sz w:val="23"/>
                <w:szCs w:val="23"/>
                <w:color w:val="auto"/>
                <w:vertAlign w:val="superscript"/>
              </w:rPr>
              <w:t>(3)</w:t>
            </w:r>
          </w:p>
        </w:tc>
        <w:tc>
          <w:tcPr>
            <w:tcW w:w="368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305"/>
        </w:trPr>
        <w:tc>
          <w:tcPr>
            <w:tcW w:w="5640" w:type="dxa"/>
            <w:vAlign w:val="bottom"/>
          </w:tcPr>
          <w:p>
            <w:pPr>
              <w:spacing w:after="0"/>
              <w:rPr>
                <w:sz w:val="20"/>
                <w:szCs w:val="20"/>
                <w:color w:val="auto"/>
              </w:rPr>
            </w:pPr>
            <w:r>
              <w:rPr>
                <w:rFonts w:ascii="Arial" w:cs="Arial" w:eastAsia="Arial" w:hAnsi="Arial"/>
                <w:sz w:val="18"/>
                <w:szCs w:val="18"/>
                <w:color w:val="auto"/>
              </w:rPr>
              <w:t xml:space="preserve">DER cash payments </w:t>
            </w:r>
            <w:r>
              <w:rPr>
                <w:rFonts w:ascii="Arial" w:cs="Arial" w:eastAsia="Arial" w:hAnsi="Arial"/>
                <w:sz w:val="23"/>
                <w:szCs w:val="23"/>
                <w:color w:val="auto"/>
                <w:vertAlign w:val="superscript"/>
              </w:rPr>
              <w:t>(4)</w:t>
            </w:r>
          </w:p>
        </w:tc>
        <w:tc>
          <w:tcPr>
            <w:tcW w:w="368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93" w:right="239" w:bottom="0" w:gutter="0" w:footer="0" w:header="0"/>
        </w:sectPr>
      </w:pPr>
    </w:p>
    <w:p>
      <w:pPr>
        <w:spacing w:after="0" w:line="35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For each of the three months ended March 31, 2015 and 2014, amount includes less than $1 million of expense related to PAGP LTIP awards.</w:t>
      </w:r>
    </w:p>
    <w:p>
      <w:pPr>
        <w:spacing w:after="0" w:line="248" w:lineRule="exact"/>
        <w:rPr>
          <w:sz w:val="20"/>
          <w:szCs w:val="20"/>
          <w:color w:val="auto"/>
        </w:rPr>
      </w:pPr>
    </w:p>
    <w:p>
      <w:pPr>
        <w:ind w:left="20" w:right="540" w:hanging="11"/>
        <w:spacing w:after="0" w:line="277" w:lineRule="auto"/>
        <w:rPr>
          <w:sz w:val="20"/>
          <w:szCs w:val="20"/>
          <w:color w:val="auto"/>
        </w:rPr>
      </w:pPr>
      <w:r>
        <w:rPr>
          <w:rFonts w:ascii="Arial" w:cs="Arial" w:eastAsia="Arial" w:hAnsi="Arial"/>
          <w:sz w:val="18"/>
          <w:szCs w:val="18"/>
          <w:color w:val="auto"/>
        </w:rPr>
        <w:t>For the three months ended March 31, 2015, amount relates to awards settled in PAGP shares and for the three months ended March 31, 2014, amount relates to awards settled in PAA common units.</w:t>
      </w:r>
    </w:p>
    <w:p>
      <w:pPr>
        <w:spacing w:after="0" w:line="170" w:lineRule="exact"/>
        <w:rPr>
          <w:sz w:val="20"/>
          <w:szCs w:val="20"/>
          <w:color w:val="auto"/>
        </w:rPr>
      </w:pPr>
    </w:p>
    <w:p>
      <w:pPr>
        <w:ind w:left="20" w:right="560" w:hanging="11"/>
        <w:spacing w:after="0" w:line="342" w:lineRule="auto"/>
        <w:rPr>
          <w:sz w:val="20"/>
          <w:szCs w:val="20"/>
          <w:color w:val="auto"/>
        </w:rPr>
      </w:pPr>
      <w:r>
        <w:rPr>
          <w:rFonts w:ascii="Arial" w:cs="Arial" w:eastAsia="Arial" w:hAnsi="Arial"/>
          <w:sz w:val="16"/>
          <w:szCs w:val="16"/>
          <w:color w:val="auto"/>
        </w:rPr>
        <w:t>For the three months ended March 31, 2015, the value of PAA LTIP awards that were settled in cash was less than $1 million. All cash-settled vestings for the three months ended March 31, 2014 related to PAA LTIP awards. No PAGP awards were settled in cash in either period.</w:t>
      </w:r>
    </w:p>
    <w:p>
      <w:pPr>
        <w:spacing w:after="0" w:line="124" w:lineRule="exact"/>
        <w:rPr>
          <w:sz w:val="20"/>
          <w:szCs w:val="20"/>
          <w:color w:val="auto"/>
        </w:rPr>
      </w:pPr>
    </w:p>
    <w:p>
      <w:pPr>
        <w:ind w:left="20" w:right="480" w:hanging="11"/>
        <w:spacing w:after="0" w:line="277" w:lineRule="auto"/>
        <w:rPr>
          <w:sz w:val="20"/>
          <w:szCs w:val="20"/>
          <w:color w:val="auto"/>
        </w:rPr>
      </w:pPr>
      <w:r>
        <w:rPr>
          <w:rFonts w:ascii="Arial" w:cs="Arial" w:eastAsia="Arial" w:hAnsi="Arial"/>
          <w:sz w:val="18"/>
          <w:szCs w:val="18"/>
          <w:color w:val="auto"/>
        </w:rPr>
        <w:t>For the three months ended March 31, 2015 less than $1 million of cash paid related to DERs on PAGP LTIP awards. There were no DER cash payments related to PAGP awards during the three months ended March 31, 2014.</w:t>
      </w:r>
    </w:p>
    <w:p>
      <w:pPr>
        <w:spacing w:after="0" w:line="166" w:lineRule="exact"/>
        <w:rPr>
          <w:sz w:val="20"/>
          <w:szCs w:val="20"/>
          <w:color w:val="auto"/>
        </w:rPr>
      </w:pPr>
    </w:p>
    <w:p>
      <w:pPr>
        <w:sectPr>
          <w:pgSz w:w="11900" w:h="16838" w:orient="portrait"/>
          <w:cols w:equalWidth="0" w:num="2">
            <w:col w:w="140" w:space="500"/>
            <w:col w:w="10780"/>
          </w:cols>
          <w:pgMar w:left="240" w:top="93" w:right="2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the ordinary course of business, we are involved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 adverse effect on our financial condition, results of operations or cash flows. Although we believe that our operations are presently in material compliance with applicable requirements, as we acquire and incorporate additional assets it is possible that the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Although we believe that our efforts to enhance our leak prevention and detection capabilities have produced positive results,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experienced (and likely will experience future) releases of hydrocarbon products into the environment from our pipeline, rail and storage operations. These releases can result from unpredictable man-made or natural forces and may reach surface water bodies, groundwater aquifers or other sensitive environments. Whether current or past, damages and liabilities associated with any such releases from our assets may substantially affect our business.</w:t>
      </w:r>
    </w:p>
    <w:p>
      <w:pPr>
        <w:spacing w:after="0" w:line="154" w:lineRule="exact"/>
        <w:rPr>
          <w:sz w:val="20"/>
          <w:szCs w:val="20"/>
          <w:color w:val="auto"/>
        </w:rPr>
      </w:pPr>
    </w:p>
    <w:p>
      <w:pPr>
        <w:ind w:right="440" w:firstLine="648"/>
        <w:spacing w:after="0" w:line="291" w:lineRule="auto"/>
        <w:rPr>
          <w:sz w:val="20"/>
          <w:szCs w:val="20"/>
          <w:color w:val="auto"/>
        </w:rPr>
      </w:pPr>
      <w:r>
        <w:rPr>
          <w:rFonts w:ascii="Arial" w:cs="Arial" w:eastAsia="Arial" w:hAnsi="Arial"/>
          <w:sz w:val="16"/>
          <w:szCs w:val="16"/>
          <w:color w:val="auto"/>
        </w:rPr>
        <w:t>At March 31, 2015, our estimated undiscounted reserve for environmental liabilities totaled $75 million, of which $11 million was classified as short-term and $64 million was classified as long-term. At December 31, 2014, our estimated undiscounted reserve for environmental liabilities totaled</w:t>
      </w:r>
    </w:p>
    <w:p>
      <w:pPr>
        <w:spacing w:after="0" w:line="271" w:lineRule="auto"/>
        <w:rPr>
          <w:sz w:val="20"/>
          <w:szCs w:val="20"/>
          <w:color w:val="auto"/>
        </w:rPr>
      </w:pPr>
      <w:r>
        <w:rPr>
          <w:rFonts w:ascii="Arial" w:cs="Arial" w:eastAsia="Arial" w:hAnsi="Arial"/>
          <w:sz w:val="17"/>
          <w:szCs w:val="17"/>
          <w:color w:val="auto"/>
        </w:rPr>
        <w:t>$82 million, of which $13 million was classified as short-term and $69 million was classified as long-term. The short- and long-term environmental liabilities referenced above are reflected in “Accounts payable and accrued liabilities” and “Other long-term liabilities and deferred credits,” respectively, on our Condensed Consolidated Balance Sheets. At March 31, 2015 and December 31, 2014, we had recorded receivables totaling $7 million and $8 million, respectively, for amounts probable of recovery under insurance and from third parties under indemnification agreements, which are predominantly reflected in “Trade accounts receivable and other receivables, net” on our Condensed Consolidated Balance Sheets.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 some cases, the actual cash expenditures may not occur for three years or longer.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w:t>
      </w:r>
    </w:p>
    <w:p>
      <w:pPr>
        <w:sectPr>
          <w:pgSz w:w="11900" w:h="16838" w:orient="portrait"/>
          <w:cols w:equalWidth="0" w:num="1">
            <w:col w:w="11420"/>
          </w:cols>
          <w:pgMar w:left="240" w:top="93" w:right="239" w:bottom="0" w:gutter="0" w:footer="0" w:header="0"/>
          <w:type w:val="continuous"/>
        </w:sectPr>
      </w:pPr>
    </w:p>
    <w:bookmarkStart w:id="16" w:name="page17"/>
    <w:bookmarkEnd w:id="16"/>
    <w:p>
      <w:pPr>
        <w:ind w:right="320"/>
        <w:spacing w:after="0" w:line="277" w:lineRule="auto"/>
        <w:rPr>
          <w:sz w:val="20"/>
          <w:szCs w:val="20"/>
          <w:color w:val="auto"/>
        </w:rPr>
      </w:pPr>
      <w:r>
        <w:rPr>
          <w:rFonts w:ascii="Arial" w:cs="Arial" w:eastAsia="Arial" w:hAnsi="Arial"/>
          <w:sz w:val="18"/>
          <w:szCs w:val="18"/>
          <w:color w:val="auto"/>
        </w:rPr>
        <w:t>additional liabilities. Therefore, although we believe that the reserve is adequate, costs incurred may be in excess of the reserve and may potentially have a material adverse effect on our financial condition, results of operations or cash flows.</w:t>
      </w:r>
    </w:p>
    <w:p>
      <w:pPr>
        <w:spacing w:after="0" w:line="170"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i w:val="1"/>
          <w:iCs w:val="1"/>
          <w:color w:val="auto"/>
        </w:rPr>
        <w:t xml:space="preserve">Bay Springs Pipeline Release. </w:t>
      </w:r>
      <w:r>
        <w:rPr>
          <w:rFonts w:ascii="Arial" w:cs="Arial" w:eastAsia="Arial" w:hAnsi="Arial"/>
          <w:sz w:val="17"/>
          <w:szCs w:val="17"/>
          <w:color w:val="auto"/>
        </w:rPr>
        <w:t>During February 2013, we experienced a crude oil release of approximately 120 barrels on a portion of one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pipelines near Bay Springs, Mississippi. Most of the released crude oil was contained within our pipeline right of way, but some of the released crude oil entered a nearby waterway where it was contained with booms. The EPA has issued an administrative order requiring us to take various actions in response to the release, including remediation, reporting and other actions. We have satisfied the requirements of the administrative order; however, we may be subjected to a civil penalty. The aggregate cost to clean up and remediate the site was $6 million.</w:t>
      </w:r>
    </w:p>
    <w:p>
      <w:pPr>
        <w:spacing w:after="0" w:line="173"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i w:val="1"/>
          <w:iCs w:val="1"/>
          <w:color w:val="auto"/>
        </w:rPr>
        <w:t xml:space="preserve">Kemp River Pipeline Releases. </w:t>
      </w:r>
      <w:r>
        <w:rPr>
          <w:rFonts w:ascii="Arial" w:cs="Arial" w:eastAsia="Arial" w:hAnsi="Arial"/>
          <w:sz w:val="17"/>
          <w:szCs w:val="17"/>
          <w:color w:val="auto"/>
        </w:rPr>
        <w:t>During May and June 2013, two separate releases were discovered on our Kemp River pipeline in Northern Alberta,</w:t>
      </w:r>
      <w:r>
        <w:rPr>
          <w:rFonts w:ascii="Arial" w:cs="Arial" w:eastAsia="Arial" w:hAnsi="Arial"/>
          <w:sz w:val="17"/>
          <w:szCs w:val="17"/>
          <w:i w:val="1"/>
          <w:iCs w:val="1"/>
          <w:color w:val="auto"/>
        </w:rPr>
        <w:t xml:space="preserve"> </w:t>
      </w:r>
      <w:r>
        <w:rPr>
          <w:rFonts w:ascii="Arial" w:cs="Arial" w:eastAsia="Arial" w:hAnsi="Arial"/>
          <w:sz w:val="17"/>
          <w:szCs w:val="17"/>
          <w:color w:val="auto"/>
        </w:rPr>
        <w:t>Canada that, in the aggregate, resulted in the release of approximately 700 barrels of condensate and light crude oil. Clean-up and remediation activities are being conducted in cooperation with the applicable regulatory agencies. Final investigation by the Alberta Energy Regulator is not complete. To date, no charges, fines or penalties have been assessed against PMC with respect to these releases; however, it is possible that fines or penalties may be assessed against PMC in the future. We estimate that the aggregate clean-up and remediation costs associated with these releases will be $15 million. Through March 31, 2015, we spent $9 million in connection with clean-up and remediation activities.</w:t>
      </w:r>
    </w:p>
    <w:p>
      <w:pPr>
        <w:spacing w:after="0" w:line="17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 xml:space="preserve">National Energy Board Audit. </w:t>
      </w:r>
      <w:r>
        <w:rPr>
          <w:rFonts w:ascii="Arial" w:cs="Arial" w:eastAsia="Arial" w:hAnsi="Arial"/>
          <w:sz w:val="16"/>
          <w:szCs w:val="16"/>
          <w:color w:val="auto"/>
        </w:rPr>
        <w:t>In the third quarter of 2014, the National Energy Board (“NEB”) of Canada notified PMC that various corrective</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from a 2010 audit had not been completed to the satisfaction of the NEB. The NEB initiated a process to assess PMC’s approach to compliance with the NEB’s Onshore Pipeline Regulations, which process resulted in the issuance by the NEB of an order on January 15, 2015 that imposed six conditions on PMC designed to enhance PMC’s ability to operate its pipelines in a manner that protects the public and the environment. The conditions include the filing of certain safety critical tasks, controls and programs with the NEB, external audits of certain PMC programs and systems, and periodic update meetings with NEB staff regarding the status and progress of corrective actions. In early February 2015, the NEB imposed a penalty on PMC of $76,000 CAD related to these issues. It is possible that additional fines and penalties may be assessed against PMC in the future related to this matter.</w:t>
      </w:r>
    </w:p>
    <w:p>
      <w:pPr>
        <w:spacing w:after="0" w:line="167"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 Violation (“NOV”) to PAA’s</w:t>
      </w:r>
      <w:r>
        <w:rPr>
          <w:rFonts w:ascii="Arial" w:cs="Arial" w:eastAsia="Arial" w:hAnsi="Arial"/>
          <w:sz w:val="18"/>
          <w:szCs w:val="18"/>
          <w:i w:val="1"/>
          <w:iCs w:val="1"/>
          <w:color w:val="auto"/>
        </w:rPr>
        <w:t xml:space="preserve"> </w:t>
      </w:r>
      <w:r>
        <w:rPr>
          <w:rFonts w:ascii="Arial" w:cs="Arial" w:eastAsia="Arial" w:hAnsi="Arial"/>
          <w:sz w:val="18"/>
          <w:szCs w:val="18"/>
          <w:color w:val="auto"/>
        </w:rPr>
        <w:t>Bakersfield Crude Terminal LLC for alleged violations of the Clean Air Act, as amended. The NOV, which cites 10 separate 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11—Operating Segments</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(a) purchases and related costs, (b) field operating costs and (c)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for the periods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Transportation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ind w:left="6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4"/>
                <w:szCs w:val="14"/>
                <w:color w:val="auto"/>
              </w:rPr>
            </w:pPr>
          </w:p>
        </w:tc>
        <w:tc>
          <w:tcPr>
            <w:tcW w:w="116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March 31, 2015</w:t>
            </w: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External Customers</w:t>
            </w:r>
          </w:p>
        </w:tc>
        <w:tc>
          <w:tcPr>
            <w:tcW w:w="9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tcBorders>
              <w:bottom w:val="single" w:sz="8" w:color="CCEEFF"/>
            </w:tcBorders>
            <w:gridSpan w:val="2"/>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880" w:type="dxa"/>
            <w:vAlign w:val="bottom"/>
            <w:tcBorders>
              <w:bottom w:val="single" w:sz="8" w:color="CCEEFF"/>
            </w:tcBorders>
            <w:gridSpan w:val="2"/>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(2) (3)</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2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60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8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Transportation</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24"/>
                <w:szCs w:val="24"/>
                <w:color w:val="auto"/>
              </w:rPr>
            </w:pPr>
          </w:p>
        </w:tc>
        <w:tc>
          <w:tcPr>
            <w:tcW w:w="116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March 31, 2014</w:t>
            </w: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External Customers</w:t>
            </w:r>
          </w:p>
        </w:tc>
        <w:tc>
          <w:tcPr>
            <w:tcW w:w="9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11,346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11,684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tcBorders>
              <w:bottom w:val="single" w:sz="8" w:color="CCEEFF"/>
            </w:tcBorders>
            <w:gridSpan w:val="2"/>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880" w:type="dxa"/>
            <w:vAlign w:val="bottom"/>
            <w:tcBorders>
              <w:bottom w:val="single" w:sz="8" w:color="CCEEFF"/>
            </w:tcBorders>
            <w:gridSpan w:val="2"/>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(2) (3)</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2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-1828165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-1828165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60" w:hanging="11"/>
        <w:spacing w:after="0" w:line="264" w:lineRule="auto"/>
        <w:rPr>
          <w:sz w:val="20"/>
          <w:szCs w:val="20"/>
          <w:color w:val="auto"/>
        </w:rPr>
      </w:pPr>
      <w:r>
        <w:rPr>
          <w:rFonts w:ascii="Arial" w:cs="Arial" w:eastAsia="Arial" w:hAnsi="Arial"/>
          <w:sz w:val="18"/>
          <w:szCs w:val="18"/>
          <w:color w:val="auto"/>
        </w:rPr>
        <w:t>Segment revenues and purchases and related costs include intersegment amounts. Intersegment sales are conducted at posted tariff rates, rates similar to those charged to third parties or rates that we believe approximate market. For further discussion, see “Analysis of Operating Segments” under Item 7 of our 2014 Annual Report on Form 10-K.</w:t>
      </w:r>
    </w:p>
    <w:p>
      <w:pPr>
        <w:spacing w:after="0" w:line="181" w:lineRule="exact"/>
        <w:rPr>
          <w:sz w:val="20"/>
          <w:szCs w:val="20"/>
          <w:color w:val="auto"/>
        </w:rPr>
      </w:pPr>
    </w:p>
    <w:p>
      <w:pPr>
        <w:ind w:left="20" w:right="460" w:hanging="11"/>
        <w:spacing w:after="0" w:line="277" w:lineRule="auto"/>
        <w:rPr>
          <w:sz w:val="20"/>
          <w:szCs w:val="20"/>
          <w:color w:val="auto"/>
        </w:rPr>
      </w:pPr>
      <w:r>
        <w:rPr>
          <w:rFonts w:ascii="Arial" w:cs="Arial" w:eastAsia="Arial" w:hAnsi="Arial"/>
          <w:sz w:val="18"/>
          <w:szCs w:val="18"/>
          <w:color w:val="auto"/>
        </w:rPr>
        <w:t>Supply and Logistics segment profit includes interest expense (related to hedged inventory purchases) of $1 million and $2 million for the three months ended March 31,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segment profit to net income attributable to PAGP (in millions):</w:t>
      </w:r>
    </w:p>
    <w:p>
      <w:pPr>
        <w:sectPr>
          <w:pgSz w:w="11900" w:h="16838" w:orient="portrait"/>
          <w:cols w:equalWidth="0" w:num="2">
            <w:col w:w="140" w:space="500"/>
            <w:col w:w="10820"/>
          </w:cols>
          <w:pgMar w:left="240" w:top="125" w:right="199" w:bottom="0" w:gutter="0" w:footer="0" w:header="0"/>
          <w:type w:val="continuous"/>
        </w:sectPr>
      </w:pPr>
    </w:p>
    <w:bookmarkStart w:id="17" w:name="page18"/>
    <w:bookmarkEnd w:id="17"/>
    <w:p>
      <w:pPr>
        <w:spacing w:after="0" w:line="9"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Three Months Ended</w:t>
      </w:r>
    </w:p>
    <w:p>
      <w:pPr>
        <w:jc w:val="center"/>
        <w:ind w:left="64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528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Unallocated general and administrative expenses</w:t>
            </w: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Interest expense, net</w:t>
            </w: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Income before tax</w:t>
            </w:r>
          </w:p>
        </w:tc>
        <w:tc>
          <w:tcPr>
            <w:tcW w:w="14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Net income</w:t>
            </w:r>
          </w:p>
        </w:tc>
        <w:tc>
          <w:tcPr>
            <w:tcW w:w="14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Net income attributable to PAGP</w:t>
            </w:r>
          </w:p>
        </w:tc>
        <w:tc>
          <w:tcPr>
            <w:tcW w:w="14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See Note 15 to our Consolidated Financial Statements included in Part IV of our 2014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160" w:firstLine="454"/>
        <w:spacing w:after="0" w:line="259" w:lineRule="auto"/>
        <w:rPr>
          <w:sz w:val="20"/>
          <w:szCs w:val="20"/>
          <w:color w:val="auto"/>
        </w:rPr>
      </w:pPr>
      <w:r>
        <w:rPr>
          <w:rFonts w:ascii="Arial" w:cs="Arial" w:eastAsia="Arial" w:hAnsi="Arial"/>
          <w:sz w:val="18"/>
          <w:szCs w:val="18"/>
          <w:color w:val="auto"/>
        </w:rPr>
        <w:t>As of March 31, 2015, Oxy owned approximately 13% of the limited partner interests in AAP and had a representative on the board of directors of GP LLC and our general partner. During the three months ended March 31, 2015 and 2014, we recognized sales and transportation revenues and purchased petroleum products from Oxy. These transactions were conducted at posted tariff rates or prices that we believe approximate market. See detail below (in millions):</w:t>
      </w:r>
    </w:p>
    <w:p>
      <w:pPr>
        <w:spacing w:after="0" w:line="179"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p>
        </w:tc>
        <w:tc>
          <w:tcPr>
            <w:tcW w:w="3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760" w:type="dxa"/>
            <w:vAlign w:val="bottom"/>
          </w:tcPr>
          <w:p>
            <w:pPr>
              <w:jc w:val="right"/>
              <w:ind w:right="241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520" w:type="dxa"/>
            <w:vAlign w:val="bottom"/>
            <w:tcBorders>
              <w:bottom w:val="single" w:sz="8" w:color="010101"/>
            </w:tcBorders>
          </w:tcPr>
          <w:p>
            <w:pPr>
              <w:spacing w:after="0"/>
              <w:rPr>
                <w:sz w:val="11"/>
                <w:szCs w:val="11"/>
                <w:color w:val="auto"/>
              </w:rPr>
            </w:pPr>
          </w:p>
        </w:tc>
        <w:tc>
          <w:tcPr>
            <w:tcW w:w="37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2014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ectPr>
          <w:pgSz w:w="11900" w:h="16847" w:orient="portrait"/>
          <w:cols w:equalWidth="0" w:num="1">
            <w:col w:w="11460"/>
          </w:cols>
          <w:pgMar w:left="240" w:top="333" w:right="199" w:bottom="0" w:gutter="0" w:footer="0" w:header="0"/>
        </w:sectPr>
      </w:pPr>
    </w:p>
    <w:bookmarkStart w:id="18" w:name="page19"/>
    <w:bookmarkEnd w:id="18"/>
    <w:p>
      <w:pPr>
        <w:spacing w:after="0" w:line="59" w:lineRule="exact"/>
        <w:rPr>
          <w:sz w:val="20"/>
          <w:szCs w:val="20"/>
          <w:color w:val="auto"/>
        </w:rPr>
      </w:pPr>
    </w:p>
    <w:p>
      <w:pPr>
        <w:ind w:right="420" w:firstLine="648"/>
        <w:spacing w:after="0" w:line="257" w:lineRule="auto"/>
        <w:rPr>
          <w:sz w:val="20"/>
          <w:szCs w:val="20"/>
          <w:color w:val="auto"/>
        </w:rPr>
      </w:pPr>
      <w:r>
        <w:rPr>
          <w:rFonts w:ascii="Arial" w:cs="Arial" w:eastAsia="Arial" w:hAnsi="Arial"/>
          <w:sz w:val="18"/>
          <w:szCs w:val="18"/>
          <w:color w:val="auto"/>
        </w:rPr>
        <w:t>We are a Delaware limited partnership formed on July 17, 2013 to own an interest in the general partner and IDRs of PAA, a publicly traded Delaware limited partnership. Although we were formed as a limited partnership, we have elected to be taxed as a corporation for United States federal income tax purposes. As of March 31, 2015, we owned an approximate 37% limited partner interest in AAP, a Delaware limited partnership that directly owns all of PAA’s IDRs and indirectly owns the 2% general partner interest in PAA. AAP is the sole member of PAA GP, a Delaware limited liability company that directly holds the 2% general partner interest in PAA.</w:t>
      </w:r>
    </w:p>
    <w:p>
      <w:pPr>
        <w:spacing w:after="0" w:line="188"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Since we are the managing member of and control GP LLC, which in turn effectively controls PAA, we reflect our ownership in PAA, as well as its subsidiaries, on a consolidated basis in accordance with GAAP. Accordingly, our financial results are combined with those of GP LLC and PAA as well as with their subsidiaries. As such, our results of operations as discussed below do not differ materially from the results of operations of PAA.</w:t>
      </w:r>
    </w:p>
    <w:p>
      <w:pPr>
        <w:spacing w:after="0" w:line="166"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PAA owns and operates midstream energy infrastructure and provides logistics services for crude oil,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left="40" w:right="60" w:firstLine="612"/>
        <w:spacing w:after="0" w:line="259" w:lineRule="auto"/>
        <w:rPr>
          <w:sz w:val="20"/>
          <w:szCs w:val="20"/>
          <w:color w:val="auto"/>
        </w:rPr>
      </w:pPr>
      <w:r>
        <w:rPr>
          <w:rFonts w:ascii="Arial" w:cs="Arial" w:eastAsia="Arial" w:hAnsi="Arial"/>
          <w:sz w:val="18"/>
          <w:szCs w:val="18"/>
          <w:color w:val="auto"/>
        </w:rPr>
        <w:t>During the first three months of 2015, we recognized net income of $262 million as compared to net income of $372 million recognized during the first three months of 2014. The decrease in operating results was due to less favorable results from our Supply and Logistics and Facilities segments partially offset by growth in our Transportation segment (see further discussion of our segment operating results in the following sections). Net income for the first three months of 2015 was also impacted by:</w:t>
      </w:r>
    </w:p>
    <w:p>
      <w:pPr>
        <w:spacing w:after="0" w:line="187" w:lineRule="exact"/>
        <w:rPr>
          <w:sz w:val="20"/>
          <w:szCs w:val="20"/>
          <w:color w:val="auto"/>
        </w:rPr>
      </w:pPr>
    </w:p>
    <w:p>
      <w:pPr>
        <w:ind w:left="1300" w:right="180" w:hanging="320"/>
        <w:spacing w:after="0" w:line="277" w:lineRule="auto"/>
        <w:tabs>
          <w:tab w:leader="none" w:pos="1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depreciation and amortization expense and interest expense associated with our growing asset base and related financing activities;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income tax expense resulting from derivative mark-to-market losses in our Canadian operations.</w:t>
      </w:r>
    </w:p>
    <w:p>
      <w:pPr>
        <w:spacing w:after="0" w:line="225" w:lineRule="exact"/>
        <w:rPr>
          <w:sz w:val="20"/>
          <w:szCs w:val="20"/>
          <w:color w:val="auto"/>
        </w:rPr>
      </w:pPr>
    </w:p>
    <w:p>
      <w:pPr>
        <w:ind w:left="40" w:right="60" w:firstLine="612"/>
        <w:spacing w:after="0" w:line="302" w:lineRule="auto"/>
        <w:rPr>
          <w:sz w:val="20"/>
          <w:szCs w:val="20"/>
          <w:color w:val="auto"/>
        </w:rPr>
      </w:pPr>
      <w:r>
        <w:rPr>
          <w:rFonts w:ascii="Arial" w:cs="Arial" w:eastAsia="Arial" w:hAnsi="Arial"/>
          <w:sz w:val="16"/>
          <w:szCs w:val="16"/>
          <w:color w:val="auto"/>
        </w:rPr>
        <w:t>We invested $586 million in midstream infrastructure projects during the three months ended March 31, 2015, with a targeted expansion capital plan for the full year of 2015 of $2.15 billion. To fund such capital activities, PAA issued approximately 22.1 million common units for net proceeds of approximately $1.1 billion during the first quarter. In addition, we paid $388 million of cash distributions to our Class A shareholders and noncontrolling interests during the three months ended March 31, 2015, and we declared a quarterly distribution of $0.222 per Class A share to be paid on May 15, 2015.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for the periods indicated (in millions):</w:t>
      </w:r>
    </w:p>
    <w:p>
      <w:pPr>
        <w:spacing w:after="0" w:line="16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980" w:type="dxa"/>
            <w:vAlign w:val="bottom"/>
            <w:tcBorders>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Acquisition capital</w:t>
            </w:r>
          </w:p>
        </w:tc>
        <w:tc>
          <w:tcPr>
            <w:tcW w:w="3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6"/>
        </w:trPr>
        <w:tc>
          <w:tcPr>
            <w:tcW w:w="4980" w:type="dxa"/>
            <w:vAlign w:val="bottom"/>
          </w:tcPr>
          <w:p>
            <w:pPr>
              <w:spacing w:after="0" w:line="216"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3"/>
                <w:szCs w:val="23"/>
                <w:color w:val="auto"/>
                <w:vertAlign w:val="superscript"/>
              </w:rPr>
              <w:t>(1)</w:t>
            </w:r>
          </w:p>
        </w:tc>
        <w:tc>
          <w:tcPr>
            <w:tcW w:w="3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586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w:t>
            </w:r>
          </w:p>
        </w:tc>
        <w:tc>
          <w:tcPr>
            <w:tcW w:w="3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r>
      <w:tr>
        <w:trPr>
          <w:trHeight w:val="210"/>
        </w:trPr>
        <w:tc>
          <w:tcPr>
            <w:tcW w:w="49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80" w:hanging="652"/>
        <w:spacing w:after="0" w:line="234" w:lineRule="auto"/>
        <w:tabs>
          <w:tab w:leader="none" w:pos="64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Capital Projects</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Our capital program is highlighted by a large number of small-to-medium sized projects spread across multiple geographic regions/resource plays. We believe the diversity of our program mitigates the impact of delays, cost overruns or adverse market developments with respect to a particular project or geographic region/resource play. The majority of our 2015 expansion capital program will be invested in our fee-based Transportation and Facilities segments. We expect that our investments will have minimal contributions to our 2015 results, but will provide growth for 2016 and beyond. The following table summarizes our notable projects in progress during 2015 and the forecasted expenditures for the year ending December 31, 2015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2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r>
      <w:tr>
        <w:trPr>
          <w:trHeight w:val="210"/>
        </w:trPr>
        <w:tc>
          <w:tcPr>
            <w:tcW w:w="9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Permian Basin Area Projects</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20" w:type="dxa"/>
            <w:vAlign w:val="bottom"/>
            <w:gridSpan w:val="2"/>
          </w:tcPr>
          <w:p>
            <w:pPr>
              <w:spacing w:after="0"/>
              <w:rPr>
                <w:sz w:val="20"/>
                <w:szCs w:val="20"/>
                <w:color w:val="auto"/>
              </w:rPr>
            </w:pPr>
            <w:r>
              <w:rPr>
                <w:rFonts w:ascii="Arial" w:cs="Arial" w:eastAsia="Arial" w:hAnsi="Arial"/>
                <w:sz w:val="18"/>
                <w:szCs w:val="18"/>
                <w:color w:val="auto"/>
              </w:rPr>
              <w:t>Fort Saskatchewan Facility Projects / NGL Line</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300</w:t>
            </w:r>
          </w:p>
        </w:tc>
        <w:tc>
          <w:tcPr>
            <w:tcW w:w="100" w:type="dxa"/>
            <w:vAlign w:val="bottom"/>
          </w:tcPr>
          <w:p>
            <w:pPr>
              <w:spacing w:after="0"/>
              <w:rPr>
                <w:sz w:val="18"/>
                <w:szCs w:val="18"/>
                <w:color w:val="auto"/>
              </w:rPr>
            </w:pPr>
          </w:p>
        </w:tc>
      </w:tr>
      <w:tr>
        <w:trPr>
          <w:trHeight w:val="216"/>
        </w:trPr>
        <w:tc>
          <w:tcPr>
            <w:tcW w:w="97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23"/>
                <w:szCs w:val="23"/>
                <w:color w:val="auto"/>
                <w:vertAlign w:val="superscript"/>
              </w:rPr>
              <w:t>(1)</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265</w:t>
            </w:r>
          </w:p>
        </w:tc>
        <w:tc>
          <w:tcPr>
            <w:tcW w:w="100" w:type="dxa"/>
            <w:vAlign w:val="bottom"/>
            <w:shd w:val="clear" w:color="auto" w:fill="CCEEFF"/>
          </w:tcPr>
          <w:p>
            <w:pPr>
              <w:spacing w:after="0"/>
              <w:rPr>
                <w:sz w:val="18"/>
                <w:szCs w:val="18"/>
                <w:color w:val="auto"/>
              </w:rPr>
            </w:pPr>
          </w:p>
        </w:tc>
      </w:tr>
      <w:tr>
        <w:trPr>
          <w:trHeight w:val="216"/>
        </w:trPr>
        <w:tc>
          <w:tcPr>
            <w:tcW w:w="972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Cactus Pipeline </w:t>
            </w:r>
            <w:r>
              <w:rPr>
                <w:rFonts w:ascii="Arial" w:cs="Arial" w:eastAsia="Arial" w:hAnsi="Arial"/>
                <w:sz w:val="23"/>
                <w:szCs w:val="23"/>
                <w:color w:val="auto"/>
                <w:vertAlign w:val="superscript"/>
              </w:rPr>
              <w:t>(2)</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135</w:t>
            </w:r>
          </w:p>
        </w:tc>
        <w:tc>
          <w:tcPr>
            <w:tcW w:w="100" w:type="dxa"/>
            <w:vAlign w:val="bottom"/>
          </w:tcPr>
          <w:p>
            <w:pPr>
              <w:spacing w:after="0"/>
              <w:rPr>
                <w:sz w:val="18"/>
                <w:szCs w:val="18"/>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Diamond Pipeline</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130</w:t>
            </w:r>
          </w:p>
        </w:tc>
        <w:tc>
          <w:tcPr>
            <w:tcW w:w="100" w:type="dxa"/>
            <w:vAlign w:val="bottom"/>
            <w:shd w:val="clear" w:color="auto" w:fill="CCEEFF"/>
          </w:tcPr>
          <w:p>
            <w:pPr>
              <w:spacing w:after="0"/>
              <w:rPr>
                <w:sz w:val="18"/>
                <w:szCs w:val="18"/>
                <w:color w:val="auto"/>
              </w:rPr>
            </w:pPr>
          </w:p>
        </w:tc>
      </w:tr>
      <w:tr>
        <w:trPr>
          <w:trHeight w:val="216"/>
        </w:trPr>
        <w:tc>
          <w:tcPr>
            <w:tcW w:w="9720" w:type="dxa"/>
            <w:vAlign w:val="bottom"/>
            <w:gridSpan w:val="2"/>
          </w:tcPr>
          <w:p>
            <w:pPr>
              <w:spacing w:after="0"/>
              <w:rPr>
                <w:sz w:val="20"/>
                <w:szCs w:val="20"/>
                <w:color w:val="auto"/>
              </w:rPr>
            </w:pPr>
            <w:r>
              <w:rPr>
                <w:rFonts w:ascii="Arial" w:cs="Arial" w:eastAsia="Arial" w:hAnsi="Arial"/>
                <w:sz w:val="18"/>
                <w:szCs w:val="18"/>
                <w:color w:val="auto"/>
              </w:rPr>
              <w:t>Red River Pipeline (Cushing to Longview)</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130</w:t>
            </w:r>
          </w:p>
        </w:tc>
        <w:tc>
          <w:tcPr>
            <w:tcW w:w="100" w:type="dxa"/>
            <w:vAlign w:val="bottom"/>
          </w:tcPr>
          <w:p>
            <w:pPr>
              <w:spacing w:after="0"/>
              <w:rPr>
                <w:sz w:val="18"/>
                <w:szCs w:val="18"/>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Saddlehorn Pipeline</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100" w:type="dxa"/>
            <w:vAlign w:val="bottom"/>
            <w:shd w:val="clear" w:color="auto" w:fill="CCEEFF"/>
          </w:tcPr>
          <w:p>
            <w:pPr>
              <w:spacing w:after="0"/>
              <w:rPr>
                <w:sz w:val="18"/>
                <w:szCs w:val="18"/>
                <w:color w:val="auto"/>
              </w:rPr>
            </w:pPr>
          </w:p>
        </w:tc>
      </w:tr>
      <w:tr>
        <w:trPr>
          <w:trHeight w:val="216"/>
        </w:trPr>
        <w:tc>
          <w:tcPr>
            <w:tcW w:w="9720" w:type="dxa"/>
            <w:vAlign w:val="bottom"/>
            <w:gridSpan w:val="2"/>
          </w:tcPr>
          <w:p>
            <w:pPr>
              <w:spacing w:after="0"/>
              <w:rPr>
                <w:sz w:val="20"/>
                <w:szCs w:val="20"/>
                <w:color w:val="auto"/>
              </w:rPr>
            </w:pPr>
            <w:r>
              <w:rPr>
                <w:rFonts w:ascii="Arial" w:cs="Arial" w:eastAsia="Arial" w:hAnsi="Arial"/>
                <w:sz w:val="18"/>
                <w:szCs w:val="18"/>
                <w:color w:val="auto"/>
              </w:rPr>
              <w:t>Eagle Ford JV Project</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90</w:t>
            </w:r>
          </w:p>
        </w:tc>
        <w:tc>
          <w:tcPr>
            <w:tcW w:w="100" w:type="dxa"/>
            <w:vAlign w:val="bottom"/>
          </w:tcPr>
          <w:p>
            <w:pPr>
              <w:spacing w:after="0"/>
              <w:rPr>
                <w:sz w:val="18"/>
                <w:szCs w:val="18"/>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Cowboy Pipeline (Cheyenne to Carr)</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shd w:val="clear" w:color="auto" w:fill="CCEEFF"/>
          </w:tcPr>
          <w:p>
            <w:pPr>
              <w:spacing w:after="0"/>
              <w:rPr>
                <w:sz w:val="18"/>
                <w:szCs w:val="18"/>
                <w:color w:val="auto"/>
              </w:rPr>
            </w:pPr>
          </w:p>
        </w:tc>
      </w:tr>
      <w:tr>
        <w:trPr>
          <w:trHeight w:val="216"/>
        </w:trPr>
        <w:tc>
          <w:tcPr>
            <w:tcW w:w="9720" w:type="dxa"/>
            <w:vAlign w:val="bottom"/>
            <w:gridSpan w:val="2"/>
          </w:tcPr>
          <w:p>
            <w:pPr>
              <w:spacing w:after="0"/>
              <w:rPr>
                <w:sz w:val="20"/>
                <w:szCs w:val="20"/>
                <w:color w:val="auto"/>
              </w:rPr>
            </w:pPr>
            <w:r>
              <w:rPr>
                <w:rFonts w:ascii="Arial" w:cs="Arial" w:eastAsia="Arial" w:hAnsi="Arial"/>
                <w:sz w:val="18"/>
                <w:szCs w:val="18"/>
                <w:color w:val="auto"/>
              </w:rPr>
              <w:t>Eagle Ford Area Projects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18"/>
                <w:szCs w:val="18"/>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Cushing Terminal Expansions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shd w:val="clear" w:color="auto" w:fill="CCEEFF"/>
          </w:tcPr>
          <w:p>
            <w:pPr>
              <w:spacing w:after="0"/>
              <w:rPr>
                <w:sz w:val="18"/>
                <w:szCs w:val="18"/>
                <w:color w:val="auto"/>
              </w:rPr>
            </w:pPr>
          </w:p>
        </w:tc>
      </w:tr>
      <w:tr>
        <w:trPr>
          <w:trHeight w:val="216"/>
        </w:trPr>
        <w:tc>
          <w:tcPr>
            <w:tcW w:w="9720" w:type="dxa"/>
            <w:vAlign w:val="bottom"/>
            <w:gridSpan w:val="2"/>
          </w:tcPr>
          <w:p>
            <w:pPr>
              <w:spacing w:after="0"/>
              <w:rPr>
                <w:sz w:val="20"/>
                <w:szCs w:val="20"/>
                <w:color w:val="auto"/>
              </w:rPr>
            </w:pPr>
            <w:r>
              <w:rPr>
                <w:rFonts w:ascii="Arial" w:cs="Arial" w:eastAsia="Arial" w:hAnsi="Arial"/>
                <w:sz w:val="18"/>
                <w:szCs w:val="18"/>
                <w:color w:val="auto"/>
              </w:rPr>
              <w:t>Line 63 Reactivation</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tcPr>
          <w:p>
            <w:pPr>
              <w:spacing w:after="0"/>
              <w:rPr>
                <w:sz w:val="18"/>
                <w:szCs w:val="18"/>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450</w:t>
            </w:r>
          </w:p>
        </w:tc>
        <w:tc>
          <w:tcPr>
            <w:tcW w:w="100" w:type="dxa"/>
            <w:vAlign w:val="bottom"/>
            <w:shd w:val="clear" w:color="auto" w:fill="CCEEFF"/>
          </w:tcPr>
          <w:p>
            <w:pPr>
              <w:spacing w:after="0"/>
              <w:rPr>
                <w:sz w:val="18"/>
                <w:szCs w:val="18"/>
                <w:color w:val="auto"/>
              </w:rPr>
            </w:pPr>
          </w:p>
        </w:tc>
      </w:tr>
    </w:tbl>
    <w:p>
      <w:pPr>
        <w:sectPr>
          <w:pgSz w:w="11900" w:h="16897" w:orient="portrait"/>
          <w:cols w:equalWidth="0" w:num="1">
            <w:col w:w="11420"/>
          </w:cols>
          <w:pgMar w:left="240" w:top="341" w:right="239" w:bottom="0" w:gutter="0" w:footer="0" w:header="0"/>
        </w:sectPr>
      </w:pPr>
    </w:p>
    <w:bookmarkStart w:id="19" w:name="page20"/>
    <w:bookmarkEnd w:id="1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6480" w:type="dxa"/>
            <w:vAlign w:val="bottom"/>
            <w:gridSpan w:val="2"/>
          </w:tcPr>
          <w:p>
            <w:pPr>
              <w:jc w:val="center"/>
              <w:ind w:left="4770"/>
              <w:spacing w:after="0"/>
              <w:rPr>
                <w:sz w:val="20"/>
                <w:szCs w:val="20"/>
                <w:color w:val="auto"/>
              </w:rPr>
            </w:pPr>
            <w:r>
              <w:rPr>
                <w:rFonts w:ascii="Arial" w:cs="Arial" w:eastAsia="Arial" w:hAnsi="Arial"/>
                <w:sz w:val="18"/>
                <w:szCs w:val="18"/>
                <w:color w:val="auto"/>
                <w:w w:val="90"/>
              </w:rPr>
              <w:t>$2,150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(3)</w:t>
            </w:r>
          </w:p>
        </w:tc>
        <w:tc>
          <w:tcPr>
            <w:tcW w:w="6480" w:type="dxa"/>
            <w:vAlign w:val="bottom"/>
            <w:gridSpan w:val="2"/>
            <w:shd w:val="clear" w:color="auto" w:fill="CCEEFF"/>
          </w:tcPr>
          <w:p>
            <w:pPr>
              <w:jc w:val="center"/>
              <w:ind w:left="4790"/>
              <w:spacing w:after="0"/>
              <w:rPr>
                <w:sz w:val="20"/>
                <w:szCs w:val="20"/>
                <w:color w:val="auto"/>
              </w:rPr>
            </w:pPr>
            <w:r>
              <w:rPr>
                <w:rFonts w:ascii="Arial" w:cs="Arial" w:eastAsia="Arial" w:hAnsi="Arial"/>
                <w:sz w:val="18"/>
                <w:szCs w:val="18"/>
                <w:color w:val="auto"/>
                <w:w w:val="91"/>
              </w:rPr>
              <w:t>-$50 + $100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Projected Expansion Capital Expenditures</w:t>
            </w:r>
          </w:p>
        </w:tc>
        <w:tc>
          <w:tcPr>
            <w:tcW w:w="4880" w:type="dxa"/>
            <w:vAlign w:val="bottom"/>
            <w:tcBorders>
              <w:bottom w:val="single" w:sz="8" w:color="CCEEFF"/>
            </w:tcBorders>
          </w:tcPr>
          <w:p>
            <w:pPr>
              <w:spacing w:after="0"/>
              <w:rPr>
                <w:sz w:val="21"/>
                <w:szCs w:val="21"/>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$2,100 - $2,250</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Maintenance Capital Expenditures</w:t>
            </w:r>
          </w:p>
        </w:tc>
        <w:tc>
          <w:tcPr>
            <w:tcW w:w="6480" w:type="dxa"/>
            <w:vAlign w:val="bottom"/>
            <w:gridSpan w:val="2"/>
          </w:tcPr>
          <w:p>
            <w:pPr>
              <w:jc w:val="center"/>
              <w:ind w:left="4790"/>
              <w:spacing w:after="0"/>
              <w:rPr>
                <w:sz w:val="20"/>
                <w:szCs w:val="20"/>
                <w:color w:val="auto"/>
              </w:rPr>
            </w:pPr>
            <w:r>
              <w:rPr>
                <w:rFonts w:ascii="Arial" w:cs="Arial" w:eastAsia="Arial" w:hAnsi="Arial"/>
                <w:sz w:val="18"/>
                <w:szCs w:val="18"/>
                <w:color w:val="auto"/>
                <w:w w:val="91"/>
              </w:rPr>
              <w:t>$205 - $225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880" w:type="dxa"/>
            <w:vAlign w:val="bottom"/>
          </w:tcPr>
          <w:p>
            <w:pPr>
              <w:jc w:val="right"/>
              <w:ind w:right="3830"/>
              <w:spacing w:after="0"/>
              <w:rPr>
                <w:sz w:val="20"/>
                <w:szCs w:val="20"/>
                <w:color w:val="auto"/>
              </w:rPr>
            </w:pPr>
            <w:r>
              <w:rPr>
                <w:rFonts w:ascii="Arial" w:cs="Arial" w:eastAsia="Arial" w:hAnsi="Arial"/>
                <w:sz w:val="18"/>
                <w:szCs w:val="18"/>
                <w:color w:val="auto"/>
              </w:rPr>
              <w:t>26</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820" w:type="dxa"/>
            <w:vAlign w:val="bottom"/>
            <w:tcBorders>
              <w:bottom w:val="single" w:sz="8" w:color="010101"/>
            </w:tcBorders>
          </w:tcPr>
          <w:p>
            <w:pPr>
              <w:spacing w:after="0"/>
              <w:rPr>
                <w:sz w:val="11"/>
                <w:szCs w:val="11"/>
                <w:color w:val="auto"/>
              </w:rPr>
            </w:pPr>
          </w:p>
        </w:tc>
        <w:tc>
          <w:tcPr>
            <w:tcW w:w="488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220980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Includes railcar purchases and projects located in or near St. James, LA and Kerrobert, Canada.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Includes linefill costs associated with the project.</w:t>
      </w:r>
    </w:p>
    <w:p>
      <w:pPr>
        <w:spacing w:after="0" w:line="225" w:lineRule="exact"/>
        <w:rPr>
          <w:sz w:val="20"/>
          <w:szCs w:val="20"/>
          <w:color w:val="auto"/>
        </w:rPr>
      </w:pPr>
    </w:p>
    <w:p>
      <w:pPr>
        <w:ind w:left="20" w:right="60" w:hanging="11"/>
        <w:spacing w:after="0" w:line="277" w:lineRule="auto"/>
        <w:rPr>
          <w:sz w:val="20"/>
          <w:szCs w:val="20"/>
          <w:color w:val="auto"/>
        </w:rPr>
      </w:pPr>
      <w:r>
        <w:rPr>
          <w:rFonts w:ascii="Arial" w:cs="Arial" w:eastAsia="Arial" w:hAnsi="Arial"/>
          <w:sz w:val="18"/>
          <w:szCs w:val="18"/>
          <w:color w:val="auto"/>
        </w:rPr>
        <w:t>Potential variation to current capital costs estimates may result from (i) changes to project design, (ii) final cost of materials and labor and (iii) timing of incurrence of costs due to uncontrollable factors such as permits, regulatory approvals and weather.</w:t>
      </w:r>
    </w:p>
    <w:p>
      <w:pPr>
        <w:spacing w:after="0" w:line="166" w:lineRule="exact"/>
        <w:rPr>
          <w:sz w:val="20"/>
          <w:szCs w:val="20"/>
          <w:color w:val="auto"/>
        </w:rPr>
      </w:pPr>
    </w:p>
    <w:p>
      <w:pPr>
        <w:sectPr>
          <w:pgSz w:w="11900" w:h="16900" w:orient="portrait"/>
          <w:cols w:equalWidth="0" w:num="2">
            <w:col w:w="140" w:space="500"/>
            <w:col w:w="10820"/>
          </w:cols>
          <w:pgMar w:left="240" w:top="125" w:right="19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Chief Operating Decision Maker (our Chief Executive Officer) evaluates such segment performance based on a variety of measures including segment profit, segment volumes, segment profit per barrel and maintenance capital investment. See Note 19 to our Consolidated Financial Statements included in Part IV of our 2014 Annual Report on Form 10-K for further discussion of how we evaluate segment profit.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80" w:type="dxa"/>
            <w:vAlign w:val="bottom"/>
            <w:gridSpan w:val="5"/>
          </w:tcPr>
          <w:p>
            <w:pPr>
              <w:jc w:val="center"/>
              <w:ind w:right="55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left="533"/>
              <w:spacing w:after="0"/>
              <w:rPr>
                <w:sz w:val="20"/>
                <w:szCs w:val="20"/>
                <w:color w:val="auto"/>
              </w:rPr>
            </w:pPr>
            <w:r>
              <w:rPr>
                <w:rFonts w:ascii="Arial" w:cs="Arial" w:eastAsia="Arial" w:hAnsi="Arial"/>
                <w:sz w:val="14"/>
                <w:szCs w:val="14"/>
                <w:b w:val="1"/>
                <w:bCs w:val="1"/>
                <w:color w:val="auto"/>
                <w:w w:val="95"/>
              </w:rPr>
              <w:t>Variance</w:t>
            </w:r>
          </w:p>
        </w:tc>
        <w:tc>
          <w:tcPr>
            <w:tcW w:w="9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Supply and Logistics segment profit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Total segment profit</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Unallocated general and administrative expenses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PAGP</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gridSpan w:val="2"/>
            <w:vMerge w:val="continue"/>
          </w:tcPr>
          <w:p>
            <w:pPr>
              <w:spacing w:after="0"/>
              <w:rPr>
                <w:sz w:val="21"/>
                <w:szCs w:val="21"/>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income attributable to PAGP:</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 net income per Class A share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5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ind w:left="160"/>
              <w:spacing w:after="0" w:line="201" w:lineRule="exact"/>
              <w:rPr>
                <w:sz w:val="20"/>
                <w:szCs w:val="20"/>
                <w:color w:val="auto"/>
              </w:rPr>
            </w:pPr>
            <w:r>
              <w:rPr>
                <w:rFonts w:ascii="Arial" w:cs="Arial" w:eastAsia="Arial" w:hAnsi="Arial"/>
                <w:sz w:val="18"/>
                <w:szCs w:val="18"/>
                <w:color w:val="auto"/>
              </w:rPr>
              <w:t>Basic and diluted weighted average Class A shares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77</w:t>
            </w:r>
          </w:p>
        </w:tc>
        <w:tc>
          <w:tcPr>
            <w:tcW w:w="380" w:type="dxa"/>
            <w:vAlign w:val="bottom"/>
          </w:tcPr>
          <w:p>
            <w:pPr>
              <w:spacing w:after="0"/>
              <w:rPr>
                <w:sz w:val="20"/>
                <w:szCs w:val="20"/>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8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93"/>
              </w:rPr>
              <w:t>Three Months Ended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96"/>
              </w:rPr>
              <w:t>Favorable/(Unfavorable)</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2"/>
              </w:rPr>
              <w:t>Variance</w:t>
            </w:r>
          </w:p>
        </w:tc>
        <w:tc>
          <w:tcPr>
            <w:tcW w:w="9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7"/>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w w:val="89"/>
              </w:rPr>
              <w:t>2014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right"/>
              <w:ind w:right="557"/>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jc w:val="right"/>
              <w:ind w:right="51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Tariff activities</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358</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336</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Trucking</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tcPr>
          <w:p>
            <w:pPr>
              <w:spacing w:after="0"/>
              <w:rPr>
                <w:sz w:val="20"/>
                <w:szCs w:val="20"/>
                <w:color w:val="auto"/>
              </w:rPr>
            </w:pPr>
            <w:r>
              <w:rPr>
                <w:rFonts w:ascii="Arial" w:cs="Arial" w:eastAsia="Arial" w:hAnsi="Arial"/>
                <w:sz w:val="18"/>
                <w:szCs w:val="18"/>
                <w:color w:val="auto"/>
              </w:rPr>
              <w:t>Total transportation revenues</w:t>
            </w: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3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387</w:t>
            </w:r>
          </w:p>
        </w:tc>
        <w:tc>
          <w:tcPr>
            <w:tcW w:w="260" w:type="dxa"/>
            <w:vAlign w:val="bottom"/>
            <w:tcBorders>
              <w:right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Trucking costs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4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tcBorders>
              <w:right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type w:val="continuous"/>
        </w:sectPr>
      </w:pPr>
    </w:p>
    <w:bookmarkStart w:id="20" w:name="page21"/>
    <w:bookmarkEnd w:id="20"/>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 - operations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Equity-indexed compensation expense - general and</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w:t>
            </w: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CEEFF"/>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0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Maintenance capital</w:t>
            </w: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0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300" w:type="dxa"/>
            <w:vAlign w:val="bottom"/>
          </w:tcPr>
          <w:p>
            <w:pPr>
              <w:spacing w:after="0"/>
              <w:rPr>
                <w:sz w:val="20"/>
                <w:szCs w:val="20"/>
                <w:color w:val="auto"/>
              </w:rPr>
            </w:pPr>
          </w:p>
        </w:tc>
        <w:tc>
          <w:tcPr>
            <w:tcW w:w="4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40" w:type="dxa"/>
            <w:vAlign w:val="bottom"/>
            <w:tcBorders>
              <w:right w:val="single" w:sz="8" w:color="auto"/>
            </w:tcBorders>
          </w:tcPr>
          <w:p>
            <w:pPr>
              <w:spacing w:after="0"/>
              <w:rPr>
                <w:sz w:val="20"/>
                <w:szCs w:val="20"/>
                <w:color w:val="auto"/>
              </w:rPr>
            </w:pPr>
          </w:p>
        </w:tc>
        <w:tc>
          <w:tcPr>
            <w:tcW w:w="220" w:type="dxa"/>
            <w:vAlign w:val="bottom"/>
            <w:vMerge w:val="continue"/>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7"/>
        </w:trPr>
        <w:tc>
          <w:tcPr>
            <w:tcW w:w="45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0.60</w:t>
            </w:r>
          </w:p>
        </w:tc>
        <w:tc>
          <w:tcPr>
            <w:tcW w:w="2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280" w:type="dxa"/>
            <w:vAlign w:val="bottom"/>
            <w:tcBorders>
              <w:top w:val="single" w:sz="8" w:color="CCEEFF"/>
              <w:left w:val="single" w:sz="8" w:color="CCEEFF"/>
              <w:bottom w:val="single" w:sz="8" w:color="CCEEFF"/>
            </w:tcBorders>
            <w:shd w:val="clear" w:color="auto" w:fill="CCEEFF"/>
          </w:tcPr>
          <w:p>
            <w:pPr>
              <w:jc w:val="right"/>
              <w:ind w:right="30"/>
              <w:spacing w:after="0" w:line="19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5"/>
          </w:tcPr>
          <w:p>
            <w:pPr>
              <w:jc w:val="center"/>
              <w:ind w:right="45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652"/>
              <w:spacing w:after="0"/>
              <w:rPr>
                <w:sz w:val="20"/>
                <w:szCs w:val="20"/>
                <w:color w:val="auto"/>
              </w:rPr>
            </w:pPr>
            <w:r>
              <w:rPr>
                <w:rFonts w:ascii="Arial" w:cs="Arial" w:eastAsia="Arial" w:hAnsi="Arial"/>
                <w:sz w:val="14"/>
                <w:szCs w:val="14"/>
                <w:b w:val="1"/>
                <w:bCs w:val="1"/>
                <w:color w:val="auto"/>
                <w:w w:val="92"/>
              </w:rPr>
              <w:t>Variance</w:t>
            </w:r>
          </w:p>
        </w:tc>
        <w:tc>
          <w:tcPr>
            <w:tcW w:w="9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line="142"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8"/>
                <w:szCs w:val="8"/>
                <w:b w:val="1"/>
                <w:bCs w:val="1"/>
                <w:color w:val="auto"/>
              </w:rPr>
              <w:t>(4)</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w w:val="89"/>
              </w:rPr>
              <w:t>2014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Volumes</w:t>
            </w:r>
          </w:p>
        </w:tc>
        <w:tc>
          <w:tcPr>
            <w:tcW w:w="980" w:type="dxa"/>
            <w:vAlign w:val="bottom"/>
          </w:tcPr>
          <w:p>
            <w:pPr>
              <w:jc w:val="right"/>
              <w:ind w:right="51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Crude Oil Pipelines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 American</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Bakken Area Systems </w:t>
            </w:r>
            <w:r>
              <w:rPr>
                <w:rFonts w:ascii="Arial" w:cs="Arial" w:eastAsia="Arial" w:hAnsi="Arial"/>
                <w:sz w:val="23"/>
                <w:szCs w:val="23"/>
                <w:color w:val="auto"/>
                <w:vertAlign w:val="superscript"/>
              </w:rPr>
              <w:t>(5)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152</w:t>
            </w:r>
          </w:p>
        </w:tc>
        <w:tc>
          <w:tcPr>
            <w:tcW w:w="4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Basin / Mesa / Sunrise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821</w:t>
            </w:r>
          </w:p>
        </w:tc>
        <w:tc>
          <w:tcPr>
            <w:tcW w:w="4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745</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BridgeTex</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1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Capline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w:t>
            </w:r>
          </w:p>
        </w:tc>
        <w:tc>
          <w:tcPr>
            <w:tcW w:w="4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Eagle Ford Area Systems </w:t>
            </w:r>
            <w:r>
              <w:rPr>
                <w:rFonts w:ascii="Arial" w:cs="Arial" w:eastAsia="Arial" w:hAnsi="Arial"/>
                <w:sz w:val="23"/>
                <w:szCs w:val="23"/>
                <w:color w:val="auto"/>
                <w:vertAlign w:val="superscript"/>
              </w:rPr>
              <w:t>(5)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263</w:t>
            </w:r>
          </w:p>
        </w:tc>
        <w:tc>
          <w:tcPr>
            <w:tcW w:w="4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Line 63 / Line 2000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w:t>
            </w:r>
          </w:p>
        </w:tc>
        <w:tc>
          <w:tcPr>
            <w:tcW w:w="4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Manito</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Mid-Continent Area Systems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w:t>
            </w:r>
          </w:p>
        </w:tc>
        <w:tc>
          <w:tcPr>
            <w:tcW w:w="4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Permian Basin Area Systems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754</w:t>
            </w:r>
          </w:p>
        </w:tc>
        <w:tc>
          <w:tcPr>
            <w:tcW w:w="4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Rainbow</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4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Rangeland</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Salt Lake City Area Systems </w:t>
            </w:r>
            <w:r>
              <w:rPr>
                <w:rFonts w:ascii="Arial" w:cs="Arial" w:eastAsia="Arial" w:hAnsi="Arial"/>
                <w:sz w:val="23"/>
                <w:szCs w:val="23"/>
                <w:color w:val="auto"/>
                <w:vertAlign w:val="superscript"/>
              </w:rPr>
              <w:t>(5)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w:t>
            </w:r>
          </w:p>
        </w:tc>
        <w:tc>
          <w:tcPr>
            <w:tcW w:w="4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South Saskatchewan</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White Cliffs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687</w:t>
            </w:r>
          </w:p>
        </w:tc>
        <w:tc>
          <w:tcPr>
            <w:tcW w:w="4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 Pipelines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Co-Ed</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w:t>
            </w:r>
          </w:p>
        </w:tc>
        <w:tc>
          <w:tcPr>
            <w:tcW w:w="4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Tariff activities total</w:t>
            </w: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4,123</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3,710</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413</w:t>
            </w:r>
          </w:p>
        </w:tc>
        <w:tc>
          <w:tcPr>
            <w:tcW w:w="2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Trucking</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w:t>
            </w:r>
          </w:p>
        </w:tc>
        <w:tc>
          <w:tcPr>
            <w:tcW w:w="4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Transportation segment total</w:t>
            </w: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4,244</w:t>
            </w:r>
          </w:p>
        </w:tc>
        <w:tc>
          <w:tcPr>
            <w:tcW w:w="3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85"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85" w:orient="portrait"/>
          <w:cols w:equalWidth="0" w:num="2">
            <w:col w:w="140" w:space="500"/>
            <w:col w:w="10780"/>
          </w:cols>
          <w:pgMar w:left="240" w:top="140"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985" w:orient="portrait"/>
          <w:cols w:equalWidth="0" w:num="1">
            <w:col w:w="11420"/>
          </w:cols>
          <w:pgMar w:left="240" w:top="140" w:right="239" w:bottom="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Volumes associated with assets employed through acquisitions and capital expansion projects represent total volumes (attributable to our interest) for the number of days we employed the assets divided by the number of days in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Area systems include volumes (attributable to our interest) from our investments in unconsolidated entities.</w:t>
      </w:r>
    </w:p>
    <w:p>
      <w:pPr>
        <w:spacing w:after="0" w:line="200" w:lineRule="exact"/>
        <w:rPr>
          <w:sz w:val="20"/>
          <w:szCs w:val="20"/>
          <w:color w:val="auto"/>
        </w:rPr>
      </w:pPr>
    </w:p>
    <w:p>
      <w:pPr>
        <w:sectPr>
          <w:pgSz w:w="11900" w:h="16985" w:orient="portrait"/>
          <w:cols w:equalWidth="0" w:num="2">
            <w:col w:w="140" w:space="500"/>
            <w:col w:w="10780"/>
          </w:cols>
          <w:pgMar w:left="240" w:top="140" w:right="239" w:bottom="0" w:gutter="0" w:footer="0" w:header="0"/>
          <w:type w:val="continuous"/>
        </w:sectPr>
      </w:pPr>
    </w:p>
    <w:p>
      <w:pPr>
        <w:spacing w:after="0" w:line="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agreements generally reflects a negotiated amount. Revenues and expenses from our Canadian based subsidiaries, which use the Canadian dollar as their functional currency, are translated at the prevailing average exchange rates for each month.</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As noted in the table above, our total Transportation segment revenues, net of trucking costs, and volumes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for the three months ended March 31, 2015 compared to the three months ended March 31, 2014. Our Transportation segment results for the comparative periods were impacted by the following:</w:t>
      </w:r>
    </w:p>
    <w:p>
      <w:pPr>
        <w:spacing w:after="0" w:line="181" w:lineRule="exact"/>
        <w:rPr>
          <w:sz w:val="20"/>
          <w:szCs w:val="20"/>
          <w:color w:val="auto"/>
        </w:rPr>
      </w:pPr>
    </w:p>
    <w:p>
      <w:pPr>
        <w:ind w:left="660" w:right="80" w:hanging="328"/>
        <w:spacing w:after="0" w:line="257" w:lineRule="auto"/>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North American Crude Oil Production and Related Expansion Projects— Production growth from the development of certain North American crude oil resource plays increased volumes and revenues on our existing pipeline systems over the comparative periods presented. We estimate that the impact of increased throughput and related infrastructure projects, most notably on our Eagle Ford and Mid-Continent Area Systems and certain pipelines in our Permian Basin Area Systems, and our recently constructed Sunrise, Pascagoula and Bakken North pipelines, increased our revenues by $20 million.</w:t>
      </w:r>
    </w:p>
    <w:p>
      <w:pPr>
        <w:spacing w:after="0" w:line="188" w:lineRule="exact"/>
        <w:rPr>
          <w:rFonts w:ascii="Arial" w:cs="Arial" w:eastAsia="Arial" w:hAnsi="Arial"/>
          <w:sz w:val="18"/>
          <w:szCs w:val="18"/>
          <w:color w:val="auto"/>
        </w:rPr>
      </w:pPr>
    </w:p>
    <w:p>
      <w:pPr>
        <w:ind w:left="660" w:right="280" w:hanging="328"/>
        <w:spacing w:after="0" w:line="381" w:lineRule="auto"/>
        <w:tabs>
          <w:tab w:leader="none" w:pos="624" w:val="left"/>
        </w:tabs>
        <w:numPr>
          <w:ilvl w:val="0"/>
          <w:numId w:val="19"/>
        </w:numPr>
        <w:rPr>
          <w:rFonts w:ascii="Arial" w:cs="Arial" w:eastAsia="Arial" w:hAnsi="Arial"/>
          <w:sz w:val="15"/>
          <w:szCs w:val="15"/>
          <w:color w:val="auto"/>
        </w:rPr>
      </w:pPr>
      <w:r>
        <w:rPr>
          <w:rFonts w:ascii="Arial" w:cs="Arial" w:eastAsia="Arial" w:hAnsi="Arial"/>
          <w:sz w:val="15"/>
          <w:szCs w:val="15"/>
          <w:color w:val="auto"/>
        </w:rPr>
        <w:t>Tariff Rates— Revenues on our pipelines are impacted by various tariff rate changes that may occur during the period, which include (i) rate increases or decreases on our intrastate and Canadian pipelines and fees on related system assets, (ii) the indexing of rates on our FERC regulated</w:t>
      </w:r>
    </w:p>
    <w:p>
      <w:pPr>
        <w:sectPr>
          <w:pgSz w:w="11900" w:h="16985" w:orient="portrait"/>
          <w:cols w:equalWidth="0" w:num="1">
            <w:col w:w="11420"/>
          </w:cols>
          <w:pgMar w:left="240" w:top="140" w:right="239" w:bottom="0" w:gutter="0" w:footer="0" w:header="0"/>
          <w:type w:val="continuous"/>
        </w:sectPr>
      </w:pPr>
    </w:p>
    <w:bookmarkStart w:id="21" w:name="page22"/>
    <w:bookmarkEnd w:id="21"/>
    <w:p>
      <w:pPr>
        <w:spacing w:after="0" w:line="62" w:lineRule="exact"/>
        <w:rPr>
          <w:sz w:val="20"/>
          <w:szCs w:val="20"/>
          <w:color w:val="auto"/>
        </w:rPr>
      </w:pPr>
    </w:p>
    <w:p>
      <w:pPr>
        <w:ind w:left="660" w:right="320"/>
        <w:spacing w:after="0" w:line="286" w:lineRule="auto"/>
        <w:rPr>
          <w:sz w:val="20"/>
          <w:szCs w:val="20"/>
          <w:color w:val="auto"/>
        </w:rPr>
      </w:pPr>
      <w:r>
        <w:rPr>
          <w:rFonts w:ascii="Arial" w:cs="Arial" w:eastAsia="Arial" w:hAnsi="Arial"/>
          <w:sz w:val="17"/>
          <w:szCs w:val="17"/>
          <w:color w:val="auto"/>
        </w:rPr>
        <w:t>pipelines or (iii) other negotiated rate changes. We estimate that the net impact of such rate changes on our pipelines increased revenues by $18 million primarily due to tariff rate increases on certain of our Canadian crude oil pipelines and incremental fees on related system assets, and, to a much lesser extent, the FERC indexing effective July 1, 2014 and rate increases on our intrastate pipelines.</w:t>
      </w:r>
    </w:p>
    <w:p>
      <w:pPr>
        <w:spacing w:after="0" w:line="166" w:lineRule="exact"/>
        <w:rPr>
          <w:sz w:val="20"/>
          <w:szCs w:val="20"/>
          <w:color w:val="auto"/>
        </w:rPr>
      </w:pPr>
    </w:p>
    <w:p>
      <w:pPr>
        <w:ind w:left="660" w:right="260" w:hanging="328"/>
        <w:spacing w:after="0" w:line="257" w:lineRule="auto"/>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Allowance Revenue—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decreased by $9 million primarily due to a lower average realized price per barrel, partially offset by higher volumes.</w:t>
      </w:r>
    </w:p>
    <w:p>
      <w:pPr>
        <w:spacing w:after="0" w:line="188" w:lineRule="exact"/>
        <w:rPr>
          <w:rFonts w:ascii="Arial" w:cs="Arial" w:eastAsia="Arial" w:hAnsi="Arial"/>
          <w:sz w:val="18"/>
          <w:szCs w:val="18"/>
          <w:color w:val="auto"/>
        </w:rPr>
      </w:pPr>
    </w:p>
    <w:p>
      <w:pPr>
        <w:ind w:left="660" w:right="80" w:hanging="328"/>
        <w:spacing w:after="0" w:line="264" w:lineRule="auto"/>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Exchange Impact —We estimate that revenues from our Canadian pipeline systems and trucking operations were unfavorably impacted by $11 million for the three months ended March 31, 2015 compared to the three months ended March 31, 2014 due to the depreciation of the Canadian dollar (“CAD”) relative to the U.S. dollar (“USD”).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(excluding equity-indexed compensation expense) increased during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2015 compared to the three months ended March 31, 2014 primarily due to increased salary and related expenses and higher property tax expense associated with the growth and capital expansion in the segment. The increase in operating costs for the comparative quarter ended periods was partially offset by lower maintenance and repairs cost and a $4 million favorable impact of foreign exchange.</w:t>
      </w:r>
    </w:p>
    <w:p>
      <w:pPr>
        <w:spacing w:after="0" w:line="17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On a consolidated basis across all segments, equity-indexed compensation expense decreased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2015 compared to the same period in 2014 primarily due to the impact of the decrease in unit price during the period compared to the impact of the increase in unit price for the same period in 2014.</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Allocations of equity-indexed compensation expense vary over time (i) between field operating costs and general and administrative expenses and</w:t>
      </w:r>
    </w:p>
    <w:p>
      <w:pPr>
        <w:spacing w:after="0" w:line="46" w:lineRule="exact"/>
        <w:rPr>
          <w:sz w:val="20"/>
          <w:szCs w:val="20"/>
          <w:color w:val="auto"/>
        </w:rPr>
      </w:pPr>
    </w:p>
    <w:p>
      <w:pPr>
        <w:ind w:right="40" w:firstLine="8"/>
        <w:spacing w:after="0" w:line="255"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between segments and could result in variances in those expense categories or segments that differ from the consolidated variance explanations above. See Note 16 to our Consolidated Financial Statements included in Part IV of our 2014 Annual Report on Form 10-K for additional information regarding our equity-indexed compensation plans.</w:t>
      </w:r>
    </w:p>
    <w:p>
      <w:pPr>
        <w:spacing w:after="0" w:line="190" w:lineRule="exact"/>
        <w:rPr>
          <w:sz w:val="20"/>
          <w:szCs w:val="20"/>
          <w:color w:val="auto"/>
        </w:rPr>
      </w:pPr>
    </w:p>
    <w:p>
      <w:pPr>
        <w:ind w:right="420" w:firstLine="648"/>
        <w:spacing w:after="0" w:line="288" w:lineRule="auto"/>
        <w:rPr>
          <w:sz w:val="20"/>
          <w:szCs w:val="20"/>
          <w:color w:val="auto"/>
        </w:rPr>
      </w:pPr>
      <w:r>
        <w:rPr>
          <w:rFonts w:ascii="Arial" w:cs="Arial" w:eastAsia="Arial" w:hAnsi="Arial"/>
          <w:sz w:val="16"/>
          <w:szCs w:val="16"/>
          <w:i w:val="1"/>
          <w:iCs w:val="1"/>
          <w:color w:val="auto"/>
        </w:rPr>
        <w:t>Equity Earnings in Unconsolidated Entities</w:t>
      </w:r>
      <w:r>
        <w:rPr>
          <w:rFonts w:ascii="Arial" w:cs="Arial" w:eastAsia="Arial" w:hAnsi="Arial"/>
          <w:sz w:val="16"/>
          <w:szCs w:val="16"/>
          <w:color w:val="auto"/>
        </w:rPr>
        <w:t>. The favorable variance in equity earnings in unconsolidated entities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2015 compared to the three months ended March 31, 2014 was primarily driven by (i) earnings from our 50% interest in BridgeTex, which we acquired in November 2014, (ii) increased throughput on the White Cliffs pipeline due to an expansion of the pipeline that was placed into service in</w:t>
      </w:r>
    </w:p>
    <w:p>
      <w:pPr>
        <w:ind w:right="60"/>
        <w:spacing w:after="0" w:line="261" w:lineRule="auto"/>
        <w:rPr>
          <w:sz w:val="20"/>
          <w:szCs w:val="20"/>
          <w:color w:val="auto"/>
        </w:rPr>
      </w:pPr>
      <w:r>
        <w:rPr>
          <w:rFonts w:ascii="Arial" w:cs="Arial" w:eastAsia="Arial" w:hAnsi="Arial"/>
          <w:sz w:val="18"/>
          <w:szCs w:val="18"/>
          <w:color w:val="auto"/>
        </w:rPr>
        <w:t>July 2014 and (iii) increased throughput on the Eagle Ford pipeline as a result of increased crude oil production, as discussed in “Net Operating Revenues and Volumes” above.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 Revenues and expenses from our Canadian based subsidiaries, which use the Canadian dollar as their functional currency, are translated at the prevailing average exchange rates for each month.</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80" w:type="dxa"/>
            <w:vAlign w:val="bottom"/>
          </w:tcPr>
          <w:p>
            <w:pPr>
              <w:spacing w:after="0"/>
              <w:rPr>
                <w:sz w:val="14"/>
                <w:szCs w:val="14"/>
                <w:color w:val="auto"/>
              </w:rPr>
            </w:pPr>
          </w:p>
        </w:tc>
        <w:tc>
          <w:tcPr>
            <w:tcW w:w="182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20" w:type="dxa"/>
            <w:vAlign w:val="bottom"/>
            <w:gridSpan w:val="5"/>
          </w:tcPr>
          <w:p>
            <w:pPr>
              <w:jc w:val="center"/>
              <w:ind w:right="430"/>
              <w:spacing w:after="0"/>
              <w:rPr>
                <w:sz w:val="20"/>
                <w:szCs w:val="20"/>
                <w:color w:val="auto"/>
              </w:rPr>
            </w:pPr>
            <w:r>
              <w:rPr>
                <w:rFonts w:ascii="Arial" w:cs="Arial" w:eastAsia="Arial" w:hAnsi="Arial"/>
                <w:sz w:val="14"/>
                <w:szCs w:val="14"/>
                <w:b w:val="1"/>
                <w:bCs w:val="1"/>
                <w:color w:val="auto"/>
                <w:w w:val="96"/>
              </w:rPr>
              <w:t>Favorable/(Unfavorable)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gridSpan w:val="5"/>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265"/>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656"/>
              <w:spacing w:after="0"/>
              <w:rPr>
                <w:sz w:val="20"/>
                <w:szCs w:val="20"/>
                <w:color w:val="auto"/>
              </w:rPr>
            </w:pPr>
            <w:r>
              <w:rPr>
                <w:rFonts w:ascii="Arial" w:cs="Arial" w:eastAsia="Arial" w:hAnsi="Arial"/>
                <w:sz w:val="14"/>
                <w:szCs w:val="14"/>
                <w:b w:val="1"/>
                <w:bCs w:val="1"/>
                <w:color w:val="auto"/>
                <w:w w:val="92"/>
              </w:rPr>
              <w:t>Variance</w:t>
            </w:r>
          </w:p>
        </w:tc>
        <w:tc>
          <w:tcPr>
            <w:tcW w:w="9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80" w:type="dxa"/>
            <w:vAlign w:val="bottom"/>
          </w:tcPr>
          <w:p>
            <w:pPr>
              <w:spacing w:after="0"/>
              <w:rPr>
                <w:sz w:val="12"/>
                <w:szCs w:val="12"/>
                <w:color w:val="auto"/>
              </w:rPr>
            </w:pPr>
          </w:p>
        </w:tc>
        <w:tc>
          <w:tcPr>
            <w:tcW w:w="1020" w:type="dxa"/>
            <w:vAlign w:val="bottom"/>
          </w:tcPr>
          <w:p>
            <w:pPr>
              <w:jc w:val="right"/>
              <w:ind w:right="396"/>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jc w:val="right"/>
              <w:ind w:right="373"/>
              <w:spacing w:after="0" w:line="142" w:lineRule="exact"/>
              <w:rPr>
                <w:sz w:val="20"/>
                <w:szCs w:val="20"/>
                <w:color w:val="auto"/>
              </w:rPr>
            </w:pPr>
            <w:r>
              <w:rPr>
                <w:rFonts w:ascii="Arial" w:cs="Arial" w:eastAsia="Arial" w:hAnsi="Arial"/>
                <w:sz w:val="14"/>
                <w:szCs w:val="14"/>
                <w:b w:val="1"/>
                <w:bCs w:val="1"/>
                <w:color w:val="auto"/>
                <w:w w:val="96"/>
              </w:rPr>
              <w:t>2014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556"/>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jc w:val="right"/>
              <w:ind w:right="51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5"/>
          </w:tcPr>
          <w:p>
            <w:pPr>
              <w:spacing w:after="0"/>
              <w:rPr>
                <w:sz w:val="20"/>
                <w:szCs w:val="20"/>
                <w:color w:val="auto"/>
              </w:rPr>
            </w:pPr>
            <w:r>
              <w:rPr>
                <w:rFonts w:ascii="Arial" w:cs="Arial" w:eastAsia="Arial" w:hAnsi="Arial"/>
                <w:sz w:val="18"/>
                <w:szCs w:val="18"/>
                <w:color w:val="auto"/>
              </w:rPr>
              <w:t>Storage related costs (natural gas related)</w:t>
            </w:r>
          </w:p>
        </w:tc>
        <w:tc>
          <w:tcPr>
            <w:tcW w:w="28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5"/>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5"/>
          </w:tcPr>
          <w:p>
            <w:pPr>
              <w:spacing w:after="0"/>
              <w:rPr>
                <w:sz w:val="20"/>
                <w:szCs w:val="20"/>
                <w:color w:val="auto"/>
              </w:rPr>
            </w:pPr>
            <w:r>
              <w:rPr>
                <w:rFonts w:ascii="Arial" w:cs="Arial" w:eastAsia="Arial" w:hAnsi="Arial"/>
                <w:sz w:val="18"/>
                <w:szCs w:val="18"/>
                <w:color w:val="auto"/>
              </w:rPr>
              <w:t>Equity-indexed compensation expense - operations</w:t>
            </w:r>
          </w:p>
        </w:tc>
        <w:tc>
          <w:tcPr>
            <w:tcW w:w="28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5"/>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2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20" w:type="dxa"/>
            <w:vAlign w:val="bottom"/>
            <w:gridSpan w:val="5"/>
          </w:tcPr>
          <w:p>
            <w:pPr>
              <w:spacing w:after="0" w:line="201" w:lineRule="exact"/>
              <w:rPr>
                <w:sz w:val="20"/>
                <w:szCs w:val="20"/>
                <w:color w:val="auto"/>
              </w:rPr>
            </w:pPr>
            <w:r>
              <w:rPr>
                <w:rFonts w:ascii="Arial" w:cs="Arial" w:eastAsia="Arial" w:hAnsi="Arial"/>
                <w:sz w:val="18"/>
                <w:szCs w:val="18"/>
                <w:color w:val="auto"/>
              </w:rPr>
              <w:t>Equity-indexed compensation expense - general and</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gridSpan w:val="5"/>
          </w:tcPr>
          <w:p>
            <w:pPr>
              <w:ind w:left="180"/>
              <w:spacing w:after="0"/>
              <w:rPr>
                <w:sz w:val="20"/>
                <w:szCs w:val="20"/>
                <w:color w:val="auto"/>
              </w:rPr>
            </w:pPr>
            <w:r>
              <w:rPr>
                <w:rFonts w:ascii="Arial" w:cs="Arial" w:eastAsia="Arial" w:hAnsi="Arial"/>
                <w:sz w:val="18"/>
                <w:szCs w:val="18"/>
                <w:color w:val="auto"/>
              </w:rPr>
              <w:t>administrative</w:t>
            </w:r>
          </w:p>
        </w:tc>
        <w:tc>
          <w:tcPr>
            <w:tcW w:w="280" w:type="dxa"/>
            <w:vAlign w:val="bottom"/>
          </w:tcPr>
          <w:p>
            <w:pPr>
              <w:spacing w:after="0"/>
              <w:rPr>
                <w:sz w:val="20"/>
                <w:szCs w:val="20"/>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0"/>
                <w:szCs w:val="20"/>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CEEFF"/>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5"/>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color w:val="auto"/>
              </w:rPr>
              <w:t>Maintenance capital</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gridSpan w:val="5"/>
            <w:vMerge w:val="continue"/>
          </w:tcPr>
          <w:p>
            <w:pPr>
              <w:spacing w:after="0"/>
              <w:rPr>
                <w:sz w:val="20"/>
                <w:szCs w:val="20"/>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40" w:type="dxa"/>
            <w:vAlign w:val="bottom"/>
            <w:tcBorders>
              <w:right w:val="single" w:sz="8" w:color="auto"/>
            </w:tcBorders>
          </w:tcPr>
          <w:p>
            <w:pPr>
              <w:spacing w:after="0"/>
              <w:rPr>
                <w:sz w:val="20"/>
                <w:szCs w:val="20"/>
                <w:color w:val="auto"/>
              </w:rPr>
            </w:pPr>
          </w:p>
        </w:tc>
        <w:tc>
          <w:tcPr>
            <w:tcW w:w="220" w:type="dxa"/>
            <w:vAlign w:val="bottom"/>
            <w:vMerge w:val="continue"/>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(5)</w:t>
            </w:r>
          </w:p>
        </w:tc>
        <w:tc>
          <w:tcPr>
            <w:tcW w:w="380" w:type="dxa"/>
            <w:vAlign w:val="bottom"/>
          </w:tcPr>
          <w:p>
            <w:pPr>
              <w:spacing w:after="0"/>
              <w:rPr>
                <w:sz w:val="20"/>
                <w:szCs w:val="20"/>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20" w:type="dxa"/>
            <w:vAlign w:val="bottom"/>
            <w:tcBorders>
              <w:top w:val="single" w:sz="8" w:color="CCEEFF"/>
              <w:bottom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0.42</w:t>
            </w:r>
          </w:p>
        </w:tc>
        <w:tc>
          <w:tcPr>
            <w:tcW w:w="2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28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90"/>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236"/>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82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3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5"/>
          </w:tcPr>
          <w:p>
            <w:pPr>
              <w:jc w:val="center"/>
              <w:ind w:right="450"/>
              <w:spacing w:after="0"/>
              <w:rPr>
                <w:sz w:val="20"/>
                <w:szCs w:val="20"/>
                <w:color w:val="auto"/>
              </w:rPr>
            </w:pPr>
            <w:r>
              <w:rPr>
                <w:rFonts w:ascii="Arial" w:cs="Arial" w:eastAsia="Arial" w:hAnsi="Arial"/>
                <w:sz w:val="14"/>
                <w:szCs w:val="14"/>
                <w:b w:val="1"/>
                <w:bCs w:val="1"/>
                <w:color w:val="auto"/>
                <w:w w:val="94"/>
              </w:rPr>
              <w:t>Favorable/(Unfavorable)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8"/>
                <w:szCs w:val="8"/>
                <w:b w:val="1"/>
                <w:bCs w:val="1"/>
                <w:color w:val="auto"/>
              </w:rPr>
              <w:t>(4)</w:t>
            </w:r>
          </w:p>
        </w:tc>
        <w:tc>
          <w:tcPr>
            <w:tcW w:w="300" w:type="dxa"/>
            <w:vAlign w:val="bottom"/>
            <w:gridSpan w:val="2"/>
            <w:vMerge w:val="restart"/>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305"/>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656"/>
              <w:spacing w:after="0"/>
              <w:rPr>
                <w:sz w:val="20"/>
                <w:szCs w:val="20"/>
                <w:color w:val="auto"/>
              </w:rPr>
            </w:pPr>
            <w:r>
              <w:rPr>
                <w:rFonts w:ascii="Arial" w:cs="Arial" w:eastAsia="Arial" w:hAnsi="Arial"/>
                <w:sz w:val="14"/>
                <w:szCs w:val="14"/>
                <w:b w:val="1"/>
                <w:bCs w:val="1"/>
                <w:color w:val="auto"/>
                <w:w w:val="92"/>
              </w:rPr>
              <w:t>Variance</w:t>
            </w:r>
          </w:p>
        </w:tc>
        <w:tc>
          <w:tcPr>
            <w:tcW w:w="9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tcBorders>
            <w:gridSpan w:val="2"/>
            <w:vMerge w:val="continue"/>
          </w:tcPr>
          <w:p>
            <w:pPr>
              <w:spacing w:after="0"/>
              <w:rPr>
                <w:sz w:val="12"/>
                <w:szCs w:val="12"/>
                <w:color w:val="auto"/>
              </w:rPr>
            </w:pPr>
          </w:p>
        </w:tc>
        <w:tc>
          <w:tcPr>
            <w:tcW w:w="300" w:type="dxa"/>
            <w:vAlign w:val="bottom"/>
            <w:tcBorders>
              <w:bottom w:val="single" w:sz="8" w:color="CCEEFF"/>
            </w:tcBorders>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w w:val="83"/>
              </w:rPr>
              <w:t>2014</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Volumes</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4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Crude oil, refined products and NGL terminalling and</w:t>
            </w:r>
          </w:p>
        </w:tc>
        <w:tc>
          <w:tcPr>
            <w:tcW w:w="30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right w:val="single" w:sz="8" w:color="auto"/>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6"/>
                <w:szCs w:val="16"/>
                <w:color w:val="auto"/>
              </w:rPr>
            </w:pPr>
          </w:p>
        </w:tc>
        <w:tc>
          <w:tcPr>
            <w:tcW w:w="12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storage (average monthly capacity in millions of barrels)</w:t>
            </w: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4"/>
            <w:vMerge w:val="restart"/>
          </w:tcPr>
          <w:p>
            <w:pPr>
              <w:spacing w:after="0" w:line="195" w:lineRule="exact"/>
              <w:rPr>
                <w:sz w:val="20"/>
                <w:szCs w:val="20"/>
                <w:color w:val="auto"/>
              </w:rPr>
            </w:pPr>
            <w:r>
              <w:rPr>
                <w:rFonts w:ascii="Arial" w:cs="Arial" w:eastAsia="Arial" w:hAnsi="Arial"/>
                <w:sz w:val="18"/>
                <w:szCs w:val="18"/>
                <w:color w:val="auto"/>
                <w:w w:val="97"/>
              </w:rPr>
              <w:t>Rail load / unload volumes (average volumes in thousands of</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4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206</w:t>
            </w:r>
          </w:p>
        </w:tc>
        <w:tc>
          <w:tcPr>
            <w:tcW w:w="8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740" w:type="dxa"/>
            <w:vAlign w:val="bottom"/>
            <w:gridSpan w:val="4"/>
          </w:tcPr>
          <w:p>
            <w:pPr>
              <w:ind w:left="180"/>
              <w:spacing w:after="0"/>
              <w:rPr>
                <w:sz w:val="20"/>
                <w:szCs w:val="20"/>
                <w:color w:val="auto"/>
              </w:rPr>
            </w:pPr>
            <w:r>
              <w:rPr>
                <w:rFonts w:ascii="Arial" w:cs="Arial" w:eastAsia="Arial" w:hAnsi="Arial"/>
                <w:sz w:val="18"/>
                <w:szCs w:val="18"/>
                <w:color w:val="auto"/>
              </w:rPr>
              <w:t>barrels per day)</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Borders>
              <w:right w:val="single" w:sz="8" w:color="auto"/>
            </w:tcBorders>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gridSpan w:val="4"/>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Natural gas storage (average monthly working capacity in</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40" w:type="dxa"/>
            <w:vAlign w:val="bottom"/>
            <w:gridSpan w:val="4"/>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tcBorders>
              <w:right w:val="single" w:sz="8" w:color="auto"/>
            </w:tcBorders>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760" w:type="dxa"/>
            <w:vAlign w:val="bottom"/>
            <w:gridSpan w:val="3"/>
            <w:vMerge w:val="restart"/>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billions of cubic feet)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-1649730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-1649730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22" w:name="page23"/>
    <w:bookmarkEnd w:id="22"/>
    <w:p>
      <w:pPr>
        <w:spacing w:after="0" w:line="6" w:lineRule="exact"/>
        <w:rPr>
          <w:sz w:val="20"/>
          <w:szCs w:val="20"/>
          <w:color w:val="auto"/>
        </w:rPr>
      </w:pPr>
    </w:p>
    <w:p>
      <w:pPr>
        <w:ind w:left="180" w:hanging="179"/>
        <w:spacing w:after="0" w:line="258" w:lineRule="auto"/>
        <w:rPr>
          <w:sz w:val="20"/>
          <w:szCs w:val="20"/>
          <w:color w:val="auto"/>
        </w:rPr>
      </w:pPr>
      <w:r>
        <w:rPr>
          <w:rFonts w:ascii="Arial" w:cs="Arial" w:eastAsia="Arial" w:hAnsi="Arial"/>
          <w:sz w:val="18"/>
          <w:szCs w:val="18"/>
          <w:color w:val="auto"/>
        </w:rPr>
        <w:t>NGL fractionation (average volumes in thousands of barrels per day)</w:t>
      </w:r>
    </w:p>
    <w:p>
      <w:pPr>
        <w:spacing w:after="0" w:line="1" w:lineRule="exact"/>
        <w:rPr>
          <w:sz w:val="20"/>
          <w:szCs w:val="20"/>
          <w:color w:val="auto"/>
        </w:rPr>
      </w:pPr>
    </w:p>
    <w:p>
      <w:pPr>
        <w:ind w:left="180" w:right="520" w:hanging="179"/>
        <w:spacing w:after="0" w:line="279" w:lineRule="auto"/>
        <w:rPr>
          <w:sz w:val="20"/>
          <w:szCs w:val="20"/>
          <w:color w:val="auto"/>
        </w:rPr>
      </w:pPr>
      <w:r>
        <w:rPr>
          <w:rFonts w:ascii="Arial" w:cs="Arial" w:eastAsia="Arial" w:hAnsi="Arial"/>
          <w:sz w:val="18"/>
          <w:szCs w:val="18"/>
          <w:color w:val="auto"/>
        </w:rPr>
        <w:t xml:space="preserve">Facilities segment total (average monthly volumes in millions of barrels) </w:t>
      </w:r>
      <w:r>
        <w:rPr>
          <w:rFonts w:ascii="Arial" w:cs="Arial" w:eastAsia="Arial" w:hAnsi="Arial"/>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168"/>
        </w:trPr>
        <w:tc>
          <w:tcPr>
            <w:tcW w:w="1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Borders>
              <w:bottom w:val="single" w:sz="8" w:color="auto"/>
            </w:tcBorders>
            <w:gridSpan w:val="2"/>
          </w:tcPr>
          <w:p>
            <w:pPr>
              <w:spacing w:after="0"/>
              <w:rPr>
                <w:sz w:val="14"/>
                <w:szCs w:val="14"/>
                <w:color w:val="auto"/>
              </w:rPr>
            </w:pPr>
          </w:p>
        </w:tc>
        <w:tc>
          <w:tcPr>
            <w:tcW w:w="140" w:type="dxa"/>
            <w:vAlign w:val="bottom"/>
          </w:tcPr>
          <w:p>
            <w:pPr>
              <w:spacing w:after="0"/>
              <w:rPr>
                <w:sz w:val="14"/>
                <w:szCs w:val="14"/>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2"/>
        </w:trPr>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15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24"/>
                <w:szCs w:val="24"/>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-290830</wp:posOffset>
            </wp:positionV>
            <wp:extent cx="7246620"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4340" w:space="400"/>
            <w:col w:w="6680"/>
          </w:cols>
          <w:pgMar w:left="240" w:top="120" w:right="239" w:bottom="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right="180" w:hanging="11"/>
        <w:spacing w:after="0" w:line="277" w:lineRule="auto"/>
        <w:rPr>
          <w:sz w:val="20"/>
          <w:szCs w:val="20"/>
          <w:color w:val="auto"/>
        </w:rPr>
      </w:pPr>
      <w:r>
        <w:rPr>
          <w:rFonts w:ascii="Arial" w:cs="Arial" w:eastAsia="Arial" w:hAnsi="Arial"/>
          <w:sz w:val="18"/>
          <w:szCs w:val="18"/>
          <w:color w:val="auto"/>
        </w:rPr>
        <w:t>Volumes associated with assets employed through acquisitions and capital expansion projects represent total volumes for the number of months we employed the assets divided by the number of months in the period.</w:t>
      </w:r>
    </w:p>
    <w:p>
      <w:pPr>
        <w:spacing w:after="0" w:line="170" w:lineRule="exact"/>
        <w:rPr>
          <w:sz w:val="20"/>
          <w:szCs w:val="20"/>
          <w:color w:val="auto"/>
        </w:rPr>
      </w:pPr>
    </w:p>
    <w:p>
      <w:pPr>
        <w:ind w:left="20" w:hanging="7"/>
        <w:spacing w:after="0" w:line="302" w:lineRule="auto"/>
        <w:rPr>
          <w:sz w:val="20"/>
          <w:szCs w:val="20"/>
          <w:color w:val="auto"/>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200" w:lineRule="exact"/>
        <w:rPr>
          <w:sz w:val="20"/>
          <w:szCs w:val="20"/>
          <w:color w:val="auto"/>
        </w:rPr>
      </w:pPr>
    </w:p>
    <w:p>
      <w:pPr>
        <w:sectPr>
          <w:pgSz w:w="11900" w:h="16838" w:orient="portrait"/>
          <w:cols w:equalWidth="0" w:num="2">
            <w:col w:w="160" w:space="480"/>
            <w:col w:w="10780"/>
          </w:cols>
          <w:pgMar w:left="240" w:top="120" w:right="239" w:bottom="0" w:gutter="0" w:footer="0" w:header="0"/>
          <w:type w:val="continuous"/>
        </w:sectPr>
      </w:pPr>
    </w:p>
    <w:p>
      <w:pPr>
        <w:spacing w:after="0" w:line="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As noted in the table above, our Facilities segment revenues, less storage related costs, decreased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2015 as compared to the same period in 2014, while total volumes increased slightly. Our Facilities segment results for the comparative periods were impacted by:</w:t>
      </w:r>
    </w:p>
    <w:p>
      <w:pPr>
        <w:spacing w:after="0" w:line="181" w:lineRule="exact"/>
        <w:rPr>
          <w:sz w:val="20"/>
          <w:szCs w:val="20"/>
          <w:color w:val="auto"/>
        </w:rPr>
      </w:pPr>
    </w:p>
    <w:p>
      <w:pPr>
        <w:jc w:val="both"/>
        <w:ind w:left="660" w:right="420" w:hanging="328"/>
        <w:spacing w:after="0" w:line="264"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Rail Terminals —Revenues from our rail activities decreased by $9 million due to lower rail fees related to the movement of certain volumes of Bakken crude oil, primarily to our St. James rail terminal, partially offset by volumes and revenues from our Bakersfield rail terminal that came online in the fourth quarter of 2014.</w:t>
      </w:r>
    </w:p>
    <w:p>
      <w:pPr>
        <w:spacing w:after="0" w:line="181" w:lineRule="exact"/>
        <w:rPr>
          <w:rFonts w:ascii="Arial" w:cs="Arial" w:eastAsia="Arial" w:hAnsi="Arial"/>
          <w:sz w:val="18"/>
          <w:szCs w:val="18"/>
          <w:color w:val="auto"/>
        </w:rPr>
      </w:pPr>
    </w:p>
    <w:p>
      <w:pPr>
        <w:ind w:left="660" w:right="60" w:hanging="328"/>
        <w:spacing w:after="0" w:line="257"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NGL Storage, NGL Fractionation and Natural Gas Processing Activities — Revenues from our Canadian NGL storage, NGL fractionation and natural gas processing activities decreased by $7 million primarily due to unfavorable foreign currency effects of $9 million from the depreciation of CAD relative to USD. Excluding foreign currency effects, revenue increases from higher facility fees at certain of our fractionation and gas processing facilities were largely offset by lower physical processing gains related to component mix at our fractionation facilities and significantly lower NGL prices during the first quarter of 2015.</w:t>
      </w:r>
    </w:p>
    <w:p>
      <w:pPr>
        <w:spacing w:after="0" w:line="18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(excluding equity-indexed compensation expense) decreased during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2015 compared to the three months ended March 31, 2014 primarily due to lower gas and power costs. Other decreases in maintenance and repairs costs and certain joint venture expenses were offset by increases in property taxes and salary and related expenses primarily associated with new rail facilities. The decrease in field operating costs was also impacted by a $4 million favorable foreign exchange effect.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increase in maintenance capital for the three months ended March 31, 2015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2014 was primarily due to various tank projects and equipment replacements.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 we expect our segment profit to increase or decrease directionally with (i) increases or decreases in our Supply and Logistics segment volumes (which consist of lease gathering crude oil purchase volumes and NGL sales volumes),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We do not anticipate that future changes in revenues resulting from variances in commodity prices will be a primary driver of segment profit.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gridSpan w:val="5"/>
          </w:tcPr>
          <w:p>
            <w:pPr>
              <w:jc w:val="center"/>
              <w:ind w:right="550"/>
              <w:spacing w:after="0"/>
              <w:rPr>
                <w:sz w:val="20"/>
                <w:szCs w:val="20"/>
                <w:color w:val="auto"/>
              </w:rPr>
            </w:pPr>
            <w:r>
              <w:rPr>
                <w:rFonts w:ascii="Arial" w:cs="Arial" w:eastAsia="Arial" w:hAnsi="Arial"/>
                <w:sz w:val="14"/>
                <w:szCs w:val="14"/>
                <w:b w:val="1"/>
                <w:bCs w:val="1"/>
                <w:color w:val="auto"/>
                <w:w w:val="96"/>
              </w:rPr>
              <w:t>Favorable/(Unfavorable)</w:t>
            </w:r>
          </w:p>
        </w:tc>
        <w:tc>
          <w:tcPr>
            <w:tcW w:w="0" w:type="dxa"/>
            <w:vAlign w:val="bottom"/>
          </w:tcPr>
          <w:p>
            <w:pPr>
              <w:spacing w:after="0"/>
              <w:rPr>
                <w:sz w:val="1"/>
                <w:szCs w:val="1"/>
                <w:color w:val="auto"/>
              </w:rPr>
            </w:pPr>
          </w:p>
        </w:tc>
      </w:tr>
      <w:tr>
        <w:trPr>
          <w:trHeight w:val="171"/>
        </w:trPr>
        <w:tc>
          <w:tcPr>
            <w:tcW w:w="44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2"/>
              </w:rPr>
              <w:t>Variance</w:t>
            </w:r>
          </w:p>
        </w:tc>
        <w:tc>
          <w:tcPr>
            <w:tcW w:w="9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(5,353)</w:t>
            </w:r>
          </w:p>
        </w:tc>
        <w:tc>
          <w:tcPr>
            <w:tcW w:w="52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(10,975)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5,622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52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Equity-indexed compensation expense - operations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(3) (4)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52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 general and</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administrative</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0"/>
                <w:szCs w:val="20"/>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0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Borders>
              <w:right w:val="single" w:sz="8" w:color="auto"/>
            </w:tcBorders>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Maintenance capital</w:t>
            </w: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2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300" w:type="dxa"/>
            <w:vAlign w:val="bottom"/>
            <w:vMerge w:val="continue"/>
          </w:tcPr>
          <w:p>
            <w:pPr>
              <w:spacing w:after="0"/>
              <w:rPr>
                <w:sz w:val="20"/>
                <w:szCs w:val="20"/>
                <w:color w:val="auto"/>
              </w:rPr>
            </w:pP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44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2.37</w:t>
            </w:r>
          </w:p>
        </w:tc>
        <w:tc>
          <w:tcPr>
            <w:tcW w:w="2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28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0" w:right="239" w:bottom="0" w:gutter="0" w:footer="0" w:header="0"/>
          <w:type w:val="continuous"/>
        </w:sectPr>
      </w:pPr>
    </w:p>
    <w:bookmarkStart w:id="23" w:name="page24"/>
    <w:bookmarkEnd w:id="23"/>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2200" w:type="dxa"/>
            <w:vAlign w:val="bottom"/>
            <w:gridSpan w:val="3"/>
          </w:tcPr>
          <w:p>
            <w:pPr>
              <w:jc w:val="center"/>
              <w:ind w:left="779"/>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6"/>
              </w:rPr>
              <w:t>Favorable/(Unfavorable)</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2200" w:type="dxa"/>
            <w:vAlign w:val="bottom"/>
            <w:tcBorders>
              <w:bottom w:val="single" w:sz="8" w:color="auto"/>
            </w:tcBorders>
            <w:gridSpan w:val="3"/>
          </w:tcPr>
          <w:p>
            <w:pPr>
              <w:jc w:val="center"/>
              <w:ind w:left="779"/>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4"/>
                <w:szCs w:val="14"/>
                <w:b w:val="1"/>
                <w:bCs w:val="1"/>
                <w:color w:val="auto"/>
                <w:w w:val="92"/>
              </w:rPr>
              <w:t>Variance</w:t>
            </w:r>
          </w:p>
        </w:tc>
        <w:tc>
          <w:tcPr>
            <w:tcW w:w="9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 of barrels per day)</w:t>
            </w:r>
          </w:p>
        </w:tc>
        <w:tc>
          <w:tcPr>
            <w:tcW w:w="28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Volumes</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NGL sales</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286</w:t>
            </w:r>
          </w:p>
        </w:tc>
        <w:tc>
          <w:tcPr>
            <w:tcW w:w="52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7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Supply and Logistics segment total</w:t>
            </w:r>
          </w:p>
        </w:tc>
        <w:tc>
          <w:tcPr>
            <w:tcW w:w="13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vMerge w:val="continue"/>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30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220" w:type="dxa"/>
            <w:vAlign w:val="bottom"/>
            <w:tcBorders>
              <w:right w:val="single" w:sz="8" w:color="auto"/>
            </w:tcBorders>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40" w:orient="portrait"/>
          <w:cols w:equalWidth="0" w:num="1">
            <w:col w:w="11460"/>
          </w:cols>
          <w:pgMar w:left="240" w:top="320" w:right="199" w:bottom="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225" w:lineRule="exact"/>
        <w:rPr>
          <w:sz w:val="20"/>
          <w:szCs w:val="20"/>
          <w:color w:val="auto"/>
        </w:rPr>
      </w:pPr>
    </w:p>
    <w:p>
      <w:pPr>
        <w:ind w:left="20" w:right="120" w:hanging="11"/>
        <w:spacing w:after="0" w:line="277" w:lineRule="auto"/>
        <w:rPr>
          <w:sz w:val="20"/>
          <w:szCs w:val="20"/>
          <w:color w:val="auto"/>
        </w:rPr>
      </w:pPr>
      <w:r>
        <w:rPr>
          <w:rFonts w:ascii="Arial" w:cs="Arial" w:eastAsia="Arial" w:hAnsi="Arial"/>
          <w:sz w:val="18"/>
          <w:szCs w:val="18"/>
          <w:color w:val="auto"/>
        </w:rPr>
        <w:t>Purchases and related costs include interest expense (related to hedged inventory purchases) of $1 million and $2 million for the three months ended March 31, 2015 and 2014, respectively.</w:t>
      </w:r>
    </w:p>
    <w:p>
      <w:pPr>
        <w:spacing w:after="0" w:line="170"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following table presents the range of the NYMEX WTI benchmark price of crude oil during the periods indicated (in dollars per barrel):</w:t>
      </w:r>
    </w:p>
    <w:p>
      <w:pPr>
        <w:spacing w:after="0" w:line="200" w:lineRule="exact"/>
        <w:rPr>
          <w:sz w:val="20"/>
          <w:szCs w:val="20"/>
          <w:color w:val="auto"/>
        </w:rPr>
      </w:pPr>
    </w:p>
    <w:p>
      <w:pPr>
        <w:sectPr>
          <w:pgSz w:w="11900" w:h="16840" w:orient="portrait"/>
          <w:cols w:equalWidth="0" w:num="2">
            <w:col w:w="160" w:space="480"/>
            <w:col w:w="10820"/>
          </w:cols>
          <w:pgMar w:left="240" w:top="320" w:right="199" w:bottom="0" w:gutter="0" w:footer="0" w:header="0"/>
          <w:type w:val="continuous"/>
        </w:sectPr>
      </w:pPr>
    </w:p>
    <w:p>
      <w:pPr>
        <w:spacing w:after="0" w:line="28"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NYMEX WTI</w:t>
      </w:r>
    </w:p>
    <w:p>
      <w:pPr>
        <w:ind w:left="9320"/>
        <w:spacing w:after="0" w:line="236" w:lineRule="auto"/>
        <w:rPr>
          <w:sz w:val="20"/>
          <w:szCs w:val="20"/>
          <w:color w:val="auto"/>
        </w:rPr>
      </w:pPr>
      <w:r>
        <w:rPr>
          <w:rFonts w:ascii="Arial" w:cs="Arial" w:eastAsia="Arial" w:hAnsi="Arial"/>
          <w:sz w:val="14"/>
          <w:szCs w:val="14"/>
          <w:b w:val="1"/>
          <w:bCs w:val="1"/>
          <w:color w:val="auto"/>
        </w:rPr>
        <w:t>Crude Oil Price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140" w:type="dxa"/>
            <w:vAlign w:val="bottom"/>
            <w:tcBorders>
              <w:bottom w:val="single" w:sz="8" w:color="CCEEFF"/>
            </w:tcBorders>
          </w:tcPr>
          <w:p>
            <w:pPr>
              <w:spacing w:after="0"/>
              <w:rPr>
                <w:sz w:val="12"/>
                <w:szCs w:val="12"/>
                <w:color w:val="auto"/>
              </w:rPr>
            </w:pPr>
          </w:p>
        </w:tc>
        <w:tc>
          <w:tcPr>
            <w:tcW w:w="41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Low</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2015</w:t>
            </w:r>
          </w:p>
        </w:tc>
        <w:tc>
          <w:tcPr>
            <w:tcW w:w="4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Three months ended March 31, 2014</w:t>
            </w:r>
          </w:p>
        </w:tc>
        <w:tc>
          <w:tcPr>
            <w:tcW w:w="518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0"/>
                <w:szCs w:val="20"/>
                <w:color w:val="auto"/>
              </w:rPr>
            </w:pPr>
          </w:p>
        </w:tc>
      </w:tr>
      <w:tr>
        <w:trPr>
          <w:trHeight w:val="418"/>
        </w:trPr>
        <w:tc>
          <w:tcPr>
            <w:tcW w:w="4140" w:type="dxa"/>
            <w:vAlign w:val="bottom"/>
          </w:tcPr>
          <w:p>
            <w:pPr>
              <w:spacing w:after="0"/>
              <w:rPr>
                <w:sz w:val="24"/>
                <w:szCs w:val="24"/>
                <w:color w:val="auto"/>
              </w:rPr>
            </w:pPr>
          </w:p>
        </w:tc>
        <w:tc>
          <w:tcPr>
            <w:tcW w:w="4160" w:type="dxa"/>
            <w:vAlign w:val="bottom"/>
          </w:tcPr>
          <w:p>
            <w:pPr>
              <w:jc w:val="right"/>
              <w:ind w:right="2410"/>
              <w:spacing w:after="0"/>
              <w:rPr>
                <w:sz w:val="20"/>
                <w:szCs w:val="20"/>
                <w:color w:val="auto"/>
              </w:rPr>
            </w:pPr>
            <w:r>
              <w:rPr>
                <w:rFonts w:ascii="Arial" w:cs="Arial" w:eastAsia="Arial" w:hAnsi="Arial"/>
                <w:sz w:val="18"/>
                <w:szCs w:val="18"/>
                <w:color w:val="auto"/>
              </w:rPr>
              <w:t>32</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140" w:type="dxa"/>
            <w:vAlign w:val="bottom"/>
            <w:tcBorders>
              <w:bottom w:val="single" w:sz="8" w:color="010101"/>
            </w:tcBorders>
          </w:tcPr>
          <w:p>
            <w:pPr>
              <w:spacing w:after="0"/>
              <w:rPr>
                <w:sz w:val="11"/>
                <w:szCs w:val="11"/>
                <w:color w:val="auto"/>
              </w:rPr>
            </w:pPr>
          </w:p>
        </w:tc>
        <w:tc>
          <w:tcPr>
            <w:tcW w:w="416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decreased for the three months ended March 31, 2015 due to lower crude oil and NGL prices relative to the comparative 2014 period.</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discussion of items impacting Supply and Logistics segment profit and segment profit per barrel for the periods indicated.</w:t>
      </w:r>
    </w:p>
    <w:p>
      <w:pPr>
        <w:spacing w:after="0" w:line="23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Our Supply and Logistics segment revenues, net of purchases and related costs, decreased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2015 compared to the three months ended March 31, 2014. The following summarizes the more significant items in the comparative periods:</w:t>
      </w:r>
    </w:p>
    <w:p>
      <w:pPr>
        <w:spacing w:after="0" w:line="181" w:lineRule="exact"/>
        <w:rPr>
          <w:sz w:val="20"/>
          <w:szCs w:val="20"/>
          <w:color w:val="auto"/>
        </w:rPr>
      </w:pPr>
    </w:p>
    <w:p>
      <w:pPr>
        <w:ind w:left="660" w:right="320" w:hanging="328"/>
        <w:spacing w:after="0" w:line="259"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Crude Oil Operations — Net revenues from our crude oil supply and logistics activities decreased for the three months ended March 31, 2015 as compared to the same period in 2014, primarily driven by the compression of certain differentials during the 2015 period, which resulted in fewer opportunities to capture above-baseline margins as compared to the first quarter of 2014. Such unfavorable results were partially offset by incremental lease gathering revenues from higher volumes.</w:t>
      </w:r>
    </w:p>
    <w:p>
      <w:pPr>
        <w:spacing w:after="0" w:line="186" w:lineRule="exact"/>
        <w:rPr>
          <w:rFonts w:ascii="Arial" w:cs="Arial" w:eastAsia="Arial" w:hAnsi="Arial"/>
          <w:sz w:val="18"/>
          <w:szCs w:val="18"/>
          <w:color w:val="auto"/>
        </w:rPr>
      </w:pPr>
    </w:p>
    <w:p>
      <w:pPr>
        <w:ind w:left="660" w:right="260" w:hanging="328"/>
        <w:spacing w:after="0" w:line="259"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Gas Storage Commercial Optimization — During the first quarter of 2014, our natural gas storage commercial optimization activities were unfavorably impacted by costs incurred to manage deliverability requirements in conjunction with the extended period of severe cold weather. We did not incur similar costs during the first quarter of 2015 and, therefore, we experienced more favorable results from our natural gas storage activities in the 2015 period as compared to the first quarter of 2014.</w:t>
      </w:r>
    </w:p>
    <w:p>
      <w:pPr>
        <w:spacing w:after="0" w:line="186" w:lineRule="exact"/>
        <w:rPr>
          <w:rFonts w:ascii="Arial" w:cs="Arial" w:eastAsia="Arial" w:hAnsi="Arial"/>
          <w:sz w:val="18"/>
          <w:szCs w:val="18"/>
          <w:color w:val="auto"/>
        </w:rPr>
      </w:pPr>
    </w:p>
    <w:p>
      <w:pPr>
        <w:jc w:val="both"/>
        <w:ind w:left="660" w:right="260" w:hanging="328"/>
        <w:spacing w:after="0" w:line="264"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NGL Operations — Net revenues from our NGL operations increased for the three months ended March 31, 2015 as compared to the three months ended March 31, 2014. The favorable variance was driven by higher sales volumes during the end of our winter heating season, partially offset by increased facility fees.</w:t>
      </w:r>
    </w:p>
    <w:p>
      <w:pPr>
        <w:spacing w:after="0" w:line="181" w:lineRule="exact"/>
        <w:rPr>
          <w:rFonts w:ascii="Arial" w:cs="Arial" w:eastAsia="Arial" w:hAnsi="Arial"/>
          <w:sz w:val="18"/>
          <w:szCs w:val="18"/>
          <w:color w:val="auto"/>
        </w:rPr>
      </w:pPr>
    </w:p>
    <w:p>
      <w:pPr>
        <w:ind w:left="660" w:right="440" w:hanging="328"/>
        <w:spacing w:after="0" w:line="277"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Impact from Certain Derivative Activities, Net of Inventory Valuation Adjustments — The mark-to-market of certain of our derivative activities impacted our net revenues as shown in the table below (in millions):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Variance</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vMerge w:val="continue"/>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9"/>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Gains/(losses) from certain derivative activities net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of inventory valuation adjustments </w:t>
            </w:r>
            <w:r>
              <w:rPr>
                <w:rFonts w:ascii="Arial" w:cs="Arial" w:eastAsia="Arial" w:hAnsi="Arial"/>
                <w:sz w:val="23"/>
                <w:szCs w:val="23"/>
                <w:color w:val="auto"/>
                <w:vertAlign w:val="superscript"/>
              </w:rPr>
              <w:t>(1)</w:t>
            </w:r>
          </w:p>
        </w:tc>
        <w:tc>
          <w:tcPr>
            <w:tcW w:w="10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3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205740</wp:posOffset>
            </wp:positionV>
            <wp:extent cx="16205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right="200" w:hanging="644"/>
        <w:spacing w:after="0" w:line="273" w:lineRule="auto"/>
        <w:tabs>
          <w:tab w:leader="none" w:pos="1287"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Includes mark-to-market and other gains and losses resulting from certain derivative instruments that are related to underlying activities in another period (or the reversal of mark-to-market gains and losses from a prior period), gains and losses on certain derivatives that are related to investing activities (such as the purchase of linefill) and inventory valuation adjustments, as applicable. See Note 8 to our Condensed Consolidated Financial Statements for a comprehensive discussion regarding our derivatives and risk management activities.</w:t>
      </w:r>
    </w:p>
    <w:p>
      <w:pPr>
        <w:sectPr>
          <w:pgSz w:w="11900" w:h="16840" w:orient="portrait"/>
          <w:cols w:equalWidth="0" w:num="1">
            <w:col w:w="11460"/>
          </w:cols>
          <w:pgMar w:left="240" w:top="320" w:right="199" w:bottom="0" w:gutter="0" w:footer="0" w:header="0"/>
          <w:type w:val="continuous"/>
        </w:sectPr>
      </w:pPr>
    </w:p>
    <w:bookmarkStart w:id="24" w:name="page25"/>
    <w:bookmarkEnd w:id="24"/>
    <w:p>
      <w:pPr>
        <w:ind w:left="660" w:right="160" w:hanging="328"/>
        <w:spacing w:after="0" w:line="257"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Long-Term Inventory Costing Adjustment — Our operating results for the first quarter of 2015 were unfavorably impacted by a $38 million reduction in the value of our long-term crude oil and NGL inventory pools resulting from the decrease in the price of crude oil and NGL during the period. This costing adjustment is related to inventory necessary to meet our minimum inventory requirements in third-party assets and other working inventory that is needed for our commercial operations. We consider this inventory necessary to conduct our operations and we intend to carry this inventory for the foreseeable future.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80" w:hanging="328"/>
        <w:spacing w:after="0" w:line="277"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Exchange — During the three months ended March 31, 2015 and 2014, there were fluctuations in the value of CAD to USD, resulting in net foreign exchange gains on U.S. denominated net assets within our Canadian operations of $32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increase in field operating costs (excluding equity-indexed compensation expense) for the three months ended</w:t>
      </w:r>
    </w:p>
    <w:p>
      <w:pPr>
        <w:spacing w:after="0" w:line="3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March 31, 2015 compared to the three months ended March 31, 2014 was primarily due to increases in driver salaries and related expenses and trucking costs associated with higher crude oil lease gathering purchases volumes. The increase in field operating costs for the comparative periods was partially offset by a reduction in fuel costs due to lower average diesel fuel cost per gallon.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Depreciation and amortization expense increased for the three months ended March 31, 2015 compared to the three months ended March 31, 2014, primarily due to various internal growth projects completed since March 31, 2014.</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increase in interest expense for the three months ended March 31, 2015 over the three months ended March 31, 2014 was primarily due to a higher weighted average debt balance driven by an aggregate of $2.6 billion of PAA senior notes issued in 2014.</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Income tax expense decreased for the three months ended March 31, 2015 compared to the three months ended March 31, 2014 primarily as a result of a deferred income tax benefit associated with derivative mark-to-market losses in our Canadian operations. This benefit was partially offset by higher deferred tax expense associated with the amortization of our deferred tax asset, as well as an increase in current income tax expense as a result of increased year-over-year taxable earnings from our Canadian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(ii) borrowings under credit facilities or the PAA commercial paper program and (iii) funds received from PAA’s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the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PAA equity or debt securities. As of March 31, 2015, we had a working capital deficit of $77 million and approximately $4.4 billion of liquidity available to meet our ongoing operating, investing and financing needs as noted below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2015</w:t>
            </w:r>
          </w:p>
        </w:tc>
      </w:tr>
      <w:tr>
        <w:trPr>
          <w:trHeight w:val="210"/>
        </w:trPr>
        <w:tc>
          <w:tcPr>
            <w:tcW w:w="99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tcPr>
          <w:p>
            <w:pPr>
              <w:spacing w:after="0" w:line="216"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Availability under PAA senior unsecured 364-day revolving credit facility</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Availability under AAP senior secured revolving credit facility</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0"/>
        </w:trPr>
        <w:tc>
          <w:tcPr>
            <w:tcW w:w="99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r>
      <w:tr>
        <w:trPr>
          <w:trHeight w:val="210"/>
        </w:trPr>
        <w:tc>
          <w:tcPr>
            <w:tcW w:w="9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60" w:hanging="652"/>
        <w:spacing w:after="0" w:line="227" w:lineRule="auto"/>
        <w:tabs>
          <w:tab w:leader="none" w:pos="64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Borrowings under the PAA commercial paper program reduce available capacity under the facility. There were no commercial paper borrowings outstanding as of March 31, 2015.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w:t>
      </w:r>
    </w:p>
    <w:p>
      <w:pPr>
        <w:sectPr>
          <w:pgSz w:w="11900" w:h="16838" w:orient="portrait"/>
          <w:cols w:equalWidth="0" w:num="1">
            <w:col w:w="11420"/>
          </w:cols>
          <w:pgMar w:left="240" w:top="341" w:right="239" w:bottom="0" w:gutter="0" w:footer="0" w:header="0"/>
        </w:sectPr>
      </w:pPr>
    </w:p>
    <w:bookmarkStart w:id="25" w:name="page26"/>
    <w:bookmarkEnd w:id="25"/>
    <w:p>
      <w:pPr>
        <w:ind w:right="300"/>
        <w:spacing w:after="0" w:line="286" w:lineRule="auto"/>
        <w:rPr>
          <w:sz w:val="20"/>
          <w:szCs w:val="20"/>
          <w:color w:val="auto"/>
        </w:rPr>
      </w:pPr>
      <w:r>
        <w:rPr>
          <w:rFonts w:ascii="Arial" w:cs="Arial" w:eastAsia="Arial" w:hAnsi="Arial"/>
          <w:sz w:val="17"/>
          <w:szCs w:val="17"/>
          <w:color w:val="auto"/>
        </w:rPr>
        <w:t>operations or cash flows. Also, see Item 1A. “Risk Factors” of our 2014 Annual Report on Form 10-K for further discussion regarding such risks that may impact our liquidity and capital resources. Usage of the credit facilities, certain of which provide the backstop for the PAA commercial paper program, is subject to ongoing compliance with covenants. As of March 31, 2015, PAA and AAP were in compliance with all such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“Liquidity and Capital Resources—Cash Flow from Operating Activities” under Item 7 of our 2014 Annual Report on Form 10-K.</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Net cash provided by operating activities for the first three months of 2015 and 2014 was $729 million and $817 million, respectively, and primarily resulted from earnings from our operations. Additionally, as discussed further below, changes in our inventory levels during these periods impacted our cash flow from operating activities.</w:t>
      </w:r>
    </w:p>
    <w:p>
      <w:pPr>
        <w:spacing w:after="0" w:line="181"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During the three months ended March 31, 2015, we decreased the volume of inventory that we held, primarily due to the seasonal sale of NGL and natural gas inventory. The net proceeds received from liquidation of such inventory during the quarter were used to repay borrowings under the PAA commercial paper program and favorably impacted cash flow from operating activities. Additionally, lower inventory levels were further impacted by lower prices for such inventory stored at the end of the quarter compared to the prior year end. However, the favorable effects from liquidation of our NGL and natural gas inventory were partially offset by increased levels of crude oil inventory purchased and stored due to contango market conditions.</w:t>
      </w:r>
    </w:p>
    <w:p>
      <w:pPr>
        <w:spacing w:after="0" w:line="158"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During the first three months of 2014, we decreased the volume of our inventory, primarily due to the sale of NGL and natural gas inventory related to high demand for product used for heating during the extended 2014 winter season. The net proceeds received from liquidation of such inventory were used to repay borrowings under the PAA commercial paper program and favorably impacted cash flow from operating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25"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8"/>
          <w:szCs w:val="18"/>
          <w:color w:val="auto"/>
        </w:rPr>
        <w:t>In addition to operating needs discussed above, we also use cash for our acquisition activities and capital projects. We have made and will continue to make capital expenditures for acquisitions, expansion capital and maintenance capital.</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 xml:space="preserve">2015 Capital Projects. </w:t>
      </w:r>
      <w:r>
        <w:rPr>
          <w:rFonts w:ascii="Arial" w:cs="Arial" w:eastAsia="Arial" w:hAnsi="Arial"/>
          <w:sz w:val="18"/>
          <w:szCs w:val="18"/>
          <w:color w:val="auto"/>
        </w:rPr>
        <w:t>“See —Acquisitions and Capital Projects” for detail of our projected capital expenditures for the year ending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2015. We expect the majority of funding for our remaining 2015 capital program will be provided by borrowings under the PAA commercial paper program as well as through proceeds received from PAA’s March 2015 underwritten equity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a consolidated basis, our financing activities primarily relate to funding acquisitions, expansion capital projects and refinancing of debt maturities, as well as short-term working capital and hedged inventory borrowings related to our NGL business and contango market activities. Our financing activities have primarily consisted of PAA equity offerings, PAA senior notes offerings and borrowings and repayments under credit facilities or the PAA commercial paper program, as well as payment of distributions to our Class A shareholders and noncontrolling interests.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PAA Registration Statements. </w:t>
      </w:r>
      <w:r>
        <w:rPr>
          <w:rFonts w:ascii="Arial" w:cs="Arial" w:eastAsia="Arial" w:hAnsi="Arial"/>
          <w:sz w:val="18"/>
          <w:szCs w:val="18"/>
          <w:color w:val="auto"/>
        </w:rPr>
        <w:t>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up to an aggregate of $2.0 billion of debt or equity securities (“Traditional Shelf”). All issuances of PAA equity securities associated with PAA’s continuous offering program, as discussed further below, have been issued pursuant to the Traditional Shelf. At March 31, 2015, PAA had approximately $555 million of unsold securities available under the Traditional Shelf. PAA also has access to a universal shelf registration statement (“WKSI Shelf”), which provides it with the ability to offer and sell an unlimited amount of debt and equity securities, subject to market conditions and capital needs. PAA’s March 2015 underwritten equity offering, as discussed further below, was conducted under PAA’s WKSI Shelf.</w:t>
      </w:r>
    </w:p>
    <w:p>
      <w:pPr>
        <w:spacing w:after="0" w:line="18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i w:val="1"/>
          <w:iCs w:val="1"/>
          <w:color w:val="auto"/>
        </w:rPr>
        <w:t>PAA Continuous Offering Program</w:t>
      </w:r>
      <w:r>
        <w:rPr>
          <w:rFonts w:ascii="Arial" w:cs="Arial" w:eastAsia="Arial" w:hAnsi="Arial"/>
          <w:sz w:val="16"/>
          <w:szCs w:val="16"/>
          <w:color w:val="auto"/>
        </w:rPr>
        <w:t>. During the three months ended March 31, 2015, PAA issued an aggregate of approximately 1.1 million common</w:t>
      </w:r>
      <w:r>
        <w:rPr>
          <w:rFonts w:ascii="Arial" w:cs="Arial" w:eastAsia="Arial" w:hAnsi="Arial"/>
          <w:sz w:val="16"/>
          <w:szCs w:val="16"/>
          <w:i w:val="1"/>
          <w:iCs w:val="1"/>
          <w:color w:val="auto"/>
        </w:rPr>
        <w:t xml:space="preserve"> </w:t>
      </w:r>
      <w:r>
        <w:rPr>
          <w:rFonts w:ascii="Arial" w:cs="Arial" w:eastAsia="Arial" w:hAnsi="Arial"/>
          <w:sz w:val="16"/>
          <w:szCs w:val="16"/>
          <w:color w:val="auto"/>
        </w:rPr>
        <w:t>units under its continuous offering program, generating proceeds of $58 million. The net proceeds from sales were used for general partnership purposes.</w:t>
      </w:r>
    </w:p>
    <w:p>
      <w:pPr>
        <w:spacing w:after="0" w:line="12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i w:val="1"/>
          <w:iCs w:val="1"/>
          <w:color w:val="auto"/>
        </w:rPr>
        <w:t>Underwritten Offering</w:t>
      </w:r>
      <w:r>
        <w:rPr>
          <w:rFonts w:ascii="Arial" w:cs="Arial" w:eastAsia="Arial" w:hAnsi="Arial"/>
          <w:sz w:val="18"/>
          <w:szCs w:val="18"/>
          <w:color w:val="auto"/>
        </w:rPr>
        <w:t>. In March 2015, PAA completed an underwritten public offering of 21.0 million common units generating net proceeds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$1.0 billion, net of costs associated with the offering. A portion of the net proceeds from this offering were used to repay outstanding borrowings under PAA’s commercial paper program and for general partnership purposes, and we intend to use the remaining net proceeds for general partnership purposes, including expenditures for our 2015 capital program.</w:t>
      </w:r>
    </w:p>
    <w:p>
      <w:pPr>
        <w:spacing w:after="0" w:line="18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 xml:space="preserve">Credit Agreements, Commercial Paper Program and Indentures. </w:t>
      </w:r>
      <w:r>
        <w:rPr>
          <w:rFonts w:ascii="Arial" w:cs="Arial" w:eastAsia="Arial" w:hAnsi="Arial"/>
          <w:sz w:val="16"/>
          <w:szCs w:val="16"/>
          <w:color w:val="auto"/>
        </w:rPr>
        <w:t>The PAA credit agreements (which impact the ability to access the PAA</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paper program because they provide the backstop that supports PAA’s short-term credit ratings) the AAP credit agreement and the indentures governing PAA’s senior notes contain cross-default provisions. A default under the credit agreements would permit the lenders to accelerate the maturity of the outstanding debt. As long as PAA and AAP are in compliance with the provisions in the credit agreements, their ability to make distributions of available cash is not restricted. PAA and AAP were in compliance with the covenants contained in the credit agreements and indentures as of March 31, 2015.</w:t>
      </w:r>
    </w:p>
    <w:p>
      <w:pPr>
        <w:spacing w:after="0" w:line="15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On a consolidated basis, during the three months ended March 31, 2015 and 2014, we had net repayments on the credit agreements and PAA commercial paper program of $711 million and $123 million, respectively. The net repayments during both periods resulted primarily from cash flow from operating activities, including sales of NGL and natural gas inventory that was liquidated during the periods, as well as cash received from PAA’s equity activities.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January 2015, PAA entered into a new $1.0 billion, 364-day senior unsecured credit agreement. Borrowings, if any, accrue interest based, at PAA’s election, on either the Eurocurrency Rate or the Base Rate, as defined in the agreement, in each case plus a margin based on PAA’s credit rating at the applicable time.</w:t>
      </w:r>
    </w:p>
    <w:p>
      <w:pPr>
        <w:sectPr>
          <w:pgSz w:w="11900" w:h="16838" w:orient="portrait"/>
          <w:cols w:equalWidth="0" w:num="1">
            <w:col w:w="11420"/>
          </w:cols>
          <w:pgMar w:left="240" w:top="125" w:right="239" w:bottom="0" w:gutter="0" w:footer="0" w:header="0"/>
        </w:sectPr>
      </w:pPr>
    </w:p>
    <w:bookmarkStart w:id="26" w:name="page27"/>
    <w:bookmarkEnd w:id="26"/>
    <w:p>
      <w:pPr>
        <w:spacing w:after="0" w:line="1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PAA’s $150 million, 5.25% senior notes will mature in June 2015, and PAA’s $400 million, 3.95% senior notes will mature in September 2015. We intend to use borrowings under the PAA commercial paper program to repay these senior notes when they mature.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Paid to Our Class A Shareholders and Noncontrolling Interests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i w:val="1"/>
          <w:iCs w:val="1"/>
          <w:color w:val="auto"/>
        </w:rPr>
        <w:t xml:space="preserve">Distributions to our Class A shareholders. </w:t>
      </w:r>
      <w:r>
        <w:rPr>
          <w:rFonts w:ascii="Arial" w:cs="Arial" w:eastAsia="Arial" w:hAnsi="Arial"/>
          <w:sz w:val="16"/>
          <w:szCs w:val="16"/>
          <w:color w:val="auto"/>
        </w:rPr>
        <w:t>We distribute 100% of our available cash within 55 days following the end of each quarter to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of record. Available cash is generally defined as all of our cash and cash equivalents on hand at the end of each quarter less reserves established in the discretion of our general partner for future requirements. On May 15, 2015, we will pay a quarterly distribution of $0.222 per Class A share. This distribution represents a year-over-year distribution increase of approximately 30.2%. See Note 7 to our Condensed Consolidated Financial Statements for details of distributions paid. Also, see Item 5. “Market for Registrant’s Shares, Related Shareholder Matters and Issuer Purchases of Equity Securities—Cash Distribution Policy” included in our 2014 Annual Report on Form 10-K for additional discussion regarding distributions.</w:t>
      </w:r>
    </w:p>
    <w:p>
      <w:pPr>
        <w:spacing w:after="0" w:line="16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Distributions to noncontrolling interests represent amounts paid on interests in consolidated entities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owned by us. During the three months ended March 31, 2015 and 2014, we paid distributions of $346 million and $309 million, respectively, to noncontrolling interests.</w:t>
      </w:r>
    </w:p>
    <w:p>
      <w:pPr>
        <w:spacing w:after="0" w:line="181"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10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range in term from thirty-day evergreen to five years with a limited number of contracts extending up to nine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March 31, 2015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Remainder of</w:t>
            </w: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2020 and</w:t>
            </w:r>
          </w:p>
        </w:tc>
        <w:tc>
          <w:tcPr>
            <w:tcW w:w="180" w:type="dxa"/>
            <w:vAlign w:val="bottom"/>
          </w:tcPr>
          <w:p>
            <w:pPr>
              <w:spacing w:after="0"/>
              <w:rPr>
                <w:sz w:val="14"/>
                <w:szCs w:val="14"/>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Thereafter</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Long-term debt, including current</w:t>
            </w: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maturities and related interest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payments </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15,656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line="216"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533</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11,313</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Crude oil, natural gas, NGL and other</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purchases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5,034</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1,811</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3,608</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19,040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14,921</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37,151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652"/>
        <w:spacing w:after="0"/>
        <w:tabs>
          <w:tab w:leader="none" w:pos="64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Includes debt service payments, interest payments due on PAA’s senior notes, interest payments on long-term borrowings outstanding under the AAP credit agreement and the commitment fee on assumed available capacity under the PAA revolving credit facilities. Although there may be short-term borrowings under the PAA revolving credit facilities and the PAA commercial paper program, we historically repay and borrow at varying amounts. As such, we have included only the maximum commitment fee (as if no short-term borrowings were outstanding on the facilities or the PAA commercial paper program) in the amounts above.</w:t>
      </w:r>
    </w:p>
    <w:p>
      <w:pPr>
        <w:sectPr>
          <w:pgSz w:w="11900" w:h="16854" w:orient="portrait"/>
          <w:cols w:equalWidth="0" w:num="1">
            <w:col w:w="11420"/>
          </w:cols>
          <w:pgMar w:left="240" w:top="125" w:right="239" w:bottom="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20" w:hanging="11"/>
        <w:spacing w:after="0" w:line="277" w:lineRule="auto"/>
        <w:rPr>
          <w:sz w:val="20"/>
          <w:szCs w:val="20"/>
          <w:color w:val="auto"/>
        </w:rPr>
      </w:pPr>
      <w:r>
        <w:rPr>
          <w:rFonts w:ascii="Arial" w:cs="Arial" w:eastAsia="Arial" w:hAnsi="Arial"/>
          <w:sz w:val="18"/>
          <w:szCs w:val="18"/>
          <w:color w:val="auto"/>
        </w:rPr>
        <w:t>Leases are primarily for (i) surface rentals, (ii) office rent, (iii) pipeline assets and (iv) trucks, trailers and railcars. Includes both capital and operating leases as defined by FASB guidance.</w:t>
      </w:r>
    </w:p>
    <w:p>
      <w:pPr>
        <w:spacing w:after="0" w:line="170" w:lineRule="exact"/>
        <w:rPr>
          <w:sz w:val="20"/>
          <w:szCs w:val="20"/>
          <w:color w:val="auto"/>
        </w:rPr>
      </w:pPr>
    </w:p>
    <w:p>
      <w:pPr>
        <w:ind w:right="40" w:hanging="11"/>
        <w:spacing w:after="0" w:line="312" w:lineRule="auto"/>
        <w:rPr>
          <w:sz w:val="20"/>
          <w:szCs w:val="20"/>
          <w:color w:val="auto"/>
        </w:rPr>
      </w:pPr>
      <w:r>
        <w:rPr>
          <w:rFonts w:ascii="Arial" w:cs="Arial" w:eastAsia="Arial" w:hAnsi="Arial"/>
          <w:sz w:val="16"/>
          <w:szCs w:val="16"/>
          <w:color w:val="auto"/>
        </w:rPr>
        <w:t>Includes (i) other long-term liabilities, (ii) storage, processing and transportation agreements and (iii) non-cancelable commitments related to our capital expansion projects, including projected contributions for our share of the capital spending of our equity-method investments. Excludes a non-current liability of approximately $90 million related to derivative activity included in Crude oil, natural gas, NGL and other purchases.</w:t>
      </w:r>
    </w:p>
    <w:p>
      <w:pPr>
        <w:spacing w:after="0" w:line="147" w:lineRule="exact"/>
        <w:rPr>
          <w:sz w:val="20"/>
          <w:szCs w:val="20"/>
          <w:color w:val="auto"/>
        </w:rPr>
      </w:pPr>
    </w:p>
    <w:p>
      <w:pPr>
        <w:ind w:right="220" w:hanging="11"/>
        <w:spacing w:after="0" w:line="286" w:lineRule="auto"/>
        <w:rPr>
          <w:sz w:val="20"/>
          <w:szCs w:val="20"/>
          <w:color w:val="auto"/>
        </w:rPr>
      </w:pPr>
      <w:r>
        <w:rPr>
          <w:rFonts w:ascii="Arial" w:cs="Arial" w:eastAsia="Arial" w:hAnsi="Arial"/>
          <w:sz w:val="17"/>
          <w:szCs w:val="17"/>
          <w:color w:val="auto"/>
        </w:rPr>
        <w:t>Amounts are primarily based on estimated volumes and market prices based on average activity during March 2015.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66" w:lineRule="exact"/>
        <w:rPr>
          <w:sz w:val="20"/>
          <w:szCs w:val="20"/>
          <w:color w:val="auto"/>
        </w:rPr>
      </w:pPr>
    </w:p>
    <w:p>
      <w:pPr>
        <w:sectPr>
          <w:pgSz w:w="11900" w:h="16854" w:orient="portrait"/>
          <w:cols w:equalWidth="0" w:num="2">
            <w:col w:w="140" w:space="520"/>
            <w:col w:w="10760"/>
          </w:cols>
          <w:pgMar w:left="240" w:top="125" w:right="239" w:bottom="0" w:gutter="0" w:footer="0" w:header="0"/>
          <w:type w:val="continuous"/>
        </w:sectPr>
      </w:pPr>
    </w:p>
    <w:p>
      <w:pPr>
        <w:ind w:right="160" w:firstLine="648"/>
        <w:spacing w:after="0" w:line="342" w:lineRule="auto"/>
        <w:rPr>
          <w:sz w:val="20"/>
          <w:szCs w:val="20"/>
          <w:color w:val="auto"/>
        </w:rPr>
      </w:pPr>
      <w:r>
        <w:rPr>
          <w:rFonts w:ascii="Arial" w:cs="Arial" w:eastAsia="Arial" w:hAnsi="Arial"/>
          <w:sz w:val="16"/>
          <w:szCs w:val="16"/>
          <w:i w:val="1"/>
          <w:iCs w:val="1"/>
          <w:color w:val="auto"/>
        </w:rPr>
        <w:t xml:space="preserve">Letters of Credit. </w:t>
      </w:r>
      <w:r>
        <w:rPr>
          <w:rFonts w:ascii="Arial" w:cs="Arial" w:eastAsia="Arial" w:hAnsi="Arial"/>
          <w:sz w:val="16"/>
          <w:szCs w:val="16"/>
          <w:color w:val="auto"/>
        </w:rPr>
        <w:t>In connection with supply and logistics activities, we provide certain suppliers with irrevocable standby letters of credit to secure</w:t>
      </w:r>
      <w:r>
        <w:rPr>
          <w:rFonts w:ascii="Arial" w:cs="Arial" w:eastAsia="Arial" w:hAnsi="Arial"/>
          <w:sz w:val="16"/>
          <w:szCs w:val="16"/>
          <w:i w:val="1"/>
          <w:iCs w:val="1"/>
          <w:color w:val="auto"/>
        </w:rPr>
        <w:t xml:space="preserve"> </w:t>
      </w:r>
      <w:r>
        <w:rPr>
          <w:rFonts w:ascii="Arial" w:cs="Arial" w:eastAsia="Arial" w:hAnsi="Arial"/>
          <w:sz w:val="16"/>
          <w:szCs w:val="16"/>
          <w:color w:val="auto"/>
        </w:rPr>
        <w:t>our obligation for the purchase of crude oil, NGL and natural gas. Additionally, we issue letters of credit to support insurance programs and construction</w:t>
      </w:r>
    </w:p>
    <w:p>
      <w:pPr>
        <w:sectPr>
          <w:pgSz w:w="11900" w:h="16854" w:orient="portrait"/>
          <w:cols w:equalWidth="0" w:num="1">
            <w:col w:w="11420"/>
          </w:cols>
          <w:pgMar w:left="240" w:top="125" w:right="239" w:bottom="0" w:gutter="0" w:footer="0" w:header="0"/>
          <w:type w:val="continuous"/>
        </w:sectPr>
      </w:pPr>
    </w:p>
    <w:bookmarkStart w:id="27" w:name="page28"/>
    <w:bookmarkEnd w:id="27"/>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activities. At March 31, 2015 and December 31, 2014, we had outstanding letters of credit of approximately $83 million and $87 million, respectively.</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2014 Annual Report on Form 10-K.</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growth projects;</w:t>
      </w:r>
    </w:p>
    <w:p>
      <w:pPr>
        <w:spacing w:after="0" w:line="225" w:lineRule="exact"/>
        <w:rPr>
          <w:rFonts w:ascii="Arial" w:cs="Arial" w:eastAsia="Arial" w:hAnsi="Arial"/>
          <w:sz w:val="18"/>
          <w:szCs w:val="18"/>
          <w:color w:val="auto"/>
        </w:rPr>
      </w:pPr>
    </w:p>
    <w:p>
      <w:pPr>
        <w:ind w:left="980" w:right="200" w:hanging="324"/>
        <w:spacing w:after="0" w:line="259"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280" w:hanging="324"/>
        <w:spacing w:after="0" w:line="308" w:lineRule="auto"/>
        <w:tabs>
          <w:tab w:leader="none" w:pos="944" w:val="left"/>
        </w:tabs>
        <w:numPr>
          <w:ilvl w:val="0"/>
          <w:numId w:val="29"/>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236" w:lineRule="exact"/>
        <w:rPr>
          <w:rFonts w:ascii="Arial" w:cs="Arial" w:eastAsia="Arial" w:hAnsi="Arial"/>
          <w:sz w:val="17"/>
          <w:szCs w:val="17"/>
          <w:color w:val="auto"/>
        </w:rPr>
      </w:pPr>
    </w:p>
    <w:p>
      <w:pPr>
        <w:ind w:left="980" w:right="300" w:hanging="324"/>
        <w:spacing w:after="0" w:line="342" w:lineRule="auto"/>
        <w:tabs>
          <w:tab w:leader="none" w:pos="94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right="120" w:hanging="324"/>
        <w:spacing w:after="0" w:line="277"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ectPr>
          <w:pgSz w:w="11900" w:h="16874" w:orient="portrait"/>
          <w:cols w:equalWidth="0" w:num="1">
            <w:col w:w="11400"/>
          </w:cols>
          <w:pgMar w:left="240" w:top="125" w:right="259" w:bottom="0" w:gutter="0" w:footer="0" w:header="0"/>
        </w:sectPr>
      </w:pPr>
    </w:p>
    <w:bookmarkStart w:id="28" w:name="page29"/>
    <w:bookmarkEnd w:id="28"/>
    <w:p>
      <w:pPr>
        <w:ind w:left="940" w:hanging="284"/>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80" w:right="6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140" w:hanging="324"/>
        <w:spacing w:after="0" w:line="308" w:lineRule="auto"/>
        <w:tabs>
          <w:tab w:leader="none" w:pos="944" w:val="left"/>
        </w:tabs>
        <w:numPr>
          <w:ilvl w:val="0"/>
          <w:numId w:val="31"/>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2014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commodity price risk associated with the following commodities:</w:t>
      </w:r>
    </w:p>
    <w:p>
      <w:pPr>
        <w:spacing w:after="0" w:line="225" w:lineRule="exact"/>
        <w:rPr>
          <w:sz w:val="20"/>
          <w:szCs w:val="20"/>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w:t>
      </w:r>
    </w:p>
    <w:p>
      <w:pPr>
        <w:spacing w:after="0" w:line="225" w:lineRule="exact"/>
        <w:rPr>
          <w:sz w:val="20"/>
          <w:szCs w:val="20"/>
          <w:color w:val="auto"/>
        </w:rPr>
      </w:pPr>
    </w:p>
    <w:p>
      <w:pPr>
        <w:ind w:left="980" w:right="160"/>
        <w:spacing w:after="0" w:line="312" w:lineRule="auto"/>
        <w:rPr>
          <w:sz w:val="20"/>
          <w:szCs w:val="20"/>
          <w:color w:val="auto"/>
        </w:rPr>
      </w:pPr>
      <w:r>
        <w:rPr>
          <w:rFonts w:ascii="Arial" w:cs="Arial" w:eastAsia="Arial" w:hAnsi="Arial"/>
          <w:sz w:val="16"/>
          <w:szCs w:val="16"/>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47" w:lineRule="exact"/>
        <w:rPr>
          <w:sz w:val="20"/>
          <w:szCs w:val="20"/>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25" w:lineRule="exact"/>
        <w:rPr>
          <w:sz w:val="20"/>
          <w:szCs w:val="20"/>
          <w:color w:val="auto"/>
        </w:rPr>
      </w:pPr>
    </w:p>
    <w:p>
      <w:pPr>
        <w:jc w:val="both"/>
        <w:ind w:left="980" w:right="22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81" w:lineRule="exact"/>
        <w:rPr>
          <w:sz w:val="20"/>
          <w:szCs w:val="20"/>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980" w:right="40"/>
        <w:spacing w:after="0" w:line="286" w:lineRule="auto"/>
        <w:rPr>
          <w:sz w:val="20"/>
          <w:szCs w:val="20"/>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8 to our Condensed Consolidated Financial Statements for further discussion regarding our hedging strategies and objectives.</w:t>
      </w:r>
    </w:p>
    <w:p>
      <w:pPr>
        <w:spacing w:after="0" w:line="23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March 31, 2015 that would be expected from a 10% price increase or decrease is shown in the table below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Effect of 10%</w:t>
            </w:r>
          </w:p>
        </w:tc>
        <w:tc>
          <w:tcPr>
            <w:tcW w:w="16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Price Increase</w:t>
            </w:r>
          </w:p>
        </w:tc>
        <w:tc>
          <w:tcPr>
            <w:tcW w:w="16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Price Decrease</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w:t>
            </w:r>
          </w:p>
        </w:tc>
        <w:tc>
          <w:tcPr>
            <w:tcW w:w="1060" w:type="dxa"/>
            <w:vAlign w:val="bottom"/>
            <w:tcBorders>
              <w:top w:val="single" w:sz="8" w:color="auto"/>
            </w:tcBorders>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Natural gas</w:t>
            </w:r>
          </w:p>
        </w:tc>
        <w:tc>
          <w:tcPr>
            <w:tcW w:w="1060" w:type="dxa"/>
            <w:vAlign w:val="bottom"/>
          </w:tcPr>
          <w:p>
            <w:pPr>
              <w:spacing w:after="0"/>
              <w:rPr>
                <w:sz w:val="18"/>
                <w:szCs w:val="18"/>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8"/>
                <w:szCs w:val="18"/>
                <w:color w:val="auto"/>
              </w:rPr>
              <w:t>(24)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10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120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66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060" w:type="dxa"/>
            <w:vAlign w:val="bottom"/>
            <w:tcBorders>
              <w:top w:val="single" w:sz="8" w:color="auto"/>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144</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29" w:name="page30"/>
    <w:bookmarkEnd w:id="29"/>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use of variable rate debt and any forecasted issuances of fixed rate debt expose us to interest rate risk. Therefore, from time to time we use interest rate derivatives to hedge interest rate risk associated with anticipated debt issuances and, in certain cases, outstanding debt instruments. All of PAA’s senior notes are fixed rate notes and thus are not subject to interest rate risk. The majority of our variable rate debt at March 31, 2015, $559 million, is subject to interest rate re-sets, which range from one week to three months. The average interest rate on variable rate debt that was outstanding during the three months ended March 31, 2015 was 1.3%, based upon rates in effect during such period. The fair value of our interest rate derivatives is a liability of $144 million as of March 31, 2015. A 10% increase in the forward LIBOR curve as of March 31, 2015 would result in an increase of $57 million to the fair value of our interest rate derivatives. A 10% decrease in the forward LIBOR curve as of March 31, 2015 would result in a decrease of $57 million to the fair value of our interest rate derivatives. See Note 8 to our Condensed Consolidated Financial Statements for a discussion of our interest rate risk hedging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is a liability of $4 million as of March 31, 2015. A 10% increase in the exchange rate (USD-to-CAD) would result in a decrease of $15 million to the fair value of our foreign currency derivatives. A 10% decrease in the exchange rate (USD-to-CAD) would result in an increase of $15 million to the fair value of our foreign currency derivatives. See Note 8 to our Condensed Consolidated Financial Statements for a discussion of our currency exchange rate risk hedging.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March 31, 2015,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first quarter of 2015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information required by this item is included under the caption “Litigation” in Note 10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2014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ectPr>
          <w:pgSz w:w="11900" w:h="16838" w:orient="portrait"/>
          <w:cols w:equalWidth="0" w:num="1">
            <w:col w:w="11420"/>
          </w:cols>
          <w:pgMar w:left="240" w:top="341" w:right="239" w:bottom="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connection with our IPO and related transactions, the former owners of Plains All American GP LLC (the “Legacy Owners”) acquired the following interests (collectively, the “Stapled Interests”): (i) AAP units representing an economic limited partner interest in AAP; (ii) 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March 31, 2015, certain Legacy Owners or their permitted transferees exercised the Exchange Right, which resulted in the issuance of 15,819,735 Class A shares. The issuance of Class A shares in connection with the exercise of the Exchange Rights was exempt from the registration requirements of the Securities Act of 1933, as amended, pursuant to Section 4(2) thereof.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45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60" w:type="dxa"/>
            <w:vAlign w:val="bottom"/>
          </w:tcPr>
          <w:p>
            <w:pPr>
              <w:ind w:left="430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PAA GP HOLDINGS LLC,</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its general partner</w:t>
            </w: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tcPr>
          <w:p>
            <w:pPr>
              <w:ind w:left="43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L. Armstrong</w:t>
            </w:r>
          </w:p>
        </w:tc>
        <w:tc>
          <w:tcPr>
            <w:tcW w:w="40" w:type="dxa"/>
            <w:vAlign w:val="bottom"/>
          </w:tcPr>
          <w:p>
            <w:pPr>
              <w:spacing w:after="0"/>
              <w:rPr>
                <w:sz w:val="24"/>
                <w:szCs w:val="24"/>
                <w:color w:val="auto"/>
              </w:rPr>
            </w:pPr>
          </w:p>
        </w:tc>
      </w:tr>
      <w:tr>
        <w:trPr>
          <w:trHeight w:val="195"/>
        </w:trPr>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b w:val="1"/>
                <w:bCs w:val="1"/>
                <w:color w:val="auto"/>
              </w:rPr>
              <w:t>Greg L. Armstrong,</w:t>
            </w: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w w:val="99"/>
              </w:rPr>
              <w:t>Chairman of the Board, Chief Executive Officer and Director</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(Principal Executive Officer)</w:t>
            </w:r>
          </w:p>
        </w:tc>
        <w:tc>
          <w:tcPr>
            <w:tcW w:w="40" w:type="dxa"/>
            <w:vAlign w:val="bottom"/>
          </w:tcPr>
          <w:p>
            <w:pPr>
              <w:spacing w:after="0"/>
              <w:rPr>
                <w:sz w:val="20"/>
                <w:szCs w:val="20"/>
                <w:color w:val="auto"/>
              </w:rPr>
            </w:pPr>
          </w:p>
        </w:tc>
      </w:tr>
      <w:tr>
        <w:trPr>
          <w:trHeight w:val="432"/>
        </w:trPr>
        <w:tc>
          <w:tcPr>
            <w:tcW w:w="1420" w:type="dxa"/>
            <w:vAlign w:val="bottom"/>
            <w:gridSpan w:val="2"/>
          </w:tcPr>
          <w:p>
            <w:pPr>
              <w:spacing w:after="0"/>
              <w:rPr>
                <w:sz w:val="20"/>
                <w:szCs w:val="20"/>
                <w:color w:val="auto"/>
              </w:rPr>
            </w:pPr>
            <w:r>
              <w:rPr>
                <w:rFonts w:ascii="Arial" w:cs="Arial" w:eastAsia="Arial" w:hAnsi="Arial"/>
                <w:sz w:val="18"/>
                <w:szCs w:val="18"/>
                <w:color w:val="auto"/>
              </w:rPr>
              <w:t>May 8, 2015</w:t>
            </w:r>
          </w:p>
        </w:tc>
        <w:tc>
          <w:tcPr>
            <w:tcW w:w="48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tcPr>
          <w:p>
            <w:pPr>
              <w:ind w:left="43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 Swanson</w:t>
            </w:r>
          </w:p>
        </w:tc>
        <w:tc>
          <w:tcPr>
            <w:tcW w:w="40" w:type="dxa"/>
            <w:vAlign w:val="bottom"/>
          </w:tcPr>
          <w:p>
            <w:pPr>
              <w:spacing w:after="0"/>
              <w:rPr>
                <w:sz w:val="24"/>
                <w:szCs w:val="24"/>
                <w:color w:val="auto"/>
              </w:rPr>
            </w:pPr>
          </w:p>
        </w:tc>
      </w:tr>
      <w:tr>
        <w:trPr>
          <w:trHeight w:val="195"/>
        </w:trPr>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b w:val="1"/>
                <w:bCs w:val="1"/>
                <w:color w:val="auto"/>
              </w:rPr>
              <w:t>Al Swanson,</w:t>
            </w: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w w:val="96"/>
              </w:rPr>
              <w:t>Executive Vice President and Chief Financial Officer (Principal</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Financial Officer)</w:t>
            </w:r>
          </w:p>
        </w:tc>
        <w:tc>
          <w:tcPr>
            <w:tcW w:w="40" w:type="dxa"/>
            <w:vAlign w:val="bottom"/>
          </w:tcPr>
          <w:p>
            <w:pPr>
              <w:spacing w:after="0"/>
              <w:rPr>
                <w:sz w:val="20"/>
                <w:szCs w:val="20"/>
                <w:color w:val="auto"/>
              </w:rPr>
            </w:pPr>
          </w:p>
        </w:tc>
      </w:tr>
      <w:tr>
        <w:trPr>
          <w:trHeight w:val="432"/>
        </w:trPr>
        <w:tc>
          <w:tcPr>
            <w:tcW w:w="1420" w:type="dxa"/>
            <w:vAlign w:val="bottom"/>
            <w:gridSpan w:val="2"/>
          </w:tcPr>
          <w:p>
            <w:pPr>
              <w:spacing w:after="0"/>
              <w:rPr>
                <w:sz w:val="20"/>
                <w:szCs w:val="20"/>
                <w:color w:val="auto"/>
              </w:rPr>
            </w:pPr>
            <w:r>
              <w:rPr>
                <w:rFonts w:ascii="Arial" w:cs="Arial" w:eastAsia="Arial" w:hAnsi="Arial"/>
                <w:sz w:val="18"/>
                <w:szCs w:val="18"/>
                <w:color w:val="auto"/>
              </w:rPr>
              <w:t>May 8, 2015</w:t>
            </w:r>
          </w:p>
        </w:tc>
        <w:tc>
          <w:tcPr>
            <w:tcW w:w="48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tcPr>
          <w:p>
            <w:pPr>
              <w:ind w:left="43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Herbold</w:t>
            </w:r>
          </w:p>
        </w:tc>
        <w:tc>
          <w:tcPr>
            <w:tcW w:w="40" w:type="dxa"/>
            <w:vAlign w:val="bottom"/>
          </w:tcPr>
          <w:p>
            <w:pPr>
              <w:spacing w:after="0"/>
              <w:rPr>
                <w:sz w:val="24"/>
                <w:szCs w:val="24"/>
                <w:color w:val="auto"/>
              </w:rPr>
            </w:pPr>
          </w:p>
        </w:tc>
      </w:tr>
      <w:tr>
        <w:trPr>
          <w:trHeight w:val="195"/>
        </w:trPr>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b w:val="1"/>
                <w:bCs w:val="1"/>
                <w:color w:val="auto"/>
              </w:rPr>
              <w:t>Chris Herbold,</w:t>
            </w: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Vice President —Accounting and Chief Accounting Officer</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(Principal Accounting Officer)</w:t>
            </w:r>
          </w:p>
        </w:tc>
        <w:tc>
          <w:tcPr>
            <w:tcW w:w="40" w:type="dxa"/>
            <w:vAlign w:val="bottom"/>
          </w:tcPr>
          <w:p>
            <w:pPr>
              <w:spacing w:after="0"/>
              <w:rPr>
                <w:sz w:val="20"/>
                <w:szCs w:val="20"/>
                <w:color w:val="auto"/>
              </w:rPr>
            </w:pPr>
          </w:p>
        </w:tc>
      </w:tr>
      <w:tr>
        <w:trPr>
          <w:trHeight w:val="432"/>
        </w:trPr>
        <w:tc>
          <w:tcPr>
            <w:tcW w:w="1420" w:type="dxa"/>
            <w:vAlign w:val="bottom"/>
            <w:gridSpan w:val="2"/>
          </w:tcPr>
          <w:p>
            <w:pPr>
              <w:spacing w:after="0"/>
              <w:rPr>
                <w:sz w:val="20"/>
                <w:szCs w:val="20"/>
                <w:color w:val="auto"/>
              </w:rPr>
            </w:pPr>
            <w:r>
              <w:rPr>
                <w:rFonts w:ascii="Arial" w:cs="Arial" w:eastAsia="Arial" w:hAnsi="Arial"/>
                <w:sz w:val="18"/>
                <w:szCs w:val="18"/>
                <w:color w:val="auto"/>
              </w:rPr>
              <w:t>May 8, 2015</w:t>
            </w:r>
          </w:p>
        </w:tc>
        <w:tc>
          <w:tcPr>
            <w:tcW w:w="48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tcPr>
          <w:p>
            <w:pPr>
              <w:ind w:left="4200"/>
              <w:spacing w:after="0"/>
              <w:rPr>
                <w:sz w:val="20"/>
                <w:szCs w:val="20"/>
                <w:color w:val="auto"/>
              </w:rPr>
            </w:pPr>
            <w:r>
              <w:rPr>
                <w:rFonts w:ascii="Arial" w:cs="Arial" w:eastAsia="Arial" w:hAnsi="Arial"/>
                <w:sz w:val="18"/>
                <w:szCs w:val="18"/>
                <w:color w:val="auto"/>
              </w:rPr>
              <w:t>43</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860" w:type="dxa"/>
            <w:vAlign w:val="bottom"/>
            <w:tcBorders>
              <w:bottom w:val="single" w:sz="8" w:color="010101"/>
            </w:tcBorders>
          </w:tcPr>
          <w:p>
            <w:pPr>
              <w:spacing w:after="0"/>
              <w:rPr>
                <w:sz w:val="11"/>
                <w:szCs w:val="11"/>
                <w:color w:val="auto"/>
              </w:rPr>
            </w:pPr>
          </w:p>
        </w:tc>
        <w:tc>
          <w:tcPr>
            <w:tcW w:w="5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420" w:type="dxa"/>
            <w:vAlign w:val="bottom"/>
            <w:gridSpan w:val="2"/>
          </w:tcPr>
          <w:p>
            <w:pPr>
              <w:spacing w:after="0"/>
              <w:rPr>
                <w:rFonts w:ascii="Arial" w:cs="Arial" w:eastAsia="Arial" w:hAnsi="Arial"/>
                <w:sz w:val="18"/>
                <w:szCs w:val="18"/>
                <w:color w:val="0000EE"/>
                <w:w w:val="98"/>
              </w:rPr>
            </w:pPr>
            <w:hyperlink w:anchor="page1">
              <w:r>
                <w:rPr>
                  <w:rFonts w:ascii="Arial" w:cs="Arial" w:eastAsia="Arial" w:hAnsi="Arial"/>
                  <w:sz w:val="18"/>
                  <w:szCs w:val="18"/>
                  <w:color w:val="0000EE"/>
                  <w:w w:val="98"/>
                </w:rPr>
                <w:t>Table of Contents</w:t>
              </w:r>
            </w:hyperlink>
          </w:p>
        </w:tc>
        <w:tc>
          <w:tcPr>
            <w:tcW w:w="48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2"/>
          </w:tcPr>
          <w:p>
            <w:pPr>
              <w:ind w:left="360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w w:val="99"/>
              </w:rPr>
              <w:t>—   Certificate of Limited Partnership of Plains GP Holdings, L.P. (incorporated by reference to Exhibit 3.1 to our Registration</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60" w:type="dxa"/>
            <w:vAlign w:val="bottom"/>
          </w:tcPr>
          <w:p>
            <w:pPr>
              <w:ind w:left="540"/>
              <w:spacing w:after="0"/>
              <w:rPr>
                <w:sz w:val="20"/>
                <w:szCs w:val="20"/>
                <w:color w:val="auto"/>
              </w:rPr>
            </w:pPr>
            <w:r>
              <w:rPr>
                <w:rFonts w:ascii="Arial" w:cs="Arial" w:eastAsia="Arial" w:hAnsi="Arial"/>
                <w:sz w:val="18"/>
                <w:szCs w:val="18"/>
                <w:color w:val="auto"/>
                <w:w w:val="93"/>
              </w:rPr>
              <w:t>Statement on Form S-1 (333-190227) filed July 29, 2013).</w:t>
            </w:r>
          </w:p>
        </w:tc>
        <w:tc>
          <w:tcPr>
            <w:tcW w:w="51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2"/>
              </w:rPr>
              <w:t>—   Amended and Restated Agreement of Limited Partnership of Plains GP Holdings, L.P. dated as of October 21, 2013 (incorporated</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by reference to Exhibit 3.1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7"/>
              </w:rPr>
              <w:t>—   Certificate of Formation of PAA GP Holdings LLC (incorporated by reference to Exhibit 3.3 to our Registration Statement on</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Form S-1 (333-190227) filed July 29,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rPr>
              <w:t>—   Amended and Restated Limited Liability Company Agreement of PAA GP Holdings LLC dated as of October 21, 2013</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(incorporated by reference to Exhibit 3.2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4"/>
              </w:rPr>
              <w:t>—   Amendment No. 1 dated as of December 31, 2013 to the Amended and Restated Limited Liability Company Agreement of PAA</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9"/>
              </w:rPr>
              <w:t>GP Holdings LLC (incorporated by reference to Exhibit 3.2 to our Current Report on Form 8-K filed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4"/>
              </w:rPr>
              <w:t>—   Fourth Amended and Restated Agreement of Limited Partnership of Plains All American Pipeline, L.P. dated as of May 17, 2012</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(incorporated by reference to Exhibit 3.1 to PAA’s Current Report on Form 8-K filed May 23,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5"/>
              </w:rPr>
              <w:t>—   Amendment No. 1 dated October 1, 2012 to the Fourth Amended and Restated Agreement of Limited Partnership of Plains All</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4"/>
              </w:rPr>
              <w:t>American Pipeline, L.P. (incorporated by reference to Exhibit 3.1 to PAA’s Current Report on Form 8-K filed October 2,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2"/>
              </w:rPr>
              <w:t>—   Amendment No. 2 dated December 31, 2013 to the Fourth Amended and Restated Agreement of Limited Partnership of Plains All</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4"/>
              </w:rPr>
              <w:t>American Pipeline, L.P. (incorporated by reference to Exhibit 3.3 to our Current Report on Form 8-K filed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7"/>
              </w:rPr>
              <w:t>—   Sixth Amended and Restated Limited Liability Company Agreement of Plains All American GP LLC dated October 21, 2013</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(incorporated by reference to Exhibit 3.4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5"/>
              </w:rPr>
              <w:t>—   Seventh Amended and Restated Limited Partnership Agreement of Plains AAP, L.P. dated October 21, 2013 (incorporated by</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reference to Exhibit 3.3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4"/>
              </w:rPr>
              <w:t>—   Amendment No. 1 dated December 31, 2013 to Seventh Amended and Restated Limited Partnership Agreement of Plains AAP,</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L.P. (incorporated by reference to Exhibit 3.1 to our Current Report on Form 8-K filed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7"/>
              </w:rPr>
              <w:t>—   Limited Liability Company Agreement of PAA GP LLC dated December 28, 2007 (incorporated by reference to Exhibit 3.3 to</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PAA’s Current Report on Form 8-K filed January 4,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3"/>
              </w:rPr>
              <w:t>—   Indenture dated September 25, 2002 among Plains All American Pipeline, L.P., PAA Finance Corp. and Wachovia Bank, National</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4"/>
              </w:rPr>
              <w:t>Association, as trustee (incorporated by reference to Exhibit 4.1 to PAA’s Quarterly Report on Form 10-Q for the quarter ended</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September 30, 2002).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3"/>
              </w:rPr>
              <w:t>—   Fourth Supplemental Indenture (Series A and Series B 5.875% Senior Notes due 2016) dated August 12, 2004 among Plains All</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9"/>
              </w:rPr>
              <w:t>as trustee (incorporated by reference to Exhibit 4.5 to PAA’s Registration Statement on Form S-4, File No. 333-121168).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8"/>
              </w:rPr>
              <w:t>—   Fifth Supplemental Indenture (Series A and Series B 5.25% Senior Notes due 2015) dated May 27, 2005 among Plains All</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as trustee (incorporated by reference to Exhibit 4.1 to PAA’s Current Report on Form 8-K filed May 31, 2005).</w:t>
            </w:r>
          </w:p>
        </w:tc>
      </w:tr>
      <w:tr>
        <w:trPr>
          <w:trHeight w:val="432"/>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Arial" w:cs="Arial" w:eastAsia="Arial" w:hAnsi="Arial"/>
                <w:sz w:val="18"/>
                <w:szCs w:val="18"/>
                <w:color w:val="auto"/>
              </w:rPr>
              <w:t>44</w:t>
            </w:r>
          </w:p>
        </w:tc>
      </w:tr>
      <w:tr>
        <w:trPr>
          <w:trHeight w:val="132"/>
        </w:trPr>
        <w:tc>
          <w:tcPr>
            <w:tcW w:w="1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40" w:type="dxa"/>
            <w:vAlign w:val="bottom"/>
            <w:tcBorders>
              <w:bottom w:val="single" w:sz="8" w:color="010101"/>
            </w:tcBorders>
          </w:tcPr>
          <w:p>
            <w:pPr>
              <w:spacing w:after="0"/>
              <w:rPr>
                <w:sz w:val="11"/>
                <w:szCs w:val="11"/>
                <w:color w:val="auto"/>
              </w:rPr>
            </w:pPr>
          </w:p>
        </w:tc>
      </w:tr>
      <w:tr>
        <w:trPr>
          <w:trHeight w:val="523"/>
        </w:trPr>
        <w:tc>
          <w:tcPr>
            <w:tcW w:w="1420" w:type="dxa"/>
            <w:vAlign w:val="bottom"/>
            <w:gridSpan w:val="2"/>
          </w:tcPr>
          <w:p>
            <w:pPr>
              <w:spacing w:after="0"/>
              <w:rPr>
                <w:rFonts w:ascii="Arial" w:cs="Arial" w:eastAsia="Arial" w:hAnsi="Arial"/>
                <w:sz w:val="18"/>
                <w:szCs w:val="18"/>
                <w:color w:val="0000EE"/>
                <w:w w:val="98"/>
              </w:rPr>
            </w:pPr>
            <w:hyperlink w:anchor="page1">
              <w:r>
                <w:rPr>
                  <w:rFonts w:ascii="Arial" w:cs="Arial" w:eastAsia="Arial" w:hAnsi="Arial"/>
                  <w:sz w:val="18"/>
                  <w:szCs w:val="18"/>
                  <w:color w:val="0000EE"/>
                  <w:w w:val="98"/>
                </w:rPr>
                <w:t>Table of Contents</w:t>
              </w:r>
            </w:hyperlink>
          </w:p>
        </w:tc>
        <w:tc>
          <w:tcPr>
            <w:tcW w:w="1004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7"/>
              </w:rPr>
              <w:t>—   Sixth Supplemental Indenture (Series A and Series B 6.70% Senior Notes due 2036) dated May 12, 2006 among Plains All</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as trustee (incorporated by reference to Exhibit 4.1 to PAA’s Current Report on Form 8-K filed May 12,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4"/>
              </w:rPr>
              <w:t>—   Ninth Supplemental Indenture (Series A and Series B 6.125% Senior Notes due 2017) dated October 30, 2006 among Plains All</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4"/>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trustee (incorporated by reference to Exhibit 4.1 to PAA’s Current Report on Form 8-K filed October 30,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3"/>
              </w:rPr>
              <w:t>—   Tenth Supplemental Indenture (Series A and Series B 6.650% Senior Notes due 2037) dated October 30, 2006 among Plains All</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4"/>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trustee (incorporated by reference to Exhibit 4.2 to PAA’s Current Report on Form 8-K filed October 30,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3"/>
              </w:rPr>
              <w:t>—   Thirteenth Supplemental Indenture (Series A and Series B 6.50% Senior Notes due 2018) dated April 23, 2008 among Plains All</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4"/>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trustee (incorporated by reference to Exhibit 4.1 to PAA’s Current Report on Form 8-K filed April 23,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3"/>
              </w:rPr>
              <w:t>—   Fifteenth Supplemental Indenture (8.75% Senior Notes due 2019) dated April 20, 2009 among Plains All American Pipeline, L.P.,</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4"/>
              </w:rPr>
              <w:t>PAA Finance Corp., the Subsidiary Guarantors named therein and U.S. Bank National Association, as trustee (incorporated by</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reference to Exhibit 4.1 to PAA’s Current Report on Form 8-K filed April 20, 2009).</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7"/>
              </w:rPr>
              <w:t>—   Seventeenth Supplemental Indenture (5.75% Senior Notes due 2020) dated September 4, 2009 among Plains All American</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5"/>
              </w:rPr>
              <w:t>Pipeline, L.P., PAA Finance Corp., the Subsidiary Guarantors named therein and U.S. Bank National Association, as trustee</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(incorporated by reference to Exhibit 4.1 to PAA’s Current Report on Form 8-K filed September 4, 2009).</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2"/>
              </w:rPr>
              <w:t>—   Eighteenth Supplemental Indenture (3.95% Senior Notes due 2015) dated July 14, 2010 among Plains All American Pipeline, L.P.,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-3954780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-3954780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4"/>
              </w:rPr>
              <w:t>PAA Finance Corp., the Subsidiary Guarantors named therein and U.S. Bank National Association, as trustee (incorporated by</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reference to Exhibit 4.1 to PAA’s Current Report on Form 8-K filed July 13, 2010).</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4.11</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3"/>
              </w:rPr>
              <w:t>—   Nineteenth Supplemental Indenture (5.00% Senior Notes due 2021) dated January 14, 2011 among Plains All American Pipeline,</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2"/>
              </w:rPr>
              <w:t>L.P., PAA Finance Corp., the Subsidiary Guarantors named therein and U.S. Bank National Association, as trustee (incorporated</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by reference to Exhibit 4.1 to PAA’s Current Report on Form 8-K filed January 11, 2011).</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4.12</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5"/>
              </w:rPr>
              <w:t>—   Twentieth Supplemental Indenture (3.65% Senior Notes due 2022) dated March 22, 2012 among Plains All American Pipeline,</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1"/>
              </w:rPr>
              <w:t>L.P., PAA Finance Corp and U.S. Bank National Association, as trustee (incorporated by reference to Exhibit 4.1 to PAA’s Current</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Report on Form 8-K filed March 26, 2012).</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4.13</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3"/>
              </w:rPr>
              <w:t>—   Twenty-First Supplemental Indenture (5.15% Senior Notes due 2042) dated March 22, 2012 among Plains All American Pipeline,</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1"/>
              </w:rPr>
              <w:t>L.P., PAA Finance Corp and U.S. Bank National Association, as trustee (incorporated by reference to Exhibit 4.3 to PAA’s Current</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Report on Form 8-K filed March 26, 2012).</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4.14</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6"/>
              </w:rPr>
              <w:t>—   Twenty-Second Supplemental Indenture (2.85% Senior Notes due 2023) dated December 10, 2012, by and among Plains All</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8"/>
              </w:rPr>
              <w:t>American Pipeline, L.P., PAA Finance Corp. and U.S. Bank National Association, as trustee (incorporated by reference to</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Exhibit 4.1 to PAA’s Current Report on Form 8-K filed December 12, 2012).</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4.15</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8"/>
              </w:rPr>
              <w:t>—   Twenty-Third Supplemental Indenture (4.30% Senior Notes due 2043) dated December 10, 2012, by and among Plains All</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8"/>
              </w:rPr>
              <w:t>American Pipeline, L.P., PAA Finance Corp. and U.S. Bank National Association, as trustee (incorporated by reference to</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Exhibit 4.3 to PAA’s Current Report on Form 8-K filed December 12, 2012).</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4.16</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w w:val="92"/>
              </w:rPr>
              <w:t>—   Twenty-Fourth Supplemental Indenture (3.85% Senior Notes due 2023) dated August 15, 2013, by and among Plains All American</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5"/>
              </w:rPr>
              <w:t>Pipeline, L.P., PAA Finance Corp. and U.S. Bank National Association, as trustee (incorporated by reference to Exhibit 4.1 to</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PAA’s Current Report on Form 8-K filed August 15, 2013).</w:t>
            </w:r>
          </w:p>
        </w:tc>
      </w:tr>
      <w:tr>
        <w:trPr>
          <w:trHeight w:val="432"/>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Arial" w:cs="Arial" w:eastAsia="Arial" w:hAnsi="Arial"/>
                <w:sz w:val="18"/>
                <w:szCs w:val="18"/>
                <w:color w:val="auto"/>
              </w:rPr>
              <w:t>45</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40" w:type="dxa"/>
            <w:vAlign w:val="bottom"/>
            <w:tcBorders>
              <w:bottom w:val="single" w:sz="8" w:color="010101"/>
            </w:tcBorders>
          </w:tcPr>
          <w:p>
            <w:pPr>
              <w:spacing w:after="0"/>
              <w:rPr>
                <w:sz w:val="11"/>
                <w:szCs w:val="11"/>
                <w:color w:val="auto"/>
              </w:rPr>
            </w:pPr>
          </w:p>
        </w:tc>
      </w:tr>
      <w:tr>
        <w:trPr>
          <w:trHeight w:val="523"/>
        </w:trPr>
        <w:tc>
          <w:tcPr>
            <w:tcW w:w="1420" w:type="dxa"/>
            <w:vAlign w:val="bottom"/>
            <w:gridSpan w:val="3"/>
          </w:tcPr>
          <w:p>
            <w:pPr>
              <w:spacing w:after="0"/>
              <w:rPr>
                <w:rFonts w:ascii="Arial" w:cs="Arial" w:eastAsia="Arial" w:hAnsi="Arial"/>
                <w:sz w:val="18"/>
                <w:szCs w:val="18"/>
                <w:color w:val="0000EE"/>
                <w:w w:val="98"/>
              </w:rPr>
            </w:pPr>
            <w:hyperlink w:anchor="page1">
              <w:r>
                <w:rPr>
                  <w:rFonts w:ascii="Arial" w:cs="Arial" w:eastAsia="Arial" w:hAnsi="Arial"/>
                  <w:sz w:val="18"/>
                  <w:szCs w:val="18"/>
                  <w:color w:val="0000EE"/>
                  <w:w w:val="98"/>
                </w:rPr>
                <w:t>Table of Contents</w:t>
              </w:r>
            </w:hyperlink>
          </w:p>
        </w:tc>
        <w:tc>
          <w:tcPr>
            <w:tcW w:w="10040" w:type="dxa"/>
            <w:vAlign w:val="bottom"/>
          </w:tcPr>
          <w:p>
            <w:pPr>
              <w:spacing w:after="0"/>
              <w:rPr>
                <w:sz w:val="24"/>
                <w:szCs w:val="24"/>
                <w:color w:val="auto"/>
              </w:rPr>
            </w:pPr>
          </w:p>
        </w:tc>
      </w:tr>
      <w:tr>
        <w:trPr>
          <w:trHeight w:val="438"/>
        </w:trPr>
        <w:tc>
          <w:tcPr>
            <w:tcW w:w="34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1"/>
              </w:rPr>
              <w:t>4.17</w:t>
            </w:r>
          </w:p>
        </w:tc>
        <w:tc>
          <w:tcPr>
            <w:tcW w:w="9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40" w:type="dxa"/>
            <w:vAlign w:val="bottom"/>
          </w:tcPr>
          <w:p>
            <w:pPr>
              <w:ind w:left="140"/>
              <w:spacing w:after="0"/>
              <w:rPr>
                <w:sz w:val="20"/>
                <w:szCs w:val="20"/>
                <w:color w:val="auto"/>
              </w:rPr>
            </w:pPr>
            <w:r>
              <w:rPr>
                <w:rFonts w:ascii="Arial" w:cs="Arial" w:eastAsia="Arial" w:hAnsi="Arial"/>
                <w:sz w:val="18"/>
                <w:szCs w:val="18"/>
                <w:color w:val="auto"/>
                <w:w w:val="95"/>
              </w:rPr>
              <w:t>—   Twenty-Fifth Supplemental Indenture (4.70% Senior Notes due 2044) dated April 23, 2014, by and among Plains All American</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our</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Current Report on Form 8-K filed April 29, 2014).</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4.18</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40" w:type="dxa"/>
            <w:vAlign w:val="bottom"/>
          </w:tcPr>
          <w:p>
            <w:pPr>
              <w:ind w:left="140"/>
              <w:spacing w:after="0"/>
              <w:rPr>
                <w:sz w:val="20"/>
                <w:szCs w:val="20"/>
                <w:color w:val="auto"/>
              </w:rPr>
            </w:pPr>
            <w:r>
              <w:rPr>
                <w:rFonts w:ascii="Arial" w:cs="Arial" w:eastAsia="Arial" w:hAnsi="Arial"/>
                <w:sz w:val="18"/>
                <w:szCs w:val="18"/>
                <w:color w:val="auto"/>
                <w:w w:val="98"/>
              </w:rPr>
              <w:t>—   Twenty-Sixth Supplemental Indenture (3.60% Senior Notes due 2024) dated September 9, 2014, by and among Plains All</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8"/>
              </w:rPr>
              <w:t>American Pipeline, L.P., PAA Finance Corp. and U.S. Bank National Association, as trustee (incorporated by reference to</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Exhibit 4.1 to our Current Report on Form 8-K filed September 11, 2014).</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4.19</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40" w:type="dxa"/>
            <w:vAlign w:val="bottom"/>
          </w:tcPr>
          <w:p>
            <w:pPr>
              <w:ind w:left="140"/>
              <w:spacing w:after="0"/>
              <w:rPr>
                <w:sz w:val="20"/>
                <w:szCs w:val="20"/>
                <w:color w:val="auto"/>
              </w:rPr>
            </w:pPr>
            <w:r>
              <w:rPr>
                <w:rFonts w:ascii="Arial" w:cs="Arial" w:eastAsia="Arial" w:hAnsi="Arial"/>
                <w:sz w:val="18"/>
                <w:szCs w:val="18"/>
                <w:color w:val="auto"/>
                <w:w w:val="96"/>
              </w:rPr>
              <w:t>—   Twenty-Seventh Supplemental Indenture (2.60% Senior Notes due 2019) dated December 9, 2014, by and among Plains All</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Exhibit 4.1 to our Current Report on Form 8-K filed December 11, 2014).</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4.20</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40" w:type="dxa"/>
            <w:vAlign w:val="bottom"/>
          </w:tcPr>
          <w:p>
            <w:pPr>
              <w:ind w:left="140"/>
              <w:spacing w:after="0"/>
              <w:rPr>
                <w:sz w:val="20"/>
                <w:szCs w:val="20"/>
                <w:color w:val="auto"/>
              </w:rPr>
            </w:pPr>
            <w:r>
              <w:rPr>
                <w:rFonts w:ascii="Arial" w:cs="Arial" w:eastAsia="Arial" w:hAnsi="Arial"/>
                <w:sz w:val="18"/>
                <w:szCs w:val="18"/>
                <w:color w:val="auto"/>
                <w:w w:val="98"/>
              </w:rPr>
              <w:t>—   Twenty-Eighth Supplemental Indenture (4.90% Senior Notes due 2045) dated December 9, 2014, by and among Plains All</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Exhibit 4.3 to our Current Report on Form 8-K filed December 11, 2014).</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4.21</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40" w:type="dxa"/>
            <w:vAlign w:val="bottom"/>
          </w:tcPr>
          <w:p>
            <w:pPr>
              <w:ind w:left="140"/>
              <w:spacing w:after="0"/>
              <w:rPr>
                <w:sz w:val="20"/>
                <w:szCs w:val="20"/>
                <w:color w:val="auto"/>
              </w:rPr>
            </w:pPr>
            <w:r>
              <w:rPr>
                <w:rFonts w:ascii="Arial" w:cs="Arial" w:eastAsia="Arial" w:hAnsi="Arial"/>
                <w:sz w:val="18"/>
                <w:szCs w:val="18"/>
                <w:color w:val="auto"/>
                <w:w w:val="94"/>
              </w:rPr>
              <w:t>—   Shareholder and Registration Rights Agreement dated October 21, 2013 by and among Plains GP Holdings, L.P. and the other</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5"/>
              </w:rPr>
              <w:t>parties signatory thereto (incorporated by reference to Exhibit 4.1 to our Current Report on Form 8-K filed October 25, 2013).</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4.22</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40" w:type="dxa"/>
            <w:vAlign w:val="bottom"/>
          </w:tcPr>
          <w:p>
            <w:pPr>
              <w:ind w:left="140"/>
              <w:spacing w:after="0"/>
              <w:rPr>
                <w:sz w:val="20"/>
                <w:szCs w:val="20"/>
                <w:color w:val="auto"/>
              </w:rPr>
            </w:pPr>
            <w:r>
              <w:rPr>
                <w:rFonts w:ascii="Arial" w:cs="Arial" w:eastAsia="Arial" w:hAnsi="Arial"/>
                <w:sz w:val="18"/>
                <w:szCs w:val="18"/>
                <w:color w:val="auto"/>
                <w:w w:val="96"/>
              </w:rPr>
              <w:t>—   Registration Rights Agreement dated September 3, 2009 by and between Plains All American Pipeline, L.P. and Vulcan Gas</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6"/>
              </w:rPr>
              <w:t>Storage LLC (incorporated by reference to Exhibit 4.1 to PAA’s Registration Statement on Form S-3, File No. 333-162477).</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10.1</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40" w:type="dxa"/>
            <w:vAlign w:val="bottom"/>
          </w:tcPr>
          <w:p>
            <w:pPr>
              <w:ind w:left="140"/>
              <w:spacing w:after="0"/>
              <w:rPr>
                <w:sz w:val="20"/>
                <w:szCs w:val="20"/>
                <w:color w:val="auto"/>
              </w:rPr>
            </w:pPr>
            <w:r>
              <w:rPr>
                <w:rFonts w:ascii="Arial" w:cs="Arial" w:eastAsia="Arial" w:hAnsi="Arial"/>
                <w:sz w:val="18"/>
                <w:szCs w:val="18"/>
                <w:color w:val="auto"/>
                <w:w w:val="96"/>
              </w:rPr>
              <w:t>—   364-Day Credit Agreement dated January 16, 2015 among Plains All American Pipeline, L.P., as Borrower; Bank of America,</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4"/>
              </w:rPr>
              <w:t>N.A., as Administrative Agent; Citibank, N.A., JPMorgan Chase Bank N.A. and Wells Fargo Bank, National Association, as Co-</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2"/>
              </w:rPr>
              <w:t>Syndication Agents; DNB Bank ASA, New York Branch and Mizuho Bank, Ltd., as Co-Documentation Agents; the other Lenders</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6"/>
              </w:rPr>
              <w:t>party thereto; and Merrill Lynch, Pierce, Fenner &amp; Smith Incorporated, Citigroup Global Markets Inc., DNB Markets, Inc., JP</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w w:val="96"/>
              </w:rPr>
              <w:t>Morgan Securities LLC, Mizuho Bank, Ltd. and Wells Fargo Securities, LLC, as Joint Lead Arrangers and Joint Bookrunners</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(incorporated by reference to Exhibit 10.1 to our Current Report on Form 8-K filed January 20, 2015).</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12.1</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40" w:type="dxa"/>
            <w:vAlign w:val="bottom"/>
          </w:tcPr>
          <w:p>
            <w:pPr>
              <w:ind w:left="140"/>
              <w:spacing w:after="0"/>
              <w:rPr>
                <w:sz w:val="20"/>
                <w:szCs w:val="20"/>
                <w:color w:val="auto"/>
              </w:rPr>
            </w:pPr>
            <w:r>
              <w:rPr>
                <w:rFonts w:ascii="Arial" w:cs="Arial" w:eastAsia="Arial" w:hAnsi="Arial"/>
                <w:sz w:val="18"/>
                <w:szCs w:val="18"/>
                <w:color w:val="auto"/>
              </w:rPr>
              <w:t>—   Computation of Ratio of Earnings to Fixed Charges</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31.1</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40" w:type="dxa"/>
            <w:vAlign w:val="bottom"/>
          </w:tcPr>
          <w:p>
            <w:pPr>
              <w:ind w:left="140"/>
              <w:spacing w:after="0"/>
              <w:rPr>
                <w:sz w:val="20"/>
                <w:szCs w:val="20"/>
                <w:color w:val="auto"/>
              </w:rPr>
            </w:pPr>
            <w:r>
              <w:rPr>
                <w:rFonts w:ascii="Arial" w:cs="Arial" w:eastAsia="Arial" w:hAnsi="Arial"/>
                <w:sz w:val="18"/>
                <w:szCs w:val="18"/>
                <w:color w:val="auto"/>
              </w:rPr>
              <w:t>—   Certification of Principal Executive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31.2</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40" w:type="dxa"/>
            <w:vAlign w:val="bottom"/>
          </w:tcPr>
          <w:p>
            <w:pPr>
              <w:ind w:left="140"/>
              <w:spacing w:after="0"/>
              <w:rPr>
                <w:sz w:val="20"/>
                <w:szCs w:val="20"/>
                <w:color w:val="auto"/>
              </w:rPr>
            </w:pPr>
            <w:r>
              <w:rPr>
                <w:rFonts w:ascii="Arial" w:cs="Arial" w:eastAsia="Arial" w:hAnsi="Arial"/>
                <w:sz w:val="18"/>
                <w:szCs w:val="18"/>
                <w:color w:val="auto"/>
              </w:rPr>
              <w:t>—   Certification of Principal Financial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32.1</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40" w:type="dxa"/>
            <w:vAlign w:val="bottom"/>
          </w:tcPr>
          <w:p>
            <w:pPr>
              <w:ind w:left="140"/>
              <w:spacing w:after="0"/>
              <w:rPr>
                <w:sz w:val="20"/>
                <w:szCs w:val="20"/>
                <w:color w:val="auto"/>
              </w:rPr>
            </w:pPr>
            <w:r>
              <w:rPr>
                <w:rFonts w:ascii="Arial" w:cs="Arial" w:eastAsia="Arial" w:hAnsi="Arial"/>
                <w:sz w:val="18"/>
                <w:szCs w:val="18"/>
                <w:color w:val="auto"/>
              </w:rPr>
              <w:t>—   Certification of Principal Executive Officer pursuant to 18 U.S.C. 1350.</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32.2</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40" w:type="dxa"/>
            <w:vAlign w:val="bottom"/>
          </w:tcPr>
          <w:p>
            <w:pPr>
              <w:ind w:left="140"/>
              <w:spacing w:after="0"/>
              <w:rPr>
                <w:sz w:val="20"/>
                <w:szCs w:val="20"/>
                <w:color w:val="auto"/>
              </w:rPr>
            </w:pPr>
            <w:r>
              <w:rPr>
                <w:rFonts w:ascii="Arial" w:cs="Arial" w:eastAsia="Arial" w:hAnsi="Arial"/>
                <w:sz w:val="18"/>
                <w:szCs w:val="18"/>
                <w:color w:val="auto"/>
              </w:rPr>
              <w:t>—   Certification of Principal Financial Officer pursuant to 18 U.S.C. 1350.</w:t>
            </w:r>
          </w:p>
        </w:tc>
      </w:tr>
      <w:tr>
        <w:trPr>
          <w:trHeight w:val="432"/>
        </w:trPr>
        <w:tc>
          <w:tcPr>
            <w:tcW w:w="14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040" w:type="dxa"/>
            <w:vAlign w:val="bottom"/>
          </w:tcPr>
          <w:p>
            <w:pPr>
              <w:ind w:left="140"/>
              <w:spacing w:after="0"/>
              <w:rPr>
                <w:sz w:val="20"/>
                <w:szCs w:val="20"/>
                <w:color w:val="auto"/>
              </w:rPr>
            </w:pPr>
            <w:r>
              <w:rPr>
                <w:rFonts w:ascii="Arial" w:cs="Arial" w:eastAsia="Arial" w:hAnsi="Arial"/>
                <w:sz w:val="18"/>
                <w:szCs w:val="18"/>
                <w:color w:val="auto"/>
              </w:rPr>
              <w:t>—   XBRL Instance Document</w:t>
            </w:r>
          </w:p>
        </w:tc>
      </w:tr>
      <w:tr>
        <w:trPr>
          <w:trHeight w:val="432"/>
        </w:trPr>
        <w:tc>
          <w:tcPr>
            <w:tcW w:w="14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040" w:type="dxa"/>
            <w:vAlign w:val="bottom"/>
          </w:tcPr>
          <w:p>
            <w:pPr>
              <w:ind w:left="14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14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40" w:type="dxa"/>
            <w:vAlign w:val="bottom"/>
          </w:tcPr>
          <w:p>
            <w:pPr>
              <w:ind w:left="140"/>
              <w:spacing w:after="0"/>
              <w:rPr>
                <w:sz w:val="20"/>
                <w:szCs w:val="20"/>
                <w:color w:val="auto"/>
              </w:rPr>
            </w:pPr>
            <w:r>
              <w:rPr>
                <w:rFonts w:ascii="Arial" w:cs="Arial" w:eastAsia="Arial" w:hAnsi="Arial"/>
                <w:sz w:val="18"/>
                <w:szCs w:val="18"/>
                <w:color w:val="auto"/>
              </w:rPr>
              <w:t>—   XBRL Taxonomy Extension Calculation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-6562090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-6562090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5300" w:type="dxa"/>
            <w:vAlign w:val="bottom"/>
            <w:gridSpan w:val="2"/>
          </w:tcPr>
          <w:p>
            <w:pPr>
              <w:ind w:left="400"/>
              <w:spacing w:after="0"/>
              <w:rPr>
                <w:sz w:val="20"/>
                <w:szCs w:val="20"/>
                <w:color w:val="auto"/>
              </w:rPr>
            </w:pPr>
            <w:r>
              <w:rPr>
                <w:rFonts w:ascii="Arial" w:cs="Arial" w:eastAsia="Arial" w:hAnsi="Arial"/>
                <w:sz w:val="18"/>
                <w:szCs w:val="18"/>
                <w:color w:val="auto"/>
                <w:w w:val="98"/>
              </w:rPr>
              <w:t>—   XBRL Taxonomy Extension Definition Linkbase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700" w:type="dxa"/>
            <w:vAlign w:val="bottom"/>
          </w:tcPr>
          <w:p>
            <w:pPr>
              <w:ind w:left="400"/>
              <w:spacing w:after="0"/>
              <w:rPr>
                <w:sz w:val="20"/>
                <w:szCs w:val="20"/>
                <w:color w:val="auto"/>
              </w:rPr>
            </w:pPr>
            <w:r>
              <w:rPr>
                <w:rFonts w:ascii="Arial" w:cs="Arial" w:eastAsia="Arial" w:hAnsi="Arial"/>
                <w:sz w:val="18"/>
                <w:szCs w:val="18"/>
                <w:color w:val="auto"/>
              </w:rPr>
              <w:t>—</w:t>
            </w:r>
          </w:p>
        </w:tc>
        <w:tc>
          <w:tcPr>
            <w:tcW w:w="460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700" w:type="dxa"/>
            <w:vAlign w:val="bottom"/>
          </w:tcPr>
          <w:p>
            <w:pPr>
              <w:ind w:left="400"/>
              <w:spacing w:after="0"/>
              <w:rPr>
                <w:sz w:val="20"/>
                <w:szCs w:val="20"/>
                <w:color w:val="auto"/>
              </w:rPr>
            </w:pPr>
            <w:r>
              <w:rPr>
                <w:rFonts w:ascii="Arial" w:cs="Arial" w:eastAsia="Arial" w:hAnsi="Arial"/>
                <w:sz w:val="18"/>
                <w:szCs w:val="18"/>
                <w:color w:val="auto"/>
              </w:rPr>
              <w:t>—</w:t>
            </w:r>
          </w:p>
        </w:tc>
        <w:tc>
          <w:tcPr>
            <w:tcW w:w="4600" w:type="dxa"/>
            <w:vAlign w:val="bottom"/>
          </w:tcPr>
          <w:p>
            <w:pPr>
              <w:ind w:left="10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Three</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vMerge w:val="restart"/>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Months Ended</w:t>
            </w: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6"/>
              </w:rPr>
              <w:t>March 31, 2015</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EARNINGS </w:t>
            </w:r>
            <w:r>
              <w:rPr>
                <w:rFonts w:ascii="Arial" w:cs="Arial" w:eastAsia="Arial" w:hAnsi="Arial"/>
                <w:sz w:val="22"/>
                <w:szCs w:val="22"/>
                <w:b w:val="1"/>
                <w:bCs w:val="1"/>
                <w:color w:val="auto"/>
                <w:vertAlign w:val="superscript"/>
              </w:rPr>
              <w:t>(1)</w:t>
            </w: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Pre-tax income from continuing</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operations before noncontrolling</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interests and income from equity</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investees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259</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1,432</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1,416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1,135</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1,019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Fixed charges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add: Distributed income of equity</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investees</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add: Amortization of capitalized interest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less: Capitalized interest</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Earnings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3"/>
                <w:szCs w:val="23"/>
                <w:b w:val="1"/>
                <w:bCs w:val="1"/>
                <w:color w:val="auto"/>
                <w:vertAlign w:val="superscript"/>
              </w:rPr>
              <w:t>(1)</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23"/>
                <w:szCs w:val="23"/>
                <w:color w:val="auto"/>
                <w:vertAlign w:val="superscript"/>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343</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expense</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Portion of rent expense related to</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interest (33.33%)</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RATIO OF EARNINGS TO FIXED</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line="234" w:lineRule="exact"/>
              <w:rPr>
                <w:sz w:val="20"/>
                <w:szCs w:val="20"/>
                <w:color w:val="auto"/>
              </w:rPr>
            </w:pPr>
            <w:r>
              <w:rPr>
                <w:rFonts w:ascii="Arial" w:cs="Arial" w:eastAsia="Arial" w:hAnsi="Arial"/>
                <w:sz w:val="18"/>
                <w:szCs w:val="18"/>
                <w:b w:val="1"/>
                <w:bCs w:val="1"/>
                <w:color w:val="auto"/>
              </w:rPr>
              <w:t xml:space="preserve">CHARGES </w:t>
            </w:r>
            <w:r>
              <w:rPr>
                <w:rFonts w:ascii="Arial" w:cs="Arial" w:eastAsia="Arial" w:hAnsi="Arial"/>
                <w:sz w:val="23"/>
                <w:szCs w:val="23"/>
                <w:b w:val="1"/>
                <w:bCs w:val="1"/>
                <w:color w:val="auto"/>
                <w:vertAlign w:val="superscript"/>
              </w:rPr>
              <w:t>(3)</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3.21x</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4.19x</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4.34x</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3.95x</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4.05x</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60" w:hanging="11"/>
        <w:spacing w:after="0" w:line="279" w:lineRule="auto"/>
        <w:rPr>
          <w:sz w:val="20"/>
          <w:szCs w:val="20"/>
          <w:color w:val="auto"/>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171" w:lineRule="exact"/>
        <w:rPr>
          <w:sz w:val="20"/>
          <w:szCs w:val="20"/>
          <w:color w:val="auto"/>
        </w:rPr>
      </w:pPr>
    </w:p>
    <w:p>
      <w:pPr>
        <w:ind w:left="20" w:right="200" w:hanging="11"/>
        <w:spacing w:after="0" w:line="342" w:lineRule="auto"/>
        <w:rPr>
          <w:sz w:val="20"/>
          <w:szCs w:val="20"/>
          <w:color w:val="auto"/>
        </w:rPr>
      </w:pPr>
      <w:r>
        <w:rPr>
          <w:rFonts w:ascii="Arial" w:cs="Arial" w:eastAsia="Arial" w:hAnsi="Arial"/>
          <w:sz w:val="16"/>
          <w:szCs w:val="16"/>
          <w:color w:val="auto"/>
        </w:rPr>
        <w:t>Includes interest costs attributable to borrowings for hedged inventory purchases of $1 million for the three months ended March 31, 2015 and $12 million, $30 million, $12 million, $20 million and $17 million for the years ended December 31, 2014, 2013, 2012, 2011 and 2010,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218440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40" w:space="500"/>
            <w:col w:w="10780"/>
          </w:cols>
          <w:pgMar w:left="240" w:top="121" w:right="23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GP Holdings,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2015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363601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 May 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2015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36360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 May 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o"/>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1"/>
    </w:lvl>
    <w:lvl w:ilvl="1">
      <w:lvlJc w:val="left"/>
      <w:lvlText w:val="(%2)"/>
      <w:numFmt w:val="decimal"/>
      <w:start w:val="1"/>
    </w:lvl>
  </w:abstractNum>
  <w:abstractNum w:abstractNumId="4">
    <w:nsid w:val="4353D0CD"/>
    <w:multiLevelType w:val="hybridMultilevel"/>
    <w:lvl w:ilvl="0">
      <w:lvlJc w:val="left"/>
      <w:lvlText w:val="(%1)"/>
      <w:numFmt w:val="decimal"/>
      <w:start w:val="2"/>
    </w:lvl>
    <w:lvl w:ilvl="1">
      <w:lvlJc w:val="left"/>
      <w:lvlText w:val="%2"/>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lowerRoman"/>
      <w:start w:val="2"/>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lowerRoman"/>
      <w:start w:val="2"/>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decimal"/>
      <w:start w:val="5"/>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5"/>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lowerRoman"/>
      <w:start w:val="1"/>
    </w:lvl>
  </w:abstractNum>
  <w:abstractNum w:abstractNumId="45">
    <w:nsid w:val="4B588F5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2020-01-23T13:45:35Z</dcterms:created>
  <dcterms:modified xsi:type="dcterms:W3CDTF">2020-01-23T13:45:35Z</dcterms:modified>
</cp:coreProperties>
</file>