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451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45198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Herbold Chris</w:t>
        </w:r>
      </w:hyperlink>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220"/>
              <w:spacing w:after="0"/>
              <w:rPr>
                <w:sz w:val="20"/>
                <w:szCs w:val="20"/>
                <w:color w:val="auto"/>
              </w:rPr>
            </w:pPr>
            <w:r>
              <w:rPr>
                <w:rFonts w:ascii="Arial" w:cs="Arial" w:eastAsia="Arial" w:hAnsi="Arial"/>
                <w:sz w:val="13"/>
                <w:szCs w:val="13"/>
                <w:color w:val="auto"/>
              </w:rPr>
              <w:t>(First)</w:t>
            </w:r>
          </w:p>
        </w:tc>
        <w:tc>
          <w:tcPr>
            <w:tcW w:w="124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Arial" w:cs="Arial" w:eastAsia="Arial" w:hAnsi="Arial"/>
                <w:sz w:val="17"/>
                <w:szCs w:val="17"/>
                <w:color w:val="0000FF"/>
                <w:w w:val="93"/>
              </w:rPr>
              <w:t>333 CLAY STREET, SUITE 1600</w:t>
            </w:r>
          </w:p>
        </w:tc>
        <w:tc>
          <w:tcPr>
            <w:tcW w:w="124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r>
      <w:tr>
        <w:trPr>
          <w:trHeight w:val="25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380" w:type="dxa"/>
            <w:vAlign w:val="bottom"/>
          </w:tcPr>
          <w:p>
            <w:pPr>
              <w:ind w:left="220"/>
              <w:spacing w:after="0"/>
              <w:rPr>
                <w:sz w:val="20"/>
                <w:szCs w:val="20"/>
                <w:color w:val="auto"/>
              </w:rPr>
            </w:pPr>
            <w:r>
              <w:rPr>
                <w:rFonts w:ascii="Arial" w:cs="Arial" w:eastAsia="Arial" w:hAnsi="Arial"/>
                <w:sz w:val="17"/>
                <w:szCs w:val="17"/>
                <w:color w:val="0000FF"/>
              </w:rPr>
              <w:t>TX</w:t>
            </w:r>
          </w:p>
        </w:tc>
        <w:tc>
          <w:tcPr>
            <w:tcW w:w="1240" w:type="dxa"/>
            <w:vAlign w:val="bottom"/>
          </w:tcPr>
          <w:p>
            <w:pPr>
              <w:ind w:left="60"/>
              <w:spacing w:after="0"/>
              <w:rPr>
                <w:sz w:val="20"/>
                <w:szCs w:val="20"/>
                <w:color w:val="auto"/>
              </w:rPr>
            </w:pPr>
            <w:r>
              <w:rPr>
                <w:rFonts w:ascii="Arial" w:cs="Arial" w:eastAsia="Arial" w:hAnsi="Arial"/>
                <w:sz w:val="17"/>
                <w:szCs w:val="17"/>
                <w:color w:val="0000FF"/>
              </w:rPr>
              <w:t>77002</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220"/>
              <w:spacing w:after="0"/>
              <w:rPr>
                <w:sz w:val="20"/>
                <w:szCs w:val="20"/>
                <w:color w:val="auto"/>
              </w:rPr>
            </w:pPr>
            <w:r>
              <w:rPr>
                <w:rFonts w:ascii="Arial" w:cs="Arial" w:eastAsia="Arial" w:hAnsi="Arial"/>
                <w:sz w:val="13"/>
                <w:szCs w:val="13"/>
                <w:color w:val="auto"/>
              </w:rPr>
              <w:t>(State)</w:t>
            </w:r>
          </w:p>
        </w:tc>
        <w:tc>
          <w:tcPr>
            <w:tcW w:w="124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760" w:type="dxa"/>
            <w:vAlign w:val="bottom"/>
            <w:gridSpan w:val="2"/>
          </w:tcPr>
          <w:p>
            <w:pPr>
              <w:spacing w:after="0" w:line="202" w:lineRule="exact"/>
              <w:rPr>
                <w:rFonts w:ascii="Arial" w:cs="Arial" w:eastAsia="Arial" w:hAnsi="Arial"/>
                <w:sz w:val="21"/>
                <w:szCs w:val="21"/>
                <w:color w:val="0000EE"/>
                <w:w w:val="98"/>
              </w:rPr>
            </w:pPr>
            <w:hyperlink r:id="rId13">
              <w:r>
                <w:rPr>
                  <w:rFonts w:ascii="Arial" w:cs="Arial" w:eastAsia="Arial" w:hAnsi="Arial"/>
                  <w:sz w:val="21"/>
                  <w:szCs w:val="21"/>
                  <w:color w:val="0000EE"/>
                  <w:w w:val="98"/>
                </w:rPr>
                <w:t xml:space="preserve">PLAINS ALL AMERICAN PIPELINE LP </w:t>
              </w:r>
            </w:hyperlink>
            <w:r>
              <w:rPr>
                <w:rFonts w:ascii="Arial" w:cs="Arial" w:eastAsia="Arial" w:hAnsi="Arial"/>
                <w:sz w:val="21"/>
                <w:szCs w:val="21"/>
                <w:color w:val="000000"/>
                <w:w w:val="98"/>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60" w:type="dxa"/>
            <w:vAlign w:val="bottom"/>
            <w:vMerge w:val="restart"/>
          </w:tcPr>
          <w:p>
            <w:pPr>
              <w:spacing w:after="0"/>
              <w:rPr>
                <w:sz w:val="11"/>
                <w:szCs w:val="11"/>
                <w:color w:val="auto"/>
              </w:rPr>
            </w:pPr>
          </w:p>
        </w:tc>
        <w:tc>
          <w:tcPr>
            <w:tcW w:w="358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0"/>
                <w:szCs w:val="20"/>
                <w:color w:val="000000"/>
              </w:rPr>
              <w:t>]</w:t>
            </w:r>
          </w:p>
        </w:tc>
        <w:tc>
          <w:tcPr>
            <w:tcW w:w="18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tcPr>
          <w:p>
            <w:pPr>
              <w:ind w:left="120"/>
              <w:spacing w:after="0" w:line="129"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0"/>
        </w:trPr>
        <w:tc>
          <w:tcPr>
            <w:tcW w:w="60" w:type="dxa"/>
            <w:vAlign w:val="bottom"/>
            <w:vMerge w:val="continue"/>
          </w:tcPr>
          <w:p>
            <w:pPr>
              <w:spacing w:after="0"/>
              <w:rPr>
                <w:sz w:val="12"/>
                <w:szCs w:val="12"/>
                <w:color w:val="auto"/>
              </w:rPr>
            </w:pPr>
          </w:p>
        </w:tc>
        <w:tc>
          <w:tcPr>
            <w:tcW w:w="35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3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60" w:type="dxa"/>
            <w:vAlign w:val="bottom"/>
            <w:tcBorders>
              <w:bottom w:val="single" w:sz="8" w:color="2C2C2C"/>
            </w:tcBorders>
          </w:tcPr>
          <w:p>
            <w:pPr>
              <w:spacing w:after="0"/>
              <w:rPr>
                <w:sz w:val="7"/>
                <w:szCs w:val="7"/>
                <w:color w:val="auto"/>
              </w:rPr>
            </w:pPr>
          </w:p>
        </w:tc>
        <w:tc>
          <w:tcPr>
            <w:tcW w:w="35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382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28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Sr. VP and Chief Acctg Officer</w:t>
            </w:r>
          </w:p>
        </w:tc>
        <w:tc>
          <w:tcPr>
            <w:tcW w:w="0" w:type="dxa"/>
            <w:vAlign w:val="bottom"/>
          </w:tcPr>
          <w:p>
            <w:pPr>
              <w:spacing w:after="0"/>
              <w:rPr>
                <w:sz w:val="1"/>
                <w:szCs w:val="1"/>
                <w:color w:val="auto"/>
              </w:rPr>
            </w:pPr>
          </w:p>
        </w:tc>
      </w:tr>
      <w:tr>
        <w:trPr>
          <w:trHeight w:val="110"/>
        </w:trPr>
        <w:tc>
          <w:tcPr>
            <w:tcW w:w="3640" w:type="dxa"/>
            <w:vAlign w:val="bottom"/>
            <w:gridSpan w:val="2"/>
            <w:vMerge w:val="restart"/>
          </w:tcPr>
          <w:p>
            <w:pPr>
              <w:ind w:left="60"/>
              <w:spacing w:after="0"/>
              <w:rPr>
                <w:sz w:val="20"/>
                <w:szCs w:val="20"/>
                <w:color w:val="auto"/>
              </w:rPr>
            </w:pPr>
            <w:r>
              <w:rPr>
                <w:rFonts w:ascii="Arial" w:cs="Arial" w:eastAsia="Arial" w:hAnsi="Arial"/>
                <w:sz w:val="17"/>
                <w:szCs w:val="17"/>
                <w:color w:val="0000FF"/>
              </w:rPr>
              <w:t>08/19/2021</w:t>
            </w: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6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60" w:type="dxa"/>
            <w:vAlign w:val="bottom"/>
            <w:tcBorders>
              <w:bottom w:val="single" w:sz="8" w:color="2C2C2C"/>
            </w:tcBorders>
          </w:tcPr>
          <w:p>
            <w:pPr>
              <w:spacing w:after="0"/>
              <w:rPr>
                <w:sz w:val="10"/>
                <w:szCs w:val="10"/>
                <w:color w:val="auto"/>
              </w:rPr>
            </w:pPr>
          </w:p>
        </w:tc>
        <w:tc>
          <w:tcPr>
            <w:tcW w:w="35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30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99"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80"/>
              <w:spacing w:after="0"/>
              <w:rPr>
                <w:sz w:val="20"/>
                <w:szCs w:val="20"/>
                <w:color w:val="auto"/>
              </w:rPr>
            </w:pPr>
            <w:r>
              <w:rPr>
                <w:rFonts w:ascii="Arial" w:cs="Arial" w:eastAsia="Arial" w:hAnsi="Arial"/>
                <w:sz w:val="13"/>
                <w:szCs w:val="13"/>
                <w:color w:val="0000FF"/>
              </w:rPr>
              <w:t>08/19/2021</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60,100</w:t>
            </w:r>
          </w:p>
        </w:tc>
        <w:tc>
          <w:tcPr>
            <w:tcW w:w="300" w:type="dxa"/>
            <w:vAlign w:val="bottom"/>
          </w:tcPr>
          <w:p>
            <w:pPr>
              <w:spacing w:after="0"/>
              <w:rPr>
                <w:sz w:val="15"/>
                <w:szCs w:val="15"/>
                <w:color w:val="auto"/>
              </w:rPr>
            </w:pPr>
          </w:p>
        </w:tc>
        <w:tc>
          <w:tcPr>
            <w:tcW w:w="780" w:type="dxa"/>
            <w:vAlign w:val="bottom"/>
            <w:vMerge w:val="restart"/>
          </w:tcPr>
          <w:p>
            <w:pPr>
              <w:ind w:left="260"/>
              <w:spacing w:after="0"/>
              <w:rPr>
                <w:sz w:val="20"/>
                <w:szCs w:val="20"/>
                <w:color w:val="auto"/>
              </w:rPr>
            </w:pPr>
            <w:r>
              <w:rPr>
                <w:rFonts w:ascii="Arial" w:cs="Arial" w:eastAsia="Arial" w:hAnsi="Arial"/>
                <w:sz w:val="11"/>
                <w:szCs w:val="11"/>
                <w:color w:val="008000"/>
              </w:rPr>
              <w:t>(3)(4)</w:t>
            </w:r>
          </w:p>
        </w:tc>
        <w:tc>
          <w:tcPr>
            <w:tcW w:w="700" w:type="dxa"/>
            <w:vAlign w:val="bottom"/>
            <w:vMerge w:val="restart"/>
          </w:tcPr>
          <w:p>
            <w:pPr>
              <w:jc w:val="right"/>
              <w:ind w:right="163"/>
              <w:spacing w:after="0"/>
              <w:rPr>
                <w:sz w:val="20"/>
                <w:szCs w:val="20"/>
                <w:color w:val="auto"/>
              </w:rPr>
            </w:pPr>
            <w:r>
              <w:rPr>
                <w:rFonts w:ascii="Arial" w:cs="Arial" w:eastAsia="Arial" w:hAnsi="Arial"/>
                <w:sz w:val="11"/>
                <w:szCs w:val="11"/>
                <w:color w:val="008000"/>
              </w:rPr>
              <w:t>(3)(4)</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60,100</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rPr>
                <w:sz w:val="20"/>
                <w:szCs w:val="20"/>
                <w:color w:val="auto"/>
              </w:rPr>
            </w:pPr>
            <w:r>
              <w:rPr>
                <w:rFonts w:ascii="Arial" w:cs="Arial" w:eastAsia="Arial" w:hAnsi="Arial"/>
                <w:sz w:val="13"/>
                <w:szCs w:val="13"/>
                <w:color w:val="0000FF"/>
              </w:rPr>
              <w:t>60,100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tcPr>
          <w:p>
            <w:pPr>
              <w:ind w:left="60"/>
              <w:spacing w:after="0" w:line="65"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ind w:left="180"/>
              <w:spacing w:after="0" w:line="65" w:lineRule="exact"/>
              <w:rPr>
                <w:sz w:val="20"/>
                <w:szCs w:val="20"/>
                <w:color w:val="auto"/>
              </w:rPr>
            </w:pPr>
            <w:r>
              <w:rPr>
                <w:rFonts w:ascii="Arial" w:cs="Arial" w:eastAsia="Arial" w:hAnsi="Arial"/>
                <w:sz w:val="6"/>
                <w:szCs w:val="6"/>
                <w:color w:val="0000FF"/>
              </w:rPr>
              <w:t>Units</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 of Phantom Units under Long-Term Incentive Plan (includes distribution equivalent rights payable in cash).</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common unit is deliverable, upon vesting, for each Phantom Unit that vests.</w:t>
      </w:r>
    </w:p>
    <w:p>
      <w:pPr>
        <w:spacing w:after="0" w:line="44" w:lineRule="exact"/>
        <w:rPr>
          <w:rFonts w:ascii="Arial" w:cs="Arial" w:eastAsia="Arial" w:hAnsi="Arial"/>
          <w:sz w:val="13"/>
          <w:szCs w:val="13"/>
          <w:color w:val="008000"/>
        </w:rPr>
      </w:pPr>
    </w:p>
    <w:p>
      <w:pPr>
        <w:ind w:left="40" w:right="200" w:firstLine="2"/>
        <w:spacing w:after="0" w:line="232"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phantom units will vest as follows: (a) Tranche 1, consisting of 30,050 phantom units, will vest on the August 2024 distribution date assuming continued service through such date; (b) Tranche 2, consisting of 15,025 phantom units (assuming 100% payout at target), will potentially vest on the August 2024 distribution date at a scaled payout range of between 0% to 200% (0 units to 30,050 units) based on PAA's total shareholder return (TSR) over the three-year period ending June 30, 2024 compared to the TSR of a selected peer group; and (c) Tranche 3, consisting of 15,025 phantom units (assuming 100% payout at target), will potentially vest on the August 2024 distribution date at a scaled payout range of between 0% to 200% (0 units to 30,050 units) based on PAA achieving cumulative distributable cash flow per common unit equivalent of $6.00 over the three-year period ending June 30, 2024 (with such payout being subject to adjustment by plus or minus 50 gross percentage points (subject to a cap of 200%) based on the extent to which PAA achieves a leverage ratio as of June 30, 2024 that is less than or greater than, respectively, the target leverage ratio for such date assumed in PAA's long term plan as of August 2021, plus or minus .15x, as applicable).</w:t>
      </w:r>
    </w:p>
    <w:p>
      <w:pPr>
        <w:spacing w:after="0" w:line="34" w:lineRule="exact"/>
        <w:rPr>
          <w:rFonts w:ascii="Arial" w:cs="Arial" w:eastAsia="Arial" w:hAnsi="Arial"/>
          <w:sz w:val="13"/>
          <w:szCs w:val="13"/>
          <w:color w:val="008000"/>
        </w:rPr>
      </w:pPr>
    </w:p>
    <w:p>
      <w:pPr>
        <w:ind w:left="40" w:right="28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DERs associated with Tranche 1 will accrue for the first year and be paid in cash in a lump sum on the August 2022 distribution date; beginning in November 2022, DERs associated with Tranche 1 will be paid quarterly until the phantom units vest. DERs associated with Tranches 2 and 3 will accrue during the three-year vesting period and be paid in cash in a lump sum on the August 2024 distribution date with respect to each phantom unit that vests on such date.</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Chris Herbold</w:t>
            </w:r>
          </w:p>
        </w:tc>
        <w:tc>
          <w:tcPr>
            <w:tcW w:w="10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08/23/2021</w:t>
            </w: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7929"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2021-08-23T16:21:20Z</dcterms:created>
  <dcterms:modified xsi:type="dcterms:W3CDTF">2021-08-23T16:21:20Z</dcterms:modified>
</cp:coreProperties>
</file>