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7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-629920</wp:posOffset>
            </wp:positionV>
            <wp:extent cx="58420"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277100" cy="8447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8447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480"/>
            <w:col w:w="8760"/>
          </w:cols>
          <w:pgMar w:left="240" w:top="222" w:right="13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KAFU Holdings (QP), L.P.</w:t>
        </w:r>
      </w:hyperlink>
    </w:p>
    <w:p>
      <w:pPr>
        <w:spacing w:after="0" w:line="30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AVENUE OF THE STARS, SUITE 300</w:t>
      </w:r>
    </w:p>
    <w:p>
      <w:pPr>
        <w:spacing w:after="0" w:line="345"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Arial" w:cs="Arial" w:eastAsia="Arial" w:hAnsi="Arial"/>
                <w:sz w:val="17"/>
                <w:szCs w:val="17"/>
                <w:color w:val="0000FF"/>
                <w:w w:val="99"/>
              </w:rPr>
              <w:t>LOS ANGELES</w:t>
            </w:r>
          </w:p>
        </w:tc>
        <w:tc>
          <w:tcPr>
            <w:tcW w:w="900" w:type="dxa"/>
            <w:vAlign w:val="bottom"/>
          </w:tcPr>
          <w:p>
            <w:pPr>
              <w:ind w:left="80"/>
              <w:spacing w:after="0"/>
              <w:rPr>
                <w:sz w:val="20"/>
                <w:szCs w:val="20"/>
                <w:color w:val="auto"/>
              </w:rPr>
            </w:pPr>
            <w:r>
              <w:rPr>
                <w:rFonts w:ascii="Arial" w:cs="Arial" w:eastAsia="Arial" w:hAnsi="Arial"/>
                <w:sz w:val="17"/>
                <w:szCs w:val="17"/>
                <w:color w:val="0000FF"/>
              </w:rPr>
              <w:t>CA</w:t>
            </w:r>
          </w:p>
        </w:tc>
        <w:tc>
          <w:tcPr>
            <w:tcW w:w="1700" w:type="dxa"/>
            <w:vAlign w:val="bottom"/>
          </w:tcPr>
          <w:p>
            <w:pPr>
              <w:ind w:left="440"/>
              <w:spacing w:after="0"/>
              <w:rPr>
                <w:sz w:val="20"/>
                <w:szCs w:val="20"/>
                <w:color w:val="auto"/>
              </w:rPr>
            </w:pPr>
            <w:r>
              <w:rPr>
                <w:rFonts w:ascii="Arial" w:cs="Arial" w:eastAsia="Arial" w:hAnsi="Arial"/>
                <w:sz w:val="17"/>
                <w:szCs w:val="17"/>
                <w:color w:val="0000FF"/>
              </w:rPr>
              <w:t>90067</w:t>
            </w:r>
          </w:p>
        </w:tc>
      </w:tr>
      <w:tr>
        <w:trPr>
          <w:trHeight w:val="151"/>
        </w:trPr>
        <w:tc>
          <w:tcPr>
            <w:tcW w:w="2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7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980" w:type="dxa"/>
            <w:vAlign w:val="bottom"/>
            <w:gridSpan w:val="3"/>
          </w:tcPr>
          <w:p>
            <w:pPr>
              <w:ind w:left="60"/>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PLAINS ALL AMERICAN PIPELINE LP </w:t>
              </w:r>
            </w:hyperlink>
            <w:r>
              <w:rPr>
                <w:rFonts w:ascii="Arial" w:cs="Arial" w:eastAsia="Arial" w:hAnsi="Arial"/>
                <w:sz w:val="16"/>
                <w:szCs w:val="16"/>
                <w:color w:val="000000"/>
              </w:rPr>
              <w:t>[</w:t>
            </w:r>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3980" w:type="dxa"/>
            <w:vAlign w:val="bottom"/>
            <w:gridSpan w:val="3"/>
          </w:tcPr>
          <w:p>
            <w:pPr>
              <w:spacing w:after="0"/>
              <w:rPr>
                <w:sz w:val="3"/>
                <w:szCs w:val="3"/>
                <w:color w:val="auto"/>
              </w:rPr>
            </w:pPr>
          </w:p>
        </w:tc>
        <w:tc>
          <w:tcPr>
            <w:tcW w:w="500" w:type="dxa"/>
            <w:vAlign w:val="bottom"/>
            <w:vMerge w:val="restart"/>
          </w:tcPr>
          <w:p>
            <w:pPr>
              <w:ind w:left="280"/>
              <w:spacing w:after="0" w:line="53" w:lineRule="exact"/>
              <w:rPr>
                <w:sz w:val="20"/>
                <w:szCs w:val="20"/>
                <w:color w:val="auto"/>
              </w:rPr>
            </w:pPr>
            <w:r>
              <w:rPr>
                <w:rFonts w:ascii="Arial" w:cs="Arial" w:eastAsia="Arial" w:hAnsi="Arial"/>
                <w:sz w:val="6"/>
                <w:szCs w:val="6"/>
                <w:color w:val="0000FF"/>
              </w:rPr>
              <w:t>X</w:t>
            </w: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460" w:type="dxa"/>
            <w:vAlign w:val="bottom"/>
          </w:tcPr>
          <w:p>
            <w:pPr>
              <w:spacing w:after="0"/>
              <w:rPr>
                <w:sz w:val="3"/>
                <w:szCs w:val="3"/>
                <w:color w:val="auto"/>
              </w:rPr>
            </w:pP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360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PAA </w:t>
              </w:r>
              <w:r>
                <w:rPr>
                  <w:rFonts w:ascii="Arial" w:cs="Arial" w:eastAsia="Arial" w:hAnsi="Arial"/>
                  <w:sz w:val="1"/>
                  <w:szCs w:val="1"/>
                  <w:color w:val="000000"/>
                </w:rPr>
                <w:t>]</w:t>
              </w:r>
            </w:hyperlink>
          </w:p>
        </w:tc>
        <w:tc>
          <w:tcPr>
            <w:tcW w:w="32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46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240" w:type="dxa"/>
            <w:vAlign w:val="bottom"/>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3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240" w:type="dxa"/>
            <w:vAlign w:val="bottom"/>
          </w:tcPr>
          <w:p>
            <w:pPr>
              <w:ind w:left="120"/>
              <w:spacing w:after="0" w:line="97" w:lineRule="exact"/>
              <w:rPr>
                <w:sz w:val="20"/>
                <w:szCs w:val="20"/>
                <w:color w:val="auto"/>
              </w:rPr>
            </w:pPr>
            <w:r>
              <w:rPr>
                <w:rFonts w:ascii="Arial" w:cs="Arial" w:eastAsia="Arial" w:hAnsi="Arial"/>
                <w:sz w:val="11"/>
                <w:szCs w:val="11"/>
                <w:color w:val="auto"/>
              </w:rPr>
              <w:t>below)</w:t>
            </w:r>
          </w:p>
        </w:tc>
        <w:tc>
          <w:tcPr>
            <w:tcW w:w="460" w:type="dxa"/>
            <w:vAlign w:val="bottom"/>
            <w:vMerge w:val="continue"/>
          </w:tcPr>
          <w:p>
            <w:pPr>
              <w:spacing w:after="0"/>
              <w:rPr>
                <w:sz w:val="8"/>
                <w:szCs w:val="8"/>
                <w:color w:val="auto"/>
              </w:rPr>
            </w:pPr>
          </w:p>
        </w:tc>
        <w:tc>
          <w:tcPr>
            <w:tcW w:w="1240" w:type="dxa"/>
            <w:vAlign w:val="bottom"/>
          </w:tcPr>
          <w:p>
            <w:pPr>
              <w:ind w:left="60"/>
              <w:spacing w:after="0" w:line="97"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00"/>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7"/>
                <w:szCs w:val="17"/>
                <w:color w:val="auto"/>
              </w:rPr>
            </w:pPr>
          </w:p>
        </w:tc>
        <w:tc>
          <w:tcPr>
            <w:tcW w:w="1700" w:type="dxa"/>
            <w:vAlign w:val="bottom"/>
            <w:gridSpan w:val="2"/>
          </w:tcPr>
          <w:p>
            <w:pPr>
              <w:ind w:left="800"/>
              <w:spacing w:after="0"/>
              <w:rPr>
                <w:sz w:val="20"/>
                <w:szCs w:val="20"/>
                <w:color w:val="auto"/>
              </w:rPr>
            </w:pPr>
            <w:r>
              <w:rPr>
                <w:rFonts w:ascii="Arial" w:cs="Arial" w:eastAsia="Arial" w:hAnsi="Arial"/>
                <w:sz w:val="17"/>
                <w:szCs w:val="17"/>
                <w:color w:val="0000FF"/>
                <w:w w:val="90"/>
              </w:rPr>
              <w:t>See Remaks</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60" w:type="dxa"/>
            <w:vAlign w:val="bottom"/>
            <w:gridSpan w:val="2"/>
          </w:tcPr>
          <w:p>
            <w:pPr>
              <w:ind w:left="60"/>
              <w:spacing w:after="0"/>
              <w:rPr>
                <w:sz w:val="20"/>
                <w:szCs w:val="20"/>
                <w:color w:val="auto"/>
              </w:rPr>
            </w:pPr>
            <w:r>
              <w:rPr>
                <w:rFonts w:ascii="Arial" w:cs="Arial" w:eastAsia="Arial" w:hAnsi="Arial"/>
                <w:sz w:val="17"/>
                <w:szCs w:val="17"/>
                <w:color w:val="0000FF"/>
              </w:rPr>
              <w:t>12/29/2017</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0" w:type="dxa"/>
            <w:vAlign w:val="bottom"/>
            <w:tcBorders>
              <w:bottom w:val="single" w:sz="8" w:color="2C2C2C"/>
            </w:tcBorders>
          </w:tcPr>
          <w:p>
            <w:pPr>
              <w:spacing w:after="0"/>
              <w:rPr>
                <w:sz w:val="14"/>
                <w:szCs w:val="14"/>
                <w:color w:val="auto"/>
              </w:rPr>
            </w:pPr>
          </w:p>
        </w:tc>
        <w:tc>
          <w:tcPr>
            <w:tcW w:w="36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3440" w:type="dxa"/>
            <w:vAlign w:val="bottom"/>
            <w:tcBorders>
              <w:bottom w:val="single" w:sz="8" w:color="2C2C2C"/>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One Reporting Person</w:t>
      </w:r>
    </w:p>
    <w:p>
      <w:pPr>
        <w:ind w:left="4260"/>
        <w:spacing w:after="0" w:line="236"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382" w:lineRule="exact"/>
        <w:rPr>
          <w:sz w:val="20"/>
          <w:szCs w:val="20"/>
          <w:color w:val="auto"/>
        </w:rPr>
      </w:pPr>
    </w:p>
    <w:p>
      <w:pPr>
        <w:sectPr>
          <w:pgSz w:w="11900" w:h="16838" w:orient="portrait"/>
          <w:cols w:equalWidth="0" w:num="2">
            <w:col w:w="3920" w:space="80"/>
            <w:col w:w="7520"/>
          </w:cols>
          <w:pgMar w:left="240" w:top="222"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1300" w:type="dxa"/>
            <w:vAlign w:val="bottom"/>
            <w:gridSpan w:val="2"/>
          </w:tcPr>
          <w:p>
            <w:pPr>
              <w:ind w:left="36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ind w:left="600"/>
              <w:spacing w:after="0" w:line="127"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8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Securities</w:t>
            </w:r>
          </w:p>
        </w:tc>
        <w:tc>
          <w:tcPr>
            <w:tcW w:w="1300" w:type="dxa"/>
            <w:vAlign w:val="bottom"/>
            <w:gridSpan w:val="2"/>
          </w:tcPr>
          <w:p>
            <w:pPr>
              <w:ind w:left="360"/>
              <w:spacing w:after="0" w:line="127"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8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1300" w:type="dxa"/>
            <w:vAlign w:val="bottom"/>
            <w:gridSpan w:val="2"/>
          </w:tcPr>
          <w:p>
            <w:pPr>
              <w:ind w:left="360"/>
              <w:spacing w:after="0" w:line="130" w:lineRule="exact"/>
              <w:rPr>
                <w:sz w:val="20"/>
                <w:szCs w:val="20"/>
                <w:color w:val="auto"/>
              </w:rPr>
            </w:pPr>
            <w:r>
              <w:rPr>
                <w:rFonts w:ascii="Arial" w:cs="Arial" w:eastAsia="Arial" w:hAnsi="Arial"/>
                <w:sz w:val="12"/>
                <w:szCs w:val="12"/>
                <w:b w:val="1"/>
                <w:bCs w:val="1"/>
                <w:color w:val="auto"/>
              </w:rPr>
              <w:t>(D) or Indirect</w:t>
            </w: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340" w:type="dxa"/>
            <w:vAlign w:val="bottom"/>
          </w:tcPr>
          <w:p>
            <w:pPr>
              <w:spacing w:after="0"/>
              <w:rPr>
                <w:sz w:val="11"/>
                <w:szCs w:val="11"/>
                <w:color w:val="auto"/>
              </w:rPr>
            </w:pPr>
          </w:p>
        </w:tc>
        <w:tc>
          <w:tcPr>
            <w:tcW w:w="3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7"/>
              </w:rPr>
              <w:t>(Instr. 3 and 4)</w:t>
            </w: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gridSpan w:val="2"/>
            <w:vMerge w:val="restart"/>
          </w:tcPr>
          <w:p>
            <w:pPr>
              <w:ind w:left="700"/>
              <w:spacing w:after="0"/>
              <w:rPr>
                <w:sz w:val="20"/>
                <w:szCs w:val="20"/>
                <w:color w:val="auto"/>
              </w:rPr>
            </w:pPr>
            <w:r>
              <w:rPr>
                <w:rFonts w:ascii="Arial" w:cs="Arial" w:eastAsia="Arial" w:hAnsi="Arial"/>
                <w:sz w:val="17"/>
                <w:szCs w:val="17"/>
                <w:color w:val="0000FF"/>
              </w:rPr>
              <w:t>12/29/2017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7"/>
              </w:rPr>
              <w:t>551,323</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1"/>
                <w:szCs w:val="2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7"/>
                <w:szCs w:val="17"/>
                <w:color w:val="0000FF"/>
              </w:rPr>
              <w:t>551,323</w:t>
            </w:r>
          </w:p>
        </w:tc>
        <w:tc>
          <w:tcPr>
            <w:tcW w:w="960" w:type="dxa"/>
            <w:vAlign w:val="bottom"/>
            <w:vMerge w:val="restart"/>
          </w:tcPr>
          <w:p>
            <w:pPr>
              <w:ind w:left="740"/>
              <w:spacing w:after="0"/>
              <w:rPr>
                <w:sz w:val="20"/>
                <w:szCs w:val="20"/>
                <w:color w:val="auto"/>
              </w:rPr>
            </w:pPr>
            <w:r>
              <w:rPr>
                <w:rFonts w:ascii="Arial" w:cs="Arial" w:eastAsia="Arial" w:hAnsi="Arial"/>
                <w:sz w:val="17"/>
                <w:szCs w:val="17"/>
                <w:color w:val="0000FF"/>
              </w:rPr>
              <w:t>I</w:t>
            </w:r>
          </w:p>
        </w:tc>
        <w:tc>
          <w:tcPr>
            <w:tcW w:w="34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0000FF"/>
                <w:w w:val="92"/>
              </w:rPr>
              <w:t>See</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gridSpan w:val="3"/>
            <w:vMerge w:val="restart"/>
          </w:tcPr>
          <w:p>
            <w:pPr>
              <w:ind w:left="20"/>
              <w:spacing w:after="0" w:line="268" w:lineRule="exact"/>
              <w:rPr>
                <w:sz w:val="20"/>
                <w:szCs w:val="20"/>
                <w:color w:val="auto"/>
              </w:rPr>
            </w:pPr>
            <w:r>
              <w:rPr>
                <w:rFonts w:ascii="Arial" w:cs="Arial" w:eastAsia="Arial" w:hAnsi="Arial"/>
                <w:sz w:val="31"/>
                <w:szCs w:val="31"/>
                <w:color w:val="0000FF"/>
                <w:w w:val="95"/>
                <w:vertAlign w:val="subscript"/>
              </w:rPr>
              <w:t>footnotes</w:t>
            </w:r>
            <w:r>
              <w:rPr>
                <w:rFonts w:ascii="Arial" w:cs="Arial" w:eastAsia="Arial" w:hAnsi="Arial"/>
                <w:sz w:val="10"/>
                <w:szCs w:val="10"/>
                <w:color w:val="008000"/>
                <w:w w:val="95"/>
              </w:rPr>
              <w:t>(1)(2)(3)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54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66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580" w:type="dxa"/>
            <w:vAlign w:val="bottom"/>
            <w:tcBorders>
              <w:top w:val="single" w:sz="8" w:color="2C2C2C"/>
            </w:tcBorders>
            <w:gridSpan w:val="2"/>
            <w:vMerge w:val="restart"/>
          </w:tcPr>
          <w:p>
            <w:pPr>
              <w:ind w:left="700"/>
              <w:spacing w:after="0"/>
              <w:rPr>
                <w:sz w:val="20"/>
                <w:szCs w:val="20"/>
                <w:color w:val="auto"/>
              </w:rPr>
            </w:pPr>
            <w:r>
              <w:rPr>
                <w:rFonts w:ascii="Arial" w:cs="Arial" w:eastAsia="Arial" w:hAnsi="Arial"/>
                <w:sz w:val="17"/>
                <w:szCs w:val="17"/>
                <w:color w:val="0000FF"/>
              </w:rPr>
              <w:t>12/29/2017</w:t>
            </w:r>
          </w:p>
        </w:tc>
        <w:tc>
          <w:tcPr>
            <w:tcW w:w="2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ind w:left="220"/>
              <w:spacing w:after="0"/>
              <w:rPr>
                <w:sz w:val="20"/>
                <w:szCs w:val="20"/>
                <w:color w:val="auto"/>
              </w:rPr>
            </w:pPr>
            <w:r>
              <w:rPr>
                <w:rFonts w:ascii="Arial" w:cs="Arial" w:eastAsia="Arial" w:hAnsi="Arial"/>
                <w:sz w:val="13"/>
                <w:szCs w:val="13"/>
                <w:color w:val="0000FF"/>
              </w:rPr>
              <w:t>J</w:t>
            </w:r>
          </w:p>
        </w:tc>
        <w:tc>
          <w:tcPr>
            <w:tcW w:w="7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7"/>
              </w:rPr>
              <w:t>551,323</w:t>
            </w:r>
          </w:p>
        </w:tc>
        <w:tc>
          <w:tcPr>
            <w:tcW w:w="6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5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gridSpan w:val="2"/>
            <w:vMerge w:val="restart"/>
          </w:tcPr>
          <w:p>
            <w:pPr>
              <w:jc w:val="right"/>
              <w:ind w:right="202"/>
              <w:spacing w:after="0"/>
              <w:rPr>
                <w:sz w:val="20"/>
                <w:szCs w:val="20"/>
                <w:color w:val="auto"/>
              </w:rPr>
            </w:pPr>
            <w:r>
              <w:rPr>
                <w:rFonts w:ascii="Arial" w:cs="Arial" w:eastAsia="Arial" w:hAnsi="Arial"/>
                <w:sz w:val="17"/>
                <w:szCs w:val="17"/>
                <w:color w:val="0000FF"/>
              </w:rPr>
              <w:t>0</w:t>
            </w:r>
          </w:p>
        </w:tc>
        <w:tc>
          <w:tcPr>
            <w:tcW w:w="960" w:type="dxa"/>
            <w:vAlign w:val="bottom"/>
            <w:tcBorders>
              <w:top w:val="single" w:sz="8" w:color="2C2C2C"/>
            </w:tcBorders>
            <w:vMerge w:val="restart"/>
          </w:tcPr>
          <w:p>
            <w:pPr>
              <w:ind w:left="74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w w:val="92"/>
              </w:rPr>
              <w:t>See</w:t>
            </w:r>
          </w:p>
        </w:tc>
        <w:tc>
          <w:tcPr>
            <w:tcW w:w="780" w:type="dxa"/>
            <w:vAlign w:val="bottom"/>
            <w:tcBorders>
              <w:top w:val="single" w:sz="8" w:color="2C2C2C"/>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1"/>
                <w:szCs w:val="21"/>
                <w:color w:val="008000"/>
                <w:w w:val="95"/>
                <w:vertAlign w:val="superscript"/>
              </w:rPr>
              <w:t>(1)(2)(3)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34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w w:val="95"/>
              </w:rPr>
              <w:t>5. Number of</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8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Conversion</w:t>
            </w:r>
          </w:p>
        </w:tc>
        <w:tc>
          <w:tcPr>
            <w:tcW w:w="11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w w:val="93"/>
              </w:rPr>
              <w:t>Form:</w:t>
            </w:r>
          </w:p>
        </w:tc>
        <w:tc>
          <w:tcPr>
            <w:tcW w:w="320" w:type="dxa"/>
            <w:vAlign w:val="bottom"/>
          </w:tcPr>
          <w:p>
            <w:pPr>
              <w:spacing w:after="0"/>
              <w:rPr>
                <w:sz w:val="11"/>
                <w:szCs w:val="11"/>
                <w:color w:val="auto"/>
              </w:rPr>
            </w:pP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Acquired (A)</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 Indirect</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60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3"/>
          </w:tcPr>
          <w:p>
            <w:pPr>
              <w:ind w:left="2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of Shares</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3"/>
                <w:szCs w:val="13"/>
                <w:color w:val="0000FF"/>
                <w:w w:val="93"/>
              </w:rPr>
              <w:t>Shares/Class</w:t>
            </w:r>
          </w:p>
        </w:tc>
        <w:tc>
          <w:tcPr>
            <w:tcW w:w="74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120" w:type="dxa"/>
            <w:vAlign w:val="bottom"/>
            <w:gridSpan w:val="3"/>
            <w:vMerge w:val="restart"/>
          </w:tcPr>
          <w:p>
            <w:pPr>
              <w:ind w:left="280"/>
              <w:spacing w:after="0"/>
              <w:rPr>
                <w:sz w:val="20"/>
                <w:szCs w:val="20"/>
                <w:color w:val="auto"/>
              </w:rPr>
            </w:pPr>
            <w:r>
              <w:rPr>
                <w:rFonts w:ascii="Arial" w:cs="Arial" w:eastAsia="Arial" w:hAnsi="Arial"/>
                <w:sz w:val="13"/>
                <w:szCs w:val="13"/>
                <w:color w:val="0000FF"/>
              </w:rPr>
              <w:t>12/29/2017</w:t>
            </w:r>
          </w:p>
        </w:tc>
        <w:tc>
          <w:tcPr>
            <w:tcW w:w="1100" w:type="dxa"/>
            <w:vAlign w:val="bottom"/>
          </w:tcPr>
          <w:p>
            <w:pPr>
              <w:spacing w:after="0"/>
              <w:rPr>
                <w:sz w:val="10"/>
                <w:szCs w:val="10"/>
                <w:color w:val="auto"/>
              </w:rPr>
            </w:pPr>
          </w:p>
        </w:tc>
        <w:tc>
          <w:tcPr>
            <w:tcW w:w="48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tcPr>
          <w:p>
            <w:pPr>
              <w:ind w:left="380"/>
              <w:spacing w:after="0"/>
              <w:rPr>
                <w:sz w:val="20"/>
                <w:szCs w:val="20"/>
                <w:color w:val="auto"/>
              </w:rPr>
            </w:pPr>
            <w:r>
              <w:rPr>
                <w:rFonts w:ascii="Arial" w:cs="Arial" w:eastAsia="Arial" w:hAnsi="Arial"/>
                <w:sz w:val="13"/>
                <w:szCs w:val="13"/>
                <w:color w:val="0000FF"/>
                <w:w w:val="85"/>
              </w:rPr>
              <w:t>551,323</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(1)(2)</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9"/>
              </w:rPr>
              <w:t>(1)(2)</w:t>
            </w:r>
          </w:p>
        </w:tc>
        <w:tc>
          <w:tcPr>
            <w:tcW w:w="600" w:type="dxa"/>
            <w:vAlign w:val="bottom"/>
          </w:tcPr>
          <w:p>
            <w:pPr>
              <w:ind w:left="60"/>
              <w:spacing w:after="0" w:line="126" w:lineRule="exact"/>
              <w:rPr>
                <w:sz w:val="20"/>
                <w:szCs w:val="20"/>
                <w:color w:val="auto"/>
              </w:rPr>
            </w:pPr>
            <w:r>
              <w:rPr>
                <w:rFonts w:ascii="Arial" w:cs="Arial" w:eastAsia="Arial" w:hAnsi="Arial"/>
                <w:sz w:val="13"/>
                <w:szCs w:val="13"/>
                <w:color w:val="0000FF"/>
                <w:w w:val="98"/>
              </w:rPr>
              <w:t>Common</w:t>
            </w:r>
          </w:p>
        </w:tc>
        <w:tc>
          <w:tcPr>
            <w:tcW w:w="64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4"/>
              </w:rPr>
              <w:t>551,323</w:t>
            </w:r>
          </w:p>
        </w:tc>
        <w:tc>
          <w:tcPr>
            <w:tcW w:w="820" w:type="dxa"/>
            <w:vAlign w:val="bottom"/>
            <w:gridSpan w:val="2"/>
            <w:vMerge w:val="restart"/>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60" w:type="dxa"/>
            <w:vAlign w:val="bottom"/>
            <w:vMerge w:val="restart"/>
          </w:tcPr>
          <w:p>
            <w:pPr>
              <w:ind w:left="60"/>
              <w:spacing w:after="0"/>
              <w:rPr>
                <w:sz w:val="20"/>
                <w:szCs w:val="20"/>
                <w:color w:val="auto"/>
              </w:rPr>
            </w:pPr>
            <w:r>
              <w:rPr>
                <w:rFonts w:ascii="Arial" w:cs="Arial" w:eastAsia="Arial" w:hAnsi="Arial"/>
                <w:sz w:val="13"/>
                <w:szCs w:val="13"/>
                <w:color w:val="0000FF"/>
              </w:rPr>
              <w:t>18,366,175</w:t>
            </w:r>
            <w:r>
              <w:rPr>
                <w:rFonts w:ascii="Arial" w:cs="Arial" w:eastAsia="Arial" w:hAnsi="Arial"/>
                <w:sz w:val="21"/>
                <w:szCs w:val="21"/>
                <w:color w:val="008000"/>
                <w:vertAlign w:val="superscript"/>
              </w:rPr>
              <w:t>(4)</w:t>
            </w:r>
          </w:p>
        </w:tc>
        <w:tc>
          <w:tcPr>
            <w:tcW w:w="340" w:type="dxa"/>
            <w:vAlign w:val="bottom"/>
            <w:vMerge w:val="restart"/>
          </w:tcPr>
          <w:p>
            <w:pPr>
              <w:ind w:left="28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A Units/GP</w:t>
            </w:r>
          </w:p>
        </w:tc>
        <w:tc>
          <w:tcPr>
            <w:tcW w:w="740" w:type="dxa"/>
            <w:vAlign w:val="bottom"/>
            <w:vMerge w:val="continue"/>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Units</w:t>
            </w:r>
          </w:p>
        </w:tc>
        <w:tc>
          <w:tcPr>
            <w:tcW w:w="64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tcPr>
          <w:p>
            <w:pPr>
              <w:ind w:left="80"/>
              <w:spacing w:after="0" w:line="160"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7"/>
          </w:tcPr>
          <w:p>
            <w:pPr>
              <w:ind w:left="60"/>
              <w:spacing w:after="0" w:line="237"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gridSpan w:val="6"/>
          </w:tcPr>
          <w:p>
            <w:pPr>
              <w:ind w:left="20"/>
              <w:spacing w:after="0" w:line="216" w:lineRule="exact"/>
              <w:rPr>
                <w:rFonts w:ascii="Arial" w:cs="Arial" w:eastAsia="Arial" w:hAnsi="Arial"/>
                <w:sz w:val="21"/>
                <w:szCs w:val="21"/>
                <w:color w:val="0000EE"/>
              </w:rPr>
            </w:pPr>
            <w:hyperlink r:id="rId12">
              <w:r>
                <w:rPr>
                  <w:rFonts w:ascii="Arial" w:cs="Arial" w:eastAsia="Arial" w:hAnsi="Arial"/>
                  <w:sz w:val="21"/>
                  <w:szCs w:val="21"/>
                  <w:color w:val="0000EE"/>
                </w:rPr>
                <w:t>KAFU Holdings (QP), L.P.</w:t>
              </w:r>
            </w:hyperlink>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36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80" w:type="dxa"/>
            <w:vAlign w:val="bottom"/>
            <w:gridSpan w:val="7"/>
          </w:tcPr>
          <w:p>
            <w:pPr>
              <w:ind w:left="20"/>
              <w:spacing w:after="0"/>
              <w:rPr>
                <w:sz w:val="20"/>
                <w:szCs w:val="20"/>
                <w:color w:val="auto"/>
              </w:rPr>
            </w:pPr>
            <w:r>
              <w:rPr>
                <w:rFonts w:ascii="Arial" w:cs="Arial" w:eastAsia="Arial" w:hAnsi="Arial"/>
                <w:sz w:val="17"/>
                <w:szCs w:val="17"/>
                <w:color w:val="0000FF"/>
              </w:rPr>
              <w:t>1800 AVENUE OF THE STARS, SUITE 300</w:t>
            </w: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17"/>
                <w:szCs w:val="17"/>
                <w:color w:val="0000FF"/>
              </w:rPr>
              <w:t>LOS ANGELES</w:t>
            </w:r>
          </w:p>
        </w:tc>
        <w:tc>
          <w:tcPr>
            <w:tcW w:w="112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360"/>
              <w:spacing w:after="0"/>
              <w:rPr>
                <w:sz w:val="20"/>
                <w:szCs w:val="20"/>
                <w:color w:val="auto"/>
              </w:rPr>
            </w:pPr>
            <w:r>
              <w:rPr>
                <w:rFonts w:ascii="Arial" w:cs="Arial" w:eastAsia="Arial" w:hAnsi="Arial"/>
                <w:sz w:val="17"/>
                <w:szCs w:val="17"/>
                <w:color w:val="0000FF"/>
              </w:rPr>
              <w:t>90067</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36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gridSpan w:val="6"/>
          </w:tcPr>
          <w:p>
            <w:pPr>
              <w:ind w:left="20"/>
              <w:spacing w:after="0" w:line="216" w:lineRule="exact"/>
              <w:rPr>
                <w:rFonts w:ascii="Arial" w:cs="Arial" w:eastAsia="Arial" w:hAnsi="Arial"/>
                <w:sz w:val="21"/>
                <w:szCs w:val="21"/>
                <w:color w:val="0000EE"/>
              </w:rPr>
            </w:pPr>
            <w:hyperlink r:id="rId14">
              <w:r>
                <w:rPr>
                  <w:rFonts w:ascii="Arial" w:cs="Arial" w:eastAsia="Arial" w:hAnsi="Arial"/>
                  <w:sz w:val="21"/>
                  <w:szCs w:val="21"/>
                  <w:color w:val="0000EE"/>
                </w:rPr>
                <w:t>KAFU HOLDINGS, L.P.</w:t>
              </w:r>
            </w:hyperlink>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36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80" w:type="dxa"/>
            <w:vAlign w:val="bottom"/>
            <w:gridSpan w:val="6"/>
          </w:tcPr>
          <w:p>
            <w:pPr>
              <w:ind w:left="20"/>
              <w:spacing w:after="0"/>
              <w:rPr>
                <w:sz w:val="20"/>
                <w:szCs w:val="20"/>
                <w:color w:val="auto"/>
              </w:rPr>
            </w:pPr>
            <w:r>
              <w:rPr>
                <w:rFonts w:ascii="Arial" w:cs="Arial" w:eastAsia="Arial" w:hAnsi="Arial"/>
                <w:sz w:val="17"/>
                <w:szCs w:val="17"/>
                <w:color w:val="0000FF"/>
              </w:rPr>
              <w:t>1800 AVENUE OF THE STARS</w:t>
            </w: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gridSpan w:val="3"/>
          </w:tcPr>
          <w:p>
            <w:pPr>
              <w:ind w:left="20"/>
              <w:spacing w:after="0"/>
              <w:rPr>
                <w:sz w:val="20"/>
                <w:szCs w:val="20"/>
                <w:color w:val="auto"/>
              </w:rPr>
            </w:pPr>
            <w:r>
              <w:rPr>
                <w:rFonts w:ascii="Arial" w:cs="Arial" w:eastAsia="Arial" w:hAnsi="Arial"/>
                <w:sz w:val="17"/>
                <w:szCs w:val="17"/>
                <w:color w:val="0000FF"/>
              </w:rPr>
              <w:t>3RD FLOOR</w:t>
            </w: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17"/>
                <w:szCs w:val="17"/>
                <w:color w:val="0000FF"/>
              </w:rPr>
              <w:t>LOS ANGELES</w:t>
            </w:r>
          </w:p>
        </w:tc>
        <w:tc>
          <w:tcPr>
            <w:tcW w:w="112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360"/>
              <w:spacing w:after="0"/>
              <w:rPr>
                <w:sz w:val="20"/>
                <w:szCs w:val="20"/>
                <w:color w:val="auto"/>
              </w:rPr>
            </w:pPr>
            <w:r>
              <w:rPr>
                <w:rFonts w:ascii="Arial" w:cs="Arial" w:eastAsia="Arial" w:hAnsi="Arial"/>
                <w:sz w:val="17"/>
                <w:szCs w:val="17"/>
                <w:color w:val="0000FF"/>
              </w:rPr>
              <w:t>77002</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36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-5170170</wp:posOffset>
            </wp:positionV>
            <wp:extent cx="24130" cy="1887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1887855"/>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200" w:firstLine="3"/>
        <w:spacing w:after="0" w:line="237"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Eighth Amended and Restated limited partnership agreement of Plains AAP, L.P. ("AAP") provides that each limited partner holding Class A Units will have the right, subject to certain limitations, to redeem its Class A Units for common units ("Common Units") of Plains All American Pipeline, L.P. (the "Issuer") held AAP on a one-for-one basis, by delivering Class A Units to AAP with the associated Class B Shares in Plains GP Holdings, L.P. ("PAGP") and GP Units in PAA GP Holdings LLC (if applicable), to PAGP (the "Redemption Right"). The Redemption Right does not expire. On December 29, 2017, KAFU Holdings, L.P., and KAFU Holdings (QP), L.P. exercised the Redemption Right with respect to an aggregate 551,323 Class A Units.</w:t>
      </w:r>
    </w:p>
    <w:p>
      <w:pPr>
        <w:spacing w:after="0" w:line="32" w:lineRule="exact"/>
        <w:rPr>
          <w:rFonts w:ascii="Arial" w:cs="Arial" w:eastAsia="Arial" w:hAnsi="Arial"/>
          <w:sz w:val="13"/>
          <w:szCs w:val="13"/>
          <w:color w:val="008000"/>
        </w:rPr>
      </w:pPr>
    </w:p>
    <w:p>
      <w:pPr>
        <w:ind w:left="40" w:right="160" w:firstLine="3"/>
        <w:spacing w:after="0" w:line="25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and KAFU Holdings, L.P. (collectively, "KAFU") own an equivalent number of Class A Units, Class B Shares and GP Units. KACALP is the manager of the general partner of KAFU and may be deemed to beneficially own the Class A Units, Class B Shares and GP Units held by KAFU.</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involve an in-kind distribution to redeeming limited partners of KAFU Holdings (QP), L.P. and KAFU Holdings, L.P.</w:t>
      </w:r>
    </w:p>
    <w:p>
      <w:pPr>
        <w:sectPr>
          <w:pgSz w:w="11900" w:h="16838" w:orient="portrait"/>
          <w:cols w:equalWidth="0" w:num="1">
            <w:col w:w="11520"/>
          </w:cols>
          <w:pgMar w:left="240" w:top="222" w:right="139" w:bottom="0" w:gutter="0" w:footer="0" w:header="0"/>
          <w:type w:val="continuous"/>
        </w:sectPr>
      </w:pPr>
    </w:p>
    <w:bookmarkStart w:id="1" w:name="page2"/>
    <w:bookmarkEnd w:id="1"/>
    <w:p>
      <w:pPr>
        <w:ind w:right="40" w:firstLine="3"/>
        <w:spacing w:after="0" w:line="286" w:lineRule="auto"/>
        <w:tabs>
          <w:tab w:leader="none" w:pos="13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a simultaneous transaction, KAFU exercised the exchange right provided for in the limited partnership agreement of AAP pursuant to which 223,465 Class A Units, Class B Shares and GP Units were exchanged for a like number of PAGP Class A Shares. The number of derivative securities owned reflects both the redemption transaction reported herein and the simultaneous exchange transaction.</w:t>
      </w:r>
    </w:p>
    <w:p>
      <w:pPr>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KAFU Holdings, L.P., are referred to herein as the "Reporting Persons". The filing of this Statement shall not be construed as an admission that any Reporting Person is, for purposes of Section 13(d) of the Exchange Act, as amended, the beneficial owner of any security.</w:t>
      </w:r>
    </w:p>
    <w:p>
      <w:pPr>
        <w:spacing w:after="0" w:line="40"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260" w:type="dxa"/>
            <w:vAlign w:val="bottom"/>
          </w:tcPr>
          <w:p>
            <w:pPr>
              <w:spacing w:after="0"/>
              <w:rPr>
                <w:sz w:val="20"/>
                <w:szCs w:val="20"/>
                <w:color w:val="auto"/>
              </w:rPr>
            </w:pPr>
            <w:r>
              <w:rPr>
                <w:rFonts w:ascii="Arial" w:cs="Arial" w:eastAsia="Arial" w:hAnsi="Arial"/>
                <w:sz w:val="17"/>
                <w:szCs w:val="17"/>
                <w:color w:val="0000FF"/>
                <w:w w:val="91"/>
              </w:rPr>
              <w:t>David Shladovsky</w:t>
            </w:r>
          </w:p>
        </w:tc>
        <w:tc>
          <w:tcPr>
            <w:tcW w:w="840" w:type="dxa"/>
            <w:vAlign w:val="bottom"/>
          </w:tcPr>
          <w:p>
            <w:pPr>
              <w:spacing w:after="0"/>
              <w:rPr>
                <w:sz w:val="16"/>
                <w:szCs w:val="16"/>
                <w:color w:val="auto"/>
              </w:rPr>
            </w:pPr>
          </w:p>
        </w:tc>
        <w:tc>
          <w:tcPr>
            <w:tcW w:w="960" w:type="dxa"/>
            <w:vAlign w:val="bottom"/>
            <w:gridSpan w:val="2"/>
          </w:tcPr>
          <w:p>
            <w:pPr>
              <w:ind w:left="200"/>
              <w:spacing w:after="0"/>
              <w:rPr>
                <w:sz w:val="20"/>
                <w:szCs w:val="20"/>
                <w:color w:val="auto"/>
              </w:rPr>
            </w:pPr>
            <w:r>
              <w:rPr>
                <w:rFonts w:ascii="Arial" w:cs="Arial" w:eastAsia="Arial" w:hAnsi="Arial"/>
                <w:sz w:val="17"/>
                <w:szCs w:val="17"/>
                <w:color w:val="0000FF"/>
                <w:w w:val="86"/>
              </w:rPr>
              <w:t>01/03/2018</w:t>
            </w:r>
          </w:p>
        </w:tc>
      </w:tr>
      <w:tr>
        <w:trPr>
          <w:trHeight w:val="20"/>
        </w:trPr>
        <w:tc>
          <w:tcPr>
            <w:tcW w:w="12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760" w:firstLine="3"/>
        <w:spacing w:after="0" w:line="336"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60"/>
      </w:cols>
      <w:pgMar w:left="280" w:top="1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5900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2020-01-13T22:05:19Z</dcterms:created>
  <dcterms:modified xsi:type="dcterms:W3CDTF">2020-01-13T22:05:19Z</dcterms:modified>
</cp:coreProperties>
</file>