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PAA GP Holdings LLC</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7"/>
                <w:szCs w:val="17"/>
                <w:color w:val="0000FF"/>
                <w:w w:val="97"/>
              </w:rPr>
              <w:t>333 CLAY STREET, STE. 1600</w:t>
            </w:r>
          </w:p>
        </w:tc>
        <w:tc>
          <w:tcPr>
            <w:tcW w:w="12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340" w:type="dxa"/>
            <w:vAlign w:val="bottom"/>
          </w:tcPr>
          <w:p>
            <w:pPr>
              <w:ind w:left="200"/>
              <w:spacing w:after="0"/>
              <w:rPr>
                <w:sz w:val="20"/>
                <w:szCs w:val="20"/>
                <w:color w:val="auto"/>
              </w:rPr>
            </w:pPr>
            <w:r>
              <w:rPr>
                <w:rFonts w:ascii="Arial" w:cs="Arial" w:eastAsia="Arial" w:hAnsi="Arial"/>
                <w:sz w:val="17"/>
                <w:szCs w:val="17"/>
                <w:color w:val="0000FF"/>
              </w:rPr>
              <w:t>TX</w:t>
            </w:r>
          </w:p>
        </w:tc>
        <w:tc>
          <w:tcPr>
            <w:tcW w:w="1280" w:type="dxa"/>
            <w:vAlign w:val="bottom"/>
          </w:tcPr>
          <w:p>
            <w:pPr>
              <w:ind w:left="8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128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5440" w:type="dxa"/>
            <w:vAlign w:val="bottom"/>
            <w:gridSpan w:val="6"/>
          </w:tcPr>
          <w:p>
            <w:pPr>
              <w:spacing w:after="0" w:line="207" w:lineRule="exact"/>
              <w:rPr>
                <w:rFonts w:ascii="Arial" w:cs="Arial" w:eastAsia="Arial" w:hAnsi="Arial"/>
                <w:sz w:val="20"/>
                <w:szCs w:val="20"/>
                <w:color w:val="0000EE"/>
              </w:rPr>
            </w:pPr>
            <w:hyperlink r:id="rId13">
              <w:r>
                <w:rPr>
                  <w:rFonts w:ascii="Arial" w:cs="Arial" w:eastAsia="Arial" w:hAnsi="Arial"/>
                  <w:sz w:val="20"/>
                  <w:szCs w:val="20"/>
                  <w:color w:val="0000EE"/>
                </w:rPr>
                <w:t xml:space="preserve">PLAINS ALL AMERICAN PIPELINE LP  </w:t>
              </w:r>
            </w:hyperlink>
            <w:r>
              <w:rPr>
                <w:rFonts w:ascii="Arial" w:cs="Arial" w:eastAsia="Arial" w:hAnsi="Arial"/>
                <w:sz w:val="24"/>
                <w:szCs w:val="24"/>
                <w:color w:val="000000"/>
                <w:vertAlign w:val="superscript"/>
              </w:rPr>
              <w:t>(Check</w:t>
            </w:r>
            <w:r>
              <w:rPr>
                <w:rFonts w:ascii="Arial" w:cs="Arial" w:eastAsia="Arial" w:hAnsi="Arial"/>
                <w:sz w:val="20"/>
                <w:szCs w:val="20"/>
                <w:color w:val="0000EE"/>
              </w:rPr>
              <w:t xml:space="preserve"> </w:t>
            </w:r>
            <w:r>
              <w:rPr>
                <w:rFonts w:ascii="Arial" w:cs="Arial" w:eastAsia="Arial" w:hAnsi="Arial"/>
                <w:sz w:val="24"/>
                <w:szCs w:val="24"/>
                <w:color w:val="000000"/>
                <w:vertAlign w:val="superscript"/>
              </w:rPr>
              <w:t>all applicable)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auto"/>
              </w:rPr>
            </w:pPr>
            <w:hyperlink r:id="rId13">
              <w:r>
                <w:rPr>
                  <w:rFonts w:ascii="Arial" w:cs="Arial" w:eastAsia="Arial" w:hAnsi="Arial"/>
                  <w:sz w:val="3"/>
                  <w:szCs w:val="3"/>
                  <w:color w:val="auto"/>
                </w:rPr>
                <w:t xml:space="preserve">[ </w:t>
              </w:r>
              <w:r>
                <w:rPr>
                  <w:rFonts w:ascii="Arial" w:cs="Arial" w:eastAsia="Arial" w:hAnsi="Arial"/>
                  <w:sz w:val="3"/>
                  <w:szCs w:val="3"/>
                  <w:color w:val="0000FF"/>
                </w:rPr>
                <w:t>PAA</w:t>
              </w:r>
              <w:r>
                <w:rPr>
                  <w:rFonts w:ascii="Arial" w:cs="Arial" w:eastAsia="Arial" w:hAnsi="Arial"/>
                  <w:sz w:val="3"/>
                  <w:szCs w:val="3"/>
                  <w:color w:val="auto"/>
                </w:rPr>
                <w:t xml:space="preserve"> ]</w:t>
              </w:r>
            </w:hyperlink>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tcPr>
          <w:p>
            <w:pPr>
              <w:ind w:left="140"/>
              <w:spacing w:after="0" w:line="27" w:lineRule="exact"/>
              <w:rPr>
                <w:sz w:val="20"/>
                <w:szCs w:val="20"/>
                <w:color w:val="auto"/>
              </w:rPr>
            </w:pPr>
            <w:r>
              <w:rPr>
                <w:rFonts w:ascii="Arial" w:cs="Arial" w:eastAsia="Arial" w:hAnsi="Arial"/>
                <w:sz w:val="3"/>
                <w:szCs w:val="3"/>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4"/>
                <w:szCs w:val="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760" w:type="dxa"/>
            <w:vAlign w:val="bottom"/>
            <w:gridSpan w:val="3"/>
          </w:tcPr>
          <w:p>
            <w:pPr>
              <w:ind w:left="80"/>
              <w:spacing w:after="0"/>
              <w:rPr>
                <w:sz w:val="20"/>
                <w:szCs w:val="20"/>
                <w:color w:val="auto"/>
              </w:rPr>
            </w:pPr>
            <w:r>
              <w:rPr>
                <w:rFonts w:ascii="Arial" w:cs="Arial" w:eastAsia="Arial" w:hAnsi="Arial"/>
                <w:sz w:val="17"/>
                <w:szCs w:val="17"/>
                <w:color w:val="0000FF"/>
              </w:rPr>
              <w:t>08/13/2021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5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jc w:val="right"/>
              <w:spacing w:after="0"/>
              <w:rPr>
                <w:sz w:val="20"/>
                <w:szCs w:val="20"/>
                <w:color w:val="auto"/>
              </w:rPr>
            </w:pPr>
            <w:r>
              <w:rPr>
                <w:rFonts w:ascii="Arial" w:cs="Arial" w:eastAsia="Arial" w:hAnsi="Arial"/>
                <w:sz w:val="13"/>
                <w:szCs w:val="13"/>
                <w:color w:val="auto"/>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3"/>
                <w:szCs w:val="13"/>
                <w:color w:val="auto"/>
              </w:rPr>
            </w:pP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80" w:type="dxa"/>
            <w:vAlign w:val="bottom"/>
            <w:gridSpan w:val="8"/>
            <w:vMerge w:val="restart"/>
          </w:tcPr>
          <w:p>
            <w:pPr>
              <w:ind w:left="60"/>
              <w:spacing w:after="0"/>
              <w:rPr>
                <w:sz w:val="20"/>
                <w:szCs w:val="20"/>
                <w:color w:val="auto"/>
              </w:rPr>
            </w:pPr>
            <w:r>
              <w:rPr>
                <w:rFonts w:ascii="Arial" w:cs="Arial" w:eastAsia="Arial" w:hAnsi="Arial"/>
                <w:sz w:val="17"/>
                <w:szCs w:val="17"/>
                <w:color w:val="0000FF"/>
                <w:w w:val="98"/>
              </w:rPr>
              <w:t>Common Units (Limited Partner Interests)</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7"/>
                <w:szCs w:val="17"/>
                <w:color w:val="0000FF"/>
              </w:rPr>
              <w:t>08/13/2021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w w:val="99"/>
              </w:rPr>
              <w:t>18,546</w:t>
            </w:r>
          </w:p>
        </w:tc>
        <w:tc>
          <w:tcPr>
            <w:tcW w:w="420" w:type="dxa"/>
            <w:vAlign w:val="bottom"/>
            <w:vMerge w:val="restart"/>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18"/>
                <w:szCs w:val="18"/>
                <w:color w:val="auto"/>
              </w:rPr>
            </w:pPr>
          </w:p>
        </w:tc>
        <w:tc>
          <w:tcPr>
            <w:tcW w:w="540" w:type="dxa"/>
            <w:vAlign w:val="bottom"/>
            <w:gridSpan w:val="3"/>
            <w:vMerge w:val="restart"/>
          </w:tcPr>
          <w:p>
            <w:pPr>
              <w:jc w:val="right"/>
              <w:ind w:right="80"/>
              <w:spacing w:after="0" w:line="382"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20" w:type="dxa"/>
            <w:vAlign w:val="bottom"/>
            <w:gridSpan w:val="2"/>
            <w:vMerge w:val="restart"/>
          </w:tcPr>
          <w:p>
            <w:pPr>
              <w:ind w:left="160"/>
              <w:spacing w:after="0"/>
              <w:rPr>
                <w:sz w:val="20"/>
                <w:szCs w:val="20"/>
                <w:color w:val="auto"/>
              </w:rPr>
            </w:pPr>
            <w:r>
              <w:rPr>
                <w:rFonts w:ascii="Arial" w:cs="Arial" w:eastAsia="Arial" w:hAnsi="Arial"/>
                <w:sz w:val="17"/>
                <w:szCs w:val="17"/>
                <w:color w:val="0000FF"/>
              </w:rPr>
              <w:t>245,006,728</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Plains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80" w:type="dxa"/>
            <w:vAlign w:val="bottom"/>
            <w:gridSpan w:val="8"/>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AAP,</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gridSpan w:val="19"/>
          </w:tcPr>
          <w:p>
            <w:pPr>
              <w:ind w:left="2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40" w:type="dxa"/>
            <w:vAlign w:val="bottom"/>
          </w:tcPr>
          <w:p>
            <w:pPr>
              <w:spacing w:after="0"/>
              <w:rPr>
                <w:sz w:val="11"/>
                <w:szCs w:val="11"/>
                <w:color w:val="auto"/>
              </w:rPr>
            </w:pPr>
          </w:p>
        </w:tc>
        <w:tc>
          <w:tcPr>
            <w:tcW w:w="1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40" w:type="dxa"/>
            <w:vAlign w:val="bottom"/>
          </w:tcPr>
          <w:p>
            <w:pPr>
              <w:spacing w:after="0"/>
              <w:rPr>
                <w:sz w:val="11"/>
                <w:szCs w:val="11"/>
                <w:color w:val="auto"/>
              </w:rPr>
            </w:pPr>
          </w:p>
        </w:tc>
        <w:tc>
          <w:tcPr>
            <w:tcW w:w="1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7"/>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PAA GP Holdings LLC</w:t>
              </w:r>
            </w:hyperlink>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333 CLAY STREET, STE. 1600</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gridSpan w:val="4"/>
          </w:tcPr>
          <w:p>
            <w:pPr>
              <w:ind w:left="20"/>
              <w:spacing w:after="0"/>
              <w:rPr>
                <w:sz w:val="20"/>
                <w:szCs w:val="20"/>
                <w:color w:val="auto"/>
              </w:rPr>
            </w:pPr>
            <w:r>
              <w:rPr>
                <w:rFonts w:ascii="Arial" w:cs="Arial" w:eastAsia="Arial" w:hAnsi="Arial"/>
                <w:sz w:val="17"/>
                <w:szCs w:val="17"/>
                <w:color w:val="0000FF"/>
              </w:rPr>
              <w:t>TX</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77002</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520" w:type="dxa"/>
            <w:vAlign w:val="bottom"/>
          </w:tcPr>
          <w:p>
            <w:pPr>
              <w:ind w:left="240"/>
              <w:spacing w:after="0"/>
              <w:rPr>
                <w:sz w:val="20"/>
                <w:szCs w:val="20"/>
                <w:color w:val="auto"/>
              </w:rPr>
            </w:pPr>
            <w:r>
              <w:rPr>
                <w:rFonts w:ascii="Arial" w:cs="Arial" w:eastAsia="Arial" w:hAnsi="Arial"/>
                <w:sz w:val="13"/>
                <w:szCs w:val="13"/>
                <w:color w:val="auto"/>
                <w:w w:val="97"/>
              </w:rPr>
              <w:t>(Zip)</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Plains AAP, L.P.</w:t>
              </w:r>
            </w:hyperlink>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333 CLAY STREET, SUITE 1600</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gridSpan w:val="4"/>
          </w:tcPr>
          <w:p>
            <w:pPr>
              <w:ind w:left="20"/>
              <w:spacing w:after="0"/>
              <w:rPr>
                <w:sz w:val="20"/>
                <w:szCs w:val="20"/>
                <w:color w:val="auto"/>
              </w:rPr>
            </w:pPr>
            <w:r>
              <w:rPr>
                <w:rFonts w:ascii="Arial" w:cs="Arial" w:eastAsia="Arial" w:hAnsi="Arial"/>
                <w:sz w:val="17"/>
                <w:szCs w:val="17"/>
                <w:color w:val="0000FF"/>
              </w:rPr>
              <w:t>TX</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77002</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520" w:type="dxa"/>
            <w:vAlign w:val="bottom"/>
          </w:tcPr>
          <w:p>
            <w:pPr>
              <w:ind w:left="240"/>
              <w:spacing w:after="0"/>
              <w:rPr>
                <w:sz w:val="20"/>
                <w:szCs w:val="20"/>
                <w:color w:val="auto"/>
              </w:rPr>
            </w:pPr>
            <w:r>
              <w:rPr>
                <w:rFonts w:ascii="Arial" w:cs="Arial" w:eastAsia="Arial" w:hAnsi="Arial"/>
                <w:sz w:val="13"/>
                <w:szCs w:val="13"/>
                <w:color w:val="auto"/>
                <w:w w:val="97"/>
              </w:rPr>
              <w:t>(Zip)</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w w:val="97"/>
              </w:rPr>
            </w:pPr>
            <w:hyperlink r:id="rId15">
              <w:r>
                <w:rPr>
                  <w:rFonts w:ascii="Arial" w:cs="Arial" w:eastAsia="Arial" w:hAnsi="Arial"/>
                  <w:sz w:val="21"/>
                  <w:szCs w:val="21"/>
                  <w:color w:val="0000EE"/>
                  <w:w w:val="97"/>
                </w:rPr>
                <w:t>Plains All American GP LLC</w:t>
              </w:r>
            </w:hyperlink>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333 CLAY STREET, SUITE 1600</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400" w:type="dxa"/>
            <w:vAlign w:val="bottom"/>
          </w:tcPr>
          <w:p>
            <w:pPr>
              <w:ind w:left="280"/>
              <w:spacing w:after="0"/>
              <w:rPr>
                <w:sz w:val="20"/>
                <w:szCs w:val="20"/>
                <w:color w:val="auto"/>
              </w:rPr>
            </w:pPr>
            <w:r>
              <w:rPr>
                <w:rFonts w:ascii="Arial" w:cs="Arial" w:eastAsia="Arial" w:hAnsi="Arial"/>
                <w:sz w:val="17"/>
                <w:szCs w:val="17"/>
                <w:color w:val="0000FF"/>
              </w:rPr>
              <w:t>TX</w:t>
            </w:r>
          </w:p>
        </w:tc>
        <w:tc>
          <w:tcPr>
            <w:tcW w:w="1640" w:type="dxa"/>
            <w:vAlign w:val="bottom"/>
          </w:tcPr>
          <w:p>
            <w:pPr>
              <w:ind w:left="28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28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6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520" w:type="dxa"/>
            <w:vAlign w:val="bottom"/>
            <w:tcBorders>
              <w:bottom w:val="single" w:sz="8" w:color="0000EE"/>
            </w:tcBorders>
            <w:gridSpan w:val="2"/>
          </w:tcPr>
          <w:p>
            <w:pPr>
              <w:spacing w:after="0" w:line="221" w:lineRule="exact"/>
              <w:rPr>
                <w:rFonts w:ascii="Arial" w:cs="Arial" w:eastAsia="Arial" w:hAnsi="Arial"/>
                <w:sz w:val="21"/>
                <w:szCs w:val="21"/>
                <w:color w:val="0000EE"/>
                <w:w w:val="96"/>
              </w:rPr>
            </w:pPr>
            <w:hyperlink r:id="rId17">
              <w:r>
                <w:rPr>
                  <w:rFonts w:ascii="Arial" w:cs="Arial" w:eastAsia="Arial" w:hAnsi="Arial"/>
                  <w:sz w:val="21"/>
                  <w:szCs w:val="21"/>
                  <w:color w:val="0000EE"/>
                  <w:w w:val="96"/>
                </w:rPr>
                <w:t>PLAINS GP HOLDINGS LP</w:t>
              </w:r>
            </w:hyperlink>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28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333 CLAY ST., SUITE 1600</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400" w:type="dxa"/>
            <w:vAlign w:val="bottom"/>
          </w:tcPr>
          <w:p>
            <w:pPr>
              <w:ind w:left="280"/>
              <w:spacing w:after="0"/>
              <w:rPr>
                <w:sz w:val="20"/>
                <w:szCs w:val="20"/>
                <w:color w:val="auto"/>
              </w:rPr>
            </w:pPr>
            <w:r>
              <w:rPr>
                <w:rFonts w:ascii="Arial" w:cs="Arial" w:eastAsia="Arial" w:hAnsi="Arial"/>
                <w:sz w:val="17"/>
                <w:szCs w:val="17"/>
                <w:color w:val="0000FF"/>
              </w:rPr>
              <w:t>TX</w:t>
            </w:r>
          </w:p>
        </w:tc>
        <w:tc>
          <w:tcPr>
            <w:tcW w:w="1640" w:type="dxa"/>
            <w:vAlign w:val="bottom"/>
          </w:tcPr>
          <w:p>
            <w:pPr>
              <w:ind w:left="28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28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289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22891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8"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that certain Omnibus Agreement (the "Omnibus Agreement") dated November 15, 2016, by and among PAA GP Holdings LLC ("PAGP GP"), Plains GP Holdings, L.P. ("PAGP"), Plains All American GP LLC ("GP LLC"), Plains AAP, L.P. ("AAP"), PAA GP LLC and Plains All American Pipeline, L.P. ("PAA"), AAP is obligated to issue to PAGP a number of AAP Class A units equal to the number of PAGP Class A shares issued upon vesting of awards under PAGP's long-term incentive plan. The Omnibus Agreement also provides that immediately following such issuance, PAA is obligated to issue to AAP an equivalent number of PAA Common Units. On August 13, 2021, a total of 18,546 PAGP Class A shares were issued in connection with the vesting of outstanding LTIP awards under PAGP's long-term incentive plan. An equal number of AAP Class A units was issued to PAGP and an equal number of PAA Common Units was issued to AAP.</w:t>
      </w:r>
    </w:p>
    <w:p>
      <w:pPr>
        <w:spacing w:after="0" w:line="15" w:lineRule="exact"/>
        <w:rPr>
          <w:rFonts w:ascii="Arial" w:cs="Arial" w:eastAsia="Arial" w:hAnsi="Arial"/>
          <w:sz w:val="12"/>
          <w:szCs w:val="12"/>
          <w:color w:val="008000"/>
        </w:rPr>
      </w:pPr>
    </w:p>
    <w:p>
      <w:pPr>
        <w:ind w:left="20" w:right="480" w:firstLine="7"/>
        <w:spacing w:after="0" w:line="292"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 F. Gullion, Assistant</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08/17/2021</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Secretary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4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7"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2021-08-17T16:32:18Z</dcterms:created>
  <dcterms:modified xsi:type="dcterms:W3CDTF">2021-08-17T16:32:18Z</dcterms:modified>
</cp:coreProperties>
</file>