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16585d8k.htm"/>
      <w:bookmarkStart w:id="1" w:name="ksd316585d8k"/>
      <w:bookmarkEnd w:id="0"/>
      <w:bookmarkEnd w:id="1"/>
      <w:r>
        <w:rPr/>
        <w:t> </w:t>
      </w:r>
    </w:p>
    <w:p>
      <w:pPr>
        <w:pStyle w:val="TextBody"/>
        <w:pBdr>
          <w:bottom w:val="single" w:sz="4" w:space="1" w:color="000000"/>
        </w:pBdr>
        <w:spacing w:lineRule="atLeast" w:line="141" w:before="0" w:after="3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March 13,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09"/>
        <w:gridCol w:w="269"/>
        <w:gridCol w:w="3213"/>
        <w:gridCol w:w="213"/>
        <w:gridCol w:w="3201"/>
      </w:tblGrid>
      <w:tr>
        <w:trPr/>
        <w:tc>
          <w:tcPr>
            <w:tcW w:w="33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3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3201" w:type="dxa"/>
            <w:tcBorders/>
            <w:shd w:fill="auto" w:val="clear"/>
            <w:vAlign w:val="center"/>
          </w:tcPr>
          <w:p>
            <w:pPr>
              <w:pStyle w:val="TableContents"/>
              <w:spacing w:before="0" w:after="283"/>
              <w:rPr>
                <w:sz w:val="4"/>
                <w:szCs w:val="4"/>
              </w:rPr>
            </w:pPr>
            <w:r>
              <w:rPr>
                <w:sz w:val="4"/>
                <w:szCs w:val="4"/>
              </w:rPr>
            </w:r>
          </w:p>
        </w:tc>
      </w:tr>
      <w:tr>
        <w:trPr/>
        <w:tc>
          <w:tcPr>
            <w:tcW w:w="6791"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 Houston, Texas</w:t>
            </w:r>
          </w:p>
        </w:tc>
        <w:tc>
          <w:tcPr>
            <w:tcW w:w="213" w:type="dxa"/>
            <w:tcBorders/>
            <w:shd w:fill="auto" w:val="clear"/>
            <w:vAlign w:val="bottom"/>
          </w:tcPr>
          <w:p>
            <w:pPr>
              <w:pStyle w:val="TableContents"/>
              <w:spacing w:before="0" w:after="283"/>
              <w:rPr/>
            </w:pPr>
            <w:r>
              <w:rPr/>
              <w:t> </w:t>
            </w:r>
          </w:p>
        </w:tc>
        <w:tc>
          <w:tcPr>
            <w:tcW w:w="32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6791"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13" w:type="dxa"/>
            <w:tcBorders/>
            <w:shd w:fill="auto" w:val="clear"/>
            <w:vAlign w:val="bottom"/>
          </w:tcPr>
          <w:p>
            <w:pPr>
              <w:pStyle w:val="TableContents"/>
              <w:spacing w:before="0" w:after="283"/>
              <w:rPr/>
            </w:pPr>
            <w:r>
              <w:rPr/>
              <w:t> </w:t>
            </w:r>
          </w:p>
        </w:tc>
        <w:tc>
          <w:tcPr>
            <w:tcW w:w="3201"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49"/>
        <w:gridCol w:w="9256"/>
      </w:tblGrid>
      <w:tr>
        <w:trPr/>
        <w:tc>
          <w:tcPr>
            <w:tcW w:w="94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25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 xml:space="preserve">On March 13, 2012, Plains All American Pipeline, L.P. (the Partnership) and PAA Finance Corp. (PAA Finance, and together with the Partnership, the Issuers) entered into an underwriting agreement (the Underwriting Agreement) with J.P. Morgan Securities LLC, Merrill Lynch, Pierce, Fenner &amp; Smith Incorporated, UBS Securities LLC, Wells Fargo Securities, LLC, DNB Markets, Inc. and Mizuho Securities USA Inc., as representatives of the several underwriters named therein (collectively, the Underwriters), relating to the issuance and sale to the Underwriters of $750 million aggregate principal amount of 3.65% Senior Notes due 2022 and $500 million aggregate principal amount of 5.15% Senior Notes due 2042 (collectively the Notes), subject to the terms and conditions therein. </w:t>
      </w:r>
    </w:p>
    <w:p>
      <w:pPr>
        <w:pStyle w:val="TextBody"/>
        <w:spacing w:before="180" w:after="0"/>
        <w:rPr>
          <w:rFonts w:ascii="Times New Roman" w:hAnsi="Times New Roman"/>
          <w:sz w:val="20"/>
        </w:rPr>
      </w:pPr>
      <w:r>
        <w:rPr>
          <w:rFonts w:ascii="Times New Roman" w:hAnsi="Times New Roman"/>
          <w:sz w:val="20"/>
        </w:rPr>
        <w:t xml:space="preserve">The Notes are being offered and sold under the Issuers shelf registration statement on Form S-3 (Registration No. 333-162475) filed with the Securities and Exchange Commission on October 14, 2009 (the Registration Statement), and are described in a Prospectus Supplement dated March 13, 2012 to the Prospectus dated October 14, 2009, which is included in the Registration Statement. </w:t>
      </w:r>
    </w:p>
    <w:p>
      <w:pPr>
        <w:pStyle w:val="TextBody"/>
        <w:spacing w:before="180" w:after="0"/>
        <w:rPr>
          <w:rFonts w:ascii="Times New Roman" w:hAnsi="Times New Roman"/>
          <w:sz w:val="20"/>
        </w:rPr>
      </w:pPr>
      <w:r>
        <w:rPr>
          <w:rFonts w:ascii="Times New Roman" w:hAnsi="Times New Roman"/>
          <w:sz w:val="20"/>
        </w:rPr>
        <w:t xml:space="preserve">Each series of the Notes will be issued pursuant to a supplemental indenture to be dated March 22, 2012 by and among the Issuers and U.S. Bank National Association (successor to Wachovia Bank, National Association), as trustee (the Trustee). Each supplemental indenture will be entered into in accordance with the provisions of the Indenture dated September 25, 2002 by and among the Issuers and the Trustee. </w:t>
      </w:r>
    </w:p>
    <w:p>
      <w:pPr>
        <w:pStyle w:val="TextBody"/>
        <w:spacing w:before="180" w:after="0"/>
        <w:rPr>
          <w:rFonts w:ascii="Times New Roman" w:hAnsi="Times New Roman"/>
          <w:sz w:val="20"/>
        </w:rPr>
      </w:pPr>
      <w:r>
        <w:rPr>
          <w:rFonts w:ascii="Times New Roman" w:hAnsi="Times New Roman"/>
          <w:sz w:val="20"/>
        </w:rPr>
        <w:t xml:space="preserve">The closing of the offering of the Notes is expected to occur on March 22, 2012, subject to customary closing conditions. </w:t>
      </w:r>
    </w:p>
    <w:p>
      <w:pPr>
        <w:pStyle w:val="TextBody"/>
        <w:spacing w:before="180" w:after="0"/>
        <w:rPr>
          <w:rFonts w:ascii="Times New Roman" w:hAnsi="Times New Roman"/>
          <w:sz w:val="20"/>
        </w:rPr>
      </w:pPr>
      <w:r>
        <w:rPr>
          <w:rFonts w:ascii="Times New Roman" w:hAnsi="Times New Roman"/>
          <w:sz w:val="20"/>
        </w:rPr>
        <w:t xml:space="preserve">The Underwriting Agreement is filed as Exhibit 1.1 to this Current Report on Form 8-K and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91"/>
        <w:gridCol w:w="9214"/>
      </w:tblGrid>
      <w:tr>
        <w:trPr/>
        <w:tc>
          <w:tcPr>
            <w:tcW w:w="9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1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
        <w:gridCol w:w="309"/>
        <w:gridCol w:w="475"/>
        <w:gridCol w:w="437"/>
        <w:gridCol w:w="8925"/>
      </w:tblGrid>
      <w:tr>
        <w:trPr/>
        <w:tc>
          <w:tcPr>
            <w:tcW w:w="5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8925" w:type="dxa"/>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Exhibit</w:t>
              <w:br/>
              <w:t>Number</w:t>
            </w:r>
          </w:p>
        </w:tc>
        <w:tc>
          <w:tcPr>
            <w:tcW w:w="437" w:type="dxa"/>
            <w:tcBorders/>
            <w:shd w:fill="auto" w:val="clear"/>
            <w:vAlign w:val="bottom"/>
          </w:tcPr>
          <w:p>
            <w:pPr>
              <w:pStyle w:val="TableContents"/>
              <w:spacing w:before="0" w:after="283"/>
              <w:rPr/>
            </w:pPr>
            <w:r>
              <w:rPr/>
              <w:t>  </w:t>
            </w:r>
          </w:p>
        </w:tc>
        <w:tc>
          <w:tcPr>
            <w:tcW w:w="8925"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w:t>
            </w:r>
          </w:p>
        </w:tc>
      </w:tr>
      <w:tr>
        <w:trPr/>
        <w:tc>
          <w:tcPr>
            <w:tcW w:w="59"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475"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437" w:type="dxa"/>
            <w:tcBorders/>
            <w:shd w:fill="auto" w:val="clear"/>
            <w:vAlign w:val="bottom"/>
          </w:tcPr>
          <w:p>
            <w:pPr>
              <w:pStyle w:val="TableContents"/>
              <w:spacing w:before="0" w:after="283"/>
              <w:rPr/>
            </w:pPr>
            <w:r>
              <w:rPr/>
              <w:t>  </w:t>
            </w:r>
          </w:p>
        </w:tc>
        <w:tc>
          <w:tcPr>
            <w:tcW w:w="8925" w:type="dxa"/>
            <w:tcBorders/>
            <w:shd w:fill="auto" w:val="clear"/>
          </w:tcPr>
          <w:p>
            <w:pPr>
              <w:pStyle w:val="TableContents"/>
              <w:spacing w:before="0" w:after="283"/>
              <w:rPr>
                <w:rFonts w:ascii="Times New Roman" w:hAnsi="Times New Roman"/>
                <w:sz w:val="20"/>
              </w:rPr>
            </w:pPr>
            <w:r>
              <w:rPr>
                <w:rFonts w:ascii="Times New Roman" w:hAnsi="Times New Roman"/>
                <w:sz w:val="20"/>
              </w:rPr>
              <w:t>Underwriting Agreement, dated March 13, 2012, by and among Plains All American Pipeline, L.P., PAA Finance Corp., and J.P. Morgan Securities LLC, Merrill Lynch, Pierce, Fenner &amp; Smith Incorporated, UBS Securities LLC, Wells Fargo Securities, LLC, DNB Markets, Inc. and Mizuho Securities USA Inc., as representatives of the several underwriters named therein.</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784" w:type="dxa"/>
            <w:gridSpan w:val="2"/>
            <w:tcBorders/>
            <w:shd w:fill="auto" w:val="clear"/>
            <w:vAlign w:val="center"/>
          </w:tcPr>
          <w:p>
            <w:pPr>
              <w:pStyle w:val="TableContents"/>
              <w:spacing w:before="0" w:after="283"/>
              <w:rPr>
                <w:sz w:val="4"/>
                <w:szCs w:val="4"/>
              </w:rPr>
            </w:pPr>
            <w:r>
              <w:rPr>
                <w:sz w:val="4"/>
                <w:szCs w:val="4"/>
              </w:rPr>
            </w:r>
          </w:p>
        </w:tc>
        <w:tc>
          <w:tcPr>
            <w:tcW w:w="9362"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475" w:type="dxa"/>
            <w:tcBorders/>
            <w:shd w:fill="auto" w:val="clear"/>
          </w:tcPr>
          <w:p>
            <w:pPr>
              <w:pStyle w:val="TableContents"/>
              <w:spacing w:before="0" w:after="283"/>
              <w:rPr>
                <w:rFonts w:ascii="Times New Roman" w:hAnsi="Times New Roman"/>
                <w:sz w:val="20"/>
              </w:rPr>
            </w:pPr>
            <w:r>
              <w:rPr>
                <w:rFonts w:ascii="Times New Roman" w:hAnsi="Times New Roman"/>
                <w:sz w:val="20"/>
              </w:rPr>
              <w:t>5.1</w:t>
            </w:r>
          </w:p>
        </w:tc>
        <w:tc>
          <w:tcPr>
            <w:tcW w:w="437" w:type="dxa"/>
            <w:tcBorders/>
            <w:shd w:fill="auto" w:val="clear"/>
            <w:vAlign w:val="bottom"/>
          </w:tcPr>
          <w:p>
            <w:pPr>
              <w:pStyle w:val="TableContents"/>
              <w:spacing w:before="0" w:after="283"/>
              <w:rPr/>
            </w:pPr>
            <w:r>
              <w:rPr/>
              <w:t>  </w:t>
            </w:r>
          </w:p>
        </w:tc>
        <w:tc>
          <w:tcPr>
            <w:tcW w:w="8925"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784" w:type="dxa"/>
            <w:gridSpan w:val="2"/>
            <w:tcBorders/>
            <w:shd w:fill="auto" w:val="clear"/>
            <w:vAlign w:val="center"/>
          </w:tcPr>
          <w:p>
            <w:pPr>
              <w:pStyle w:val="TableContents"/>
              <w:spacing w:before="0" w:after="283"/>
              <w:rPr>
                <w:sz w:val="4"/>
                <w:szCs w:val="4"/>
              </w:rPr>
            </w:pPr>
            <w:r>
              <w:rPr>
                <w:sz w:val="4"/>
                <w:szCs w:val="4"/>
              </w:rPr>
            </w:r>
          </w:p>
        </w:tc>
        <w:tc>
          <w:tcPr>
            <w:tcW w:w="9362"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475" w:type="dxa"/>
            <w:tcBorders/>
            <w:shd w:fill="auto" w:val="clear"/>
          </w:tcPr>
          <w:p>
            <w:pPr>
              <w:pStyle w:val="TableContents"/>
              <w:spacing w:before="0" w:after="283"/>
              <w:rPr>
                <w:rFonts w:ascii="Times New Roman" w:hAnsi="Times New Roman"/>
                <w:sz w:val="20"/>
              </w:rPr>
            </w:pPr>
            <w:r>
              <w:rPr>
                <w:rFonts w:ascii="Times New Roman" w:hAnsi="Times New Roman"/>
                <w:sz w:val="20"/>
              </w:rPr>
              <w:t>23.1</w:t>
            </w:r>
          </w:p>
        </w:tc>
        <w:tc>
          <w:tcPr>
            <w:tcW w:w="437" w:type="dxa"/>
            <w:tcBorders/>
            <w:shd w:fill="auto" w:val="clear"/>
            <w:vAlign w:val="bottom"/>
          </w:tcPr>
          <w:p>
            <w:pPr>
              <w:pStyle w:val="TableContents"/>
              <w:spacing w:before="0" w:after="283"/>
              <w:rPr/>
            </w:pPr>
            <w:r>
              <w:rPr/>
              <w:t>  </w:t>
            </w:r>
          </w:p>
        </w:tc>
        <w:tc>
          <w:tcPr>
            <w:tcW w:w="8925"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Vinson &amp; Elkins L.L.P. (included in Exhibit 5.1).</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9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20"/>
        <w:gridCol w:w="111"/>
        <w:gridCol w:w="397"/>
        <w:gridCol w:w="111"/>
        <w:gridCol w:w="499"/>
        <w:gridCol w:w="111"/>
        <w:gridCol w:w="4556"/>
      </w:tblGrid>
      <w:tr>
        <w:trPr/>
        <w:tc>
          <w:tcPr>
            <w:tcW w:w="442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4556" w:type="dxa"/>
            <w:tcBorders/>
            <w:shd w:fill="auto" w:val="clear"/>
            <w:vAlign w:val="center"/>
          </w:tcPr>
          <w:p>
            <w:pPr>
              <w:pStyle w:val="TableContents"/>
              <w:spacing w:before="0" w:after="283"/>
              <w:rPr>
                <w:sz w:val="4"/>
                <w:szCs w:val="4"/>
              </w:rPr>
            </w:pPr>
            <w:r>
              <w:rPr>
                <w:sz w:val="4"/>
                <w:szCs w:val="4"/>
              </w:rPr>
            </w:r>
          </w:p>
        </w:tc>
      </w:tr>
      <w:tr>
        <w:trPr/>
        <w:tc>
          <w:tcPr>
            <w:tcW w:w="442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97"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16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420"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610" w:type="dxa"/>
            <w:gridSpan w:val="2"/>
            <w:tcBorders/>
            <w:shd w:fill="auto" w:val="clear"/>
            <w:vAlign w:val="center"/>
          </w:tcPr>
          <w:p>
            <w:pPr>
              <w:pStyle w:val="TableContents"/>
              <w:spacing w:before="0" w:after="283"/>
              <w:rPr>
                <w:sz w:val="4"/>
                <w:szCs w:val="4"/>
              </w:rPr>
            </w:pPr>
            <w:r>
              <w:rPr>
                <w:sz w:val="4"/>
                <w:szCs w:val="4"/>
              </w:rPr>
            </w:r>
          </w:p>
        </w:tc>
        <w:tc>
          <w:tcPr>
            <w:tcW w:w="4667" w:type="dxa"/>
            <w:gridSpan w:val="2"/>
            <w:tcBorders/>
            <w:shd w:fill="auto" w:val="clear"/>
            <w:vAlign w:val="center"/>
          </w:tcPr>
          <w:p>
            <w:pPr>
              <w:pStyle w:val="TableContents"/>
              <w:spacing w:before="0" w:after="283"/>
              <w:rPr>
                <w:sz w:val="4"/>
                <w:szCs w:val="4"/>
              </w:rPr>
            </w:pPr>
            <w:r>
              <w:rPr>
                <w:sz w:val="4"/>
                <w:szCs w:val="4"/>
              </w:rPr>
            </w:r>
          </w:p>
        </w:tc>
      </w:tr>
      <w:tr>
        <w:trPr/>
        <w:tc>
          <w:tcPr>
            <w:tcW w:w="442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97"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1"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120" w:hRule="atLeast"/>
        </w:trPr>
        <w:tc>
          <w:tcPr>
            <w:tcW w:w="4420"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610" w:type="dxa"/>
            <w:gridSpan w:val="2"/>
            <w:tcBorders/>
            <w:shd w:fill="auto" w:val="clear"/>
            <w:vAlign w:val="center"/>
          </w:tcPr>
          <w:p>
            <w:pPr>
              <w:pStyle w:val="TableContents"/>
              <w:spacing w:before="0" w:after="283"/>
              <w:rPr>
                <w:sz w:val="4"/>
                <w:szCs w:val="4"/>
              </w:rPr>
            </w:pPr>
            <w:r>
              <w:rPr>
                <w:sz w:val="4"/>
                <w:szCs w:val="4"/>
              </w:rPr>
            </w:r>
          </w:p>
        </w:tc>
        <w:tc>
          <w:tcPr>
            <w:tcW w:w="4667" w:type="dxa"/>
            <w:gridSpan w:val="2"/>
            <w:tcBorders/>
            <w:shd w:fill="auto" w:val="clear"/>
            <w:vAlign w:val="center"/>
          </w:tcPr>
          <w:p>
            <w:pPr>
              <w:pStyle w:val="TableContents"/>
              <w:spacing w:before="0" w:after="283"/>
              <w:rPr>
                <w:sz w:val="4"/>
                <w:szCs w:val="4"/>
              </w:rPr>
            </w:pPr>
            <w:r>
              <w:rPr>
                <w:sz w:val="4"/>
                <w:szCs w:val="4"/>
              </w:rPr>
            </w:r>
          </w:p>
        </w:tc>
      </w:tr>
      <w:tr>
        <w:trPr/>
        <w:tc>
          <w:tcPr>
            <w:tcW w:w="442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97"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1"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120" w:hRule="atLeast"/>
        </w:trPr>
        <w:tc>
          <w:tcPr>
            <w:tcW w:w="4420"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610" w:type="dxa"/>
            <w:gridSpan w:val="2"/>
            <w:tcBorders/>
            <w:shd w:fill="auto" w:val="clear"/>
            <w:vAlign w:val="center"/>
          </w:tcPr>
          <w:p>
            <w:pPr>
              <w:pStyle w:val="TableContents"/>
              <w:spacing w:before="0" w:after="283"/>
              <w:rPr>
                <w:sz w:val="4"/>
                <w:szCs w:val="4"/>
              </w:rPr>
            </w:pPr>
            <w:r>
              <w:rPr>
                <w:sz w:val="4"/>
                <w:szCs w:val="4"/>
              </w:rPr>
            </w:r>
          </w:p>
        </w:tc>
        <w:tc>
          <w:tcPr>
            <w:tcW w:w="4667" w:type="dxa"/>
            <w:gridSpan w:val="2"/>
            <w:tcBorders/>
            <w:shd w:fill="auto" w:val="clear"/>
            <w:vAlign w:val="center"/>
          </w:tcPr>
          <w:p>
            <w:pPr>
              <w:pStyle w:val="TableContents"/>
              <w:spacing w:before="0" w:after="283"/>
              <w:rPr>
                <w:sz w:val="4"/>
                <w:szCs w:val="4"/>
              </w:rPr>
            </w:pPr>
            <w:r>
              <w:rPr>
                <w:sz w:val="4"/>
                <w:szCs w:val="4"/>
              </w:rPr>
            </w:r>
          </w:p>
        </w:tc>
      </w:tr>
      <w:tr>
        <w:trPr/>
        <w:tc>
          <w:tcPr>
            <w:tcW w:w="442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1" w:type="dxa"/>
            <w:tcBorders/>
            <w:shd w:fill="auto" w:val="clear"/>
            <w:vAlign w:val="bottom"/>
          </w:tcPr>
          <w:p>
            <w:pPr>
              <w:pStyle w:val="TableContents"/>
              <w:spacing w:before="0" w:after="283"/>
              <w:rPr/>
            </w:pPr>
            <w:r>
              <w:rPr/>
              <w:t> </w:t>
            </w:r>
          </w:p>
        </w:tc>
        <w:tc>
          <w:tcPr>
            <w:tcW w:w="45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442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120" w:hRule="atLeast"/>
        </w:trPr>
        <w:tc>
          <w:tcPr>
            <w:tcW w:w="4420"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610" w:type="dxa"/>
            <w:gridSpan w:val="2"/>
            <w:tcBorders/>
            <w:shd w:fill="auto" w:val="clear"/>
            <w:vAlign w:val="center"/>
          </w:tcPr>
          <w:p>
            <w:pPr>
              <w:pStyle w:val="TableContents"/>
              <w:spacing w:before="0" w:after="283"/>
              <w:rPr>
                <w:sz w:val="4"/>
                <w:szCs w:val="4"/>
              </w:rPr>
            </w:pPr>
            <w:r>
              <w:rPr>
                <w:sz w:val="4"/>
                <w:szCs w:val="4"/>
              </w:rPr>
            </w:r>
          </w:p>
        </w:tc>
        <w:tc>
          <w:tcPr>
            <w:tcW w:w="4667" w:type="dxa"/>
            <w:gridSpan w:val="2"/>
            <w:tcBorders/>
            <w:shd w:fill="auto" w:val="clear"/>
            <w:vAlign w:val="center"/>
          </w:tcPr>
          <w:p>
            <w:pPr>
              <w:pStyle w:val="TableContents"/>
              <w:spacing w:before="0" w:after="283"/>
              <w:rPr>
                <w:sz w:val="4"/>
                <w:szCs w:val="4"/>
              </w:rPr>
            </w:pPr>
            <w:r>
              <w:rPr>
                <w:sz w:val="4"/>
                <w:szCs w:val="4"/>
              </w:rPr>
            </w:r>
          </w:p>
        </w:tc>
      </w:tr>
      <w:tr>
        <w:trPr/>
        <w:tc>
          <w:tcPr>
            <w:tcW w:w="442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1" w:type="dxa"/>
            <w:tcBorders>
              <w:bottom w:val="single" w:sz="2" w:space="0" w:color="000000"/>
            </w:tcBorders>
            <w:shd w:fill="auto" w:val="clear"/>
            <w:tcMar>
              <w:bottom w:w="28" w:type="dxa"/>
            </w:tcMar>
            <w:vAlign w:val="bottom"/>
          </w:tcPr>
          <w:p>
            <w:pPr>
              <w:pStyle w:val="TableContents"/>
              <w:spacing w:before="0" w:after="283"/>
              <w:rPr/>
            </w:pPr>
            <w:r>
              <w:rPr/>
              <w:t> </w:t>
            </w:r>
          </w:p>
        </w:tc>
        <w:tc>
          <w:tcPr>
            <w:tcW w:w="4556"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42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11" w:type="dxa"/>
            <w:tcBorders/>
            <w:shd w:fill="auto" w:val="clear"/>
            <w:vAlign w:val="bottom"/>
          </w:tcPr>
          <w:p>
            <w:pPr>
              <w:pStyle w:val="TableContents"/>
              <w:spacing w:before="0" w:after="283"/>
              <w:rPr/>
            </w:pPr>
            <w:r>
              <w:rPr/>
              <w:t> </w:t>
            </w:r>
          </w:p>
        </w:tc>
        <w:tc>
          <w:tcPr>
            <w:tcW w:w="4556" w:type="dxa"/>
            <w:tcBorders/>
            <w:shd w:fill="auto" w:val="clear"/>
            <w:vAlign w:val="bottom"/>
          </w:tcPr>
          <w:p>
            <w:pPr>
              <w:pStyle w:val="TableContents"/>
              <w:spacing w:before="0" w:after="15"/>
              <w:rPr>
                <w:rFonts w:ascii="Times New Roman" w:hAnsi="Times New Roman"/>
                <w:sz w:val="20"/>
              </w:rPr>
            </w:pPr>
            <w:r>
              <w:rPr>
                <w:rFonts w:ascii="Times New Roman" w:hAnsi="Times New Roman"/>
                <w:sz w:val="20"/>
              </w:rPr>
              <w:t xml:space="preserve">Richard McGee </w:t>
            </w:r>
          </w:p>
        </w:tc>
      </w:tr>
      <w:tr>
        <w:trPr/>
        <w:tc>
          <w:tcPr>
            <w:tcW w:w="442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11" w:type="dxa"/>
            <w:tcBorders/>
            <w:shd w:fill="auto" w:val="clear"/>
            <w:vAlign w:val="bottom"/>
          </w:tcPr>
          <w:p>
            <w:pPr>
              <w:pStyle w:val="TableContents"/>
              <w:spacing w:before="0" w:after="283"/>
              <w:rPr/>
            </w:pPr>
            <w:r>
              <w:rPr/>
              <w:t> </w:t>
            </w:r>
          </w:p>
        </w:tc>
        <w:tc>
          <w:tcPr>
            <w:tcW w:w="45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180" w:after="0"/>
        <w:rPr>
          <w:rFonts w:ascii="Times New Roman" w:hAnsi="Times New Roman"/>
          <w:sz w:val="20"/>
        </w:rPr>
      </w:pPr>
      <w:r>
        <w:rPr>
          <w:rFonts w:ascii="Times New Roman" w:hAnsi="Times New Roman"/>
          <w:sz w:val="20"/>
        </w:rPr>
        <w:t xml:space="preserve">Date: March 19, 2012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522"/>
        <w:gridCol w:w="9199"/>
      </w:tblGrid>
      <w:tr>
        <w:trPr/>
        <w:tc>
          <w:tcPr>
            <w:tcW w:w="484"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9199"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Exhibit</w:t>
              <w:br/>
              <w:t>Number</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w:t>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Underwriting Agreement, dated March 13, 2012, by and among Plains All American Pipeline, L.P., PAA Finance Corp., and J.P. Morgan Securities LLC, Merrill Lynch, Pierce, Fenner &amp; Smith Incorporated, UBS Securities LLC, Wells Fargo Securities, LLC, DNB Markets, Inc. and Mizuho Securities USA Inc., as representatives of the several underwriters named therein.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5.1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23.1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Vinson &amp; Elkins L.L.P. (included in Exhibit 5.1).</w:t>
            </w:r>
          </w:p>
        </w:tc>
      </w:tr>
    </w:tbl>
    <w:p>
      <w:pPr>
        <w:pStyle w:val="TextBody"/>
        <w:spacing w:before="0" w:after="0"/>
        <w:jc w:val="right"/>
        <w:rPr>
          <w:rFonts w:ascii="Times New Roman" w:hAnsi="Times New Roman"/>
          <w:b/>
          <w:sz w:val="20"/>
        </w:rPr>
      </w:pPr>
      <w:r>
        <w:br w:type="page"/>
      </w:r>
      <w:bookmarkStart w:id="2" w:name="d316585dex11.htm"/>
      <w:bookmarkStart w:id="3" w:name="ksd316585dex11"/>
      <w:bookmarkEnd w:id="2"/>
      <w:bookmarkEnd w:id="3"/>
      <w:r>
        <w:rPr>
          <w:rFonts w:ascii="Times New Roman" w:hAnsi="Times New Roman"/>
          <w:b/>
          <w:sz w:val="20"/>
        </w:rPr>
        <w:t xml:space="preserve">Exhibit 1.1 </w:t>
      </w:r>
    </w:p>
    <w:p>
      <w:pPr>
        <w:pStyle w:val="TextBody"/>
        <w:spacing w:before="180" w:after="0"/>
        <w:jc w:val="right"/>
        <w:rPr>
          <w:rFonts w:ascii="Times New Roman" w:hAnsi="Times New Roman"/>
          <w:b/>
          <w:i/>
          <w:sz w:val="20"/>
        </w:rPr>
      </w:pPr>
      <w:r>
        <w:rPr>
          <w:rFonts w:ascii="Times New Roman" w:hAnsi="Times New Roman"/>
          <w:b/>
          <w:i/>
          <w:sz w:val="20"/>
        </w:rPr>
        <w:t xml:space="preserve">Execution Version </w:t>
      </w:r>
    </w:p>
    <w:p>
      <w:pPr>
        <w:pStyle w:val="TextBody"/>
        <w:spacing w:before="36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PAA FINANCE CORP. </w:t>
      </w:r>
    </w:p>
    <w:p>
      <w:pPr>
        <w:pStyle w:val="TextBody"/>
        <w:spacing w:before="180" w:after="0"/>
        <w:jc w:val="center"/>
        <w:rPr>
          <w:rFonts w:ascii="Times New Roman" w:hAnsi="Times New Roman"/>
          <w:sz w:val="20"/>
        </w:rPr>
      </w:pPr>
      <w:r>
        <w:rPr>
          <w:rFonts w:ascii="Times New Roman" w:hAnsi="Times New Roman"/>
          <w:sz w:val="20"/>
        </w:rPr>
        <w:t xml:space="preserve">$750,000,000 3.65% Senior Notes due 2022 </w:t>
      </w:r>
    </w:p>
    <w:p>
      <w:pPr>
        <w:pStyle w:val="TextBody"/>
        <w:spacing w:before="0" w:after="0"/>
        <w:jc w:val="center"/>
        <w:rPr>
          <w:rFonts w:ascii="Times New Roman" w:hAnsi="Times New Roman"/>
          <w:sz w:val="20"/>
        </w:rPr>
      </w:pPr>
      <w:r>
        <w:rPr>
          <w:rFonts w:ascii="Times New Roman" w:hAnsi="Times New Roman"/>
          <w:sz w:val="20"/>
        </w:rPr>
        <w:t xml:space="preserve">$500,000,000 5.15% Senior Notes due 2042 </w:t>
      </w:r>
    </w:p>
    <w:p>
      <w:pPr>
        <w:pStyle w:val="TextBody"/>
        <w:spacing w:before="180" w:after="0"/>
        <w:jc w:val="center"/>
        <w:rPr>
          <w:rFonts w:ascii="Times New Roman" w:hAnsi="Times New Roman"/>
          <w:b/>
          <w:sz w:val="20"/>
        </w:rPr>
      </w:pPr>
      <w:r>
        <w:rPr>
          <w:rFonts w:ascii="Times New Roman" w:hAnsi="Times New Roman"/>
          <w:b/>
          <w:sz w:val="20"/>
        </w:rPr>
        <w:t xml:space="preserve">UNDERWRITING AGREEMENT </w:t>
      </w:r>
    </w:p>
    <w:p>
      <w:pPr>
        <w:pStyle w:val="TextBody"/>
        <w:spacing w:before="180" w:after="0"/>
        <w:jc w:val="right"/>
        <w:rPr>
          <w:rFonts w:ascii="Times New Roman" w:hAnsi="Times New Roman"/>
          <w:sz w:val="20"/>
        </w:rPr>
      </w:pPr>
      <w:r>
        <w:rPr>
          <w:rFonts w:ascii="Times New Roman" w:hAnsi="Times New Roman"/>
          <w:sz w:val="20"/>
        </w:rPr>
        <w:t xml:space="preserve">March 13, 2012 </w:t>
      </w:r>
    </w:p>
    <w:p>
      <w:pPr>
        <w:pStyle w:val="TextBody"/>
        <w:spacing w:before="180" w:after="0"/>
        <w:rPr>
          <w:rFonts w:ascii="Times New Roman" w:hAnsi="Times New Roman"/>
          <w:sz w:val="20"/>
        </w:rPr>
      </w:pPr>
      <w:r>
        <w:rPr>
          <w:rFonts w:ascii="Times New Roman" w:hAnsi="Times New Roman"/>
          <w:sz w:val="20"/>
        </w:rPr>
        <w:t xml:space="preserve">J.P. Morgan Securities LLC </w:t>
      </w:r>
    </w:p>
    <w:p>
      <w:pPr>
        <w:pStyle w:val="TextBody"/>
        <w:spacing w:before="0" w:after="0"/>
        <w:rPr>
          <w:rFonts w:ascii="Times New Roman" w:hAnsi="Times New Roman"/>
          <w:sz w:val="20"/>
        </w:rPr>
      </w:pPr>
      <w:r>
        <w:rPr>
          <w:rFonts w:ascii="Times New Roman" w:hAnsi="Times New Roman"/>
          <w:sz w:val="20"/>
        </w:rPr>
        <w:t xml:space="preserve">Merrill Lynch, Pierce, Fenner &amp; Smith Incorporated </w:t>
      </w:r>
    </w:p>
    <w:p>
      <w:pPr>
        <w:pStyle w:val="TextBody"/>
        <w:spacing w:before="0" w:after="0"/>
        <w:rPr>
          <w:rFonts w:ascii="Times New Roman" w:hAnsi="Times New Roman"/>
          <w:sz w:val="20"/>
        </w:rPr>
      </w:pPr>
      <w:r>
        <w:rPr>
          <w:rFonts w:ascii="Times New Roman" w:hAnsi="Times New Roman"/>
          <w:sz w:val="20"/>
        </w:rPr>
        <w:t xml:space="preserve">UBS Securities LLC </w:t>
      </w:r>
    </w:p>
    <w:p>
      <w:pPr>
        <w:pStyle w:val="TextBody"/>
        <w:spacing w:before="0" w:after="0"/>
        <w:rPr>
          <w:rFonts w:ascii="Times New Roman" w:hAnsi="Times New Roman"/>
          <w:sz w:val="20"/>
        </w:rPr>
      </w:pPr>
      <w:r>
        <w:rPr>
          <w:rFonts w:ascii="Times New Roman" w:hAnsi="Times New Roman"/>
          <w:sz w:val="20"/>
        </w:rPr>
        <w:t xml:space="preserve">Wells Fargo Securities, LLC </w:t>
      </w:r>
    </w:p>
    <w:p>
      <w:pPr>
        <w:pStyle w:val="TextBody"/>
        <w:spacing w:before="0" w:after="0"/>
        <w:rPr>
          <w:rFonts w:ascii="Times New Roman" w:hAnsi="Times New Roman"/>
          <w:sz w:val="20"/>
        </w:rPr>
      </w:pPr>
      <w:r>
        <w:rPr>
          <w:rFonts w:ascii="Times New Roman" w:hAnsi="Times New Roman"/>
          <w:sz w:val="20"/>
        </w:rPr>
        <w:t xml:space="preserve">DNB Markets, Inc. </w:t>
      </w:r>
    </w:p>
    <w:p>
      <w:pPr>
        <w:pStyle w:val="TextBody"/>
        <w:spacing w:before="0" w:after="0"/>
        <w:rPr>
          <w:rFonts w:ascii="Times New Roman" w:hAnsi="Times New Roman"/>
          <w:sz w:val="20"/>
        </w:rPr>
      </w:pPr>
      <w:r>
        <w:rPr>
          <w:rFonts w:ascii="Times New Roman" w:hAnsi="Times New Roman"/>
          <w:sz w:val="20"/>
        </w:rPr>
        <w:t xml:space="preserve">Mizuho Securities USA Inc. </w:t>
      </w:r>
    </w:p>
    <w:p>
      <w:pPr>
        <w:pStyle w:val="TextBody"/>
        <w:spacing w:before="180" w:after="0"/>
        <w:rPr>
          <w:rFonts w:ascii="Times New Roman" w:hAnsi="Times New Roman"/>
          <w:sz w:val="20"/>
        </w:rPr>
      </w:pPr>
      <w:r>
        <w:rPr>
          <w:rFonts w:ascii="Times New Roman" w:hAnsi="Times New Roman"/>
          <w:sz w:val="20"/>
        </w:rPr>
        <w:t xml:space="preserve">As Representatives of the several Underwriters </w:t>
      </w:r>
    </w:p>
    <w:p>
      <w:pPr>
        <w:pStyle w:val="TextBody"/>
        <w:spacing w:before="180" w:after="0"/>
        <w:rPr>
          <w:rFonts w:ascii="Times New Roman" w:hAnsi="Times New Roman"/>
          <w:sz w:val="20"/>
        </w:rPr>
      </w:pPr>
      <w:r>
        <w:rPr>
          <w:rFonts w:ascii="Times New Roman" w:hAnsi="Times New Roman"/>
          <w:sz w:val="20"/>
        </w:rPr>
        <w:t xml:space="preserve">c/o J.P. Morgan Securities LLC </w:t>
      </w:r>
    </w:p>
    <w:p>
      <w:pPr>
        <w:pStyle w:val="TextBody"/>
        <w:spacing w:before="0" w:after="0"/>
        <w:rPr>
          <w:rFonts w:ascii="Times New Roman" w:hAnsi="Times New Roman"/>
          <w:sz w:val="20"/>
        </w:rPr>
      </w:pPr>
      <w:r>
        <w:rPr>
          <w:rFonts w:ascii="Times New Roman" w:hAnsi="Times New Roman"/>
          <w:sz w:val="20"/>
        </w:rPr>
        <w:t xml:space="preserve">383 Madison Avenue </w:t>
      </w:r>
    </w:p>
    <w:p>
      <w:pPr>
        <w:pStyle w:val="TextBody"/>
        <w:spacing w:before="0" w:after="0"/>
        <w:rPr>
          <w:rFonts w:ascii="Times New Roman" w:hAnsi="Times New Roman"/>
          <w:sz w:val="20"/>
        </w:rPr>
      </w:pPr>
      <w:r>
        <w:rPr>
          <w:rFonts w:ascii="Times New Roman" w:hAnsi="Times New Roman"/>
          <w:sz w:val="20"/>
        </w:rPr>
        <w:t xml:space="preserve">New York, New York 10179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Plains All American Pipeline, L.P., a Delaware limited partnership (the </w:t>
      </w:r>
      <w:r>
        <w:rPr>
          <w:rFonts w:ascii="Times New Roman" w:hAnsi="Times New Roman"/>
          <w:b/>
          <w:sz w:val="20"/>
        </w:rPr>
        <w:t>Partnership</w:t>
      </w:r>
      <w:r>
        <w:rPr>
          <w:rFonts w:ascii="Times New Roman" w:hAnsi="Times New Roman"/>
          <w:sz w:val="20"/>
        </w:rPr>
        <w:t>), and PAA Finance Corp., a Delaware corporation (</w:t>
      </w:r>
      <w:r>
        <w:rPr>
          <w:rFonts w:ascii="Times New Roman" w:hAnsi="Times New Roman"/>
          <w:b/>
          <w:sz w:val="20"/>
        </w:rPr>
        <w:t>PAA Finance</w:t>
      </w:r>
      <w:r>
        <w:rPr>
          <w:rFonts w:ascii="Times New Roman" w:hAnsi="Times New Roman"/>
          <w:sz w:val="20"/>
        </w:rPr>
        <w:t> and, together with the Partnership, the </w:t>
      </w:r>
      <w:r>
        <w:rPr>
          <w:rFonts w:ascii="Times New Roman" w:hAnsi="Times New Roman"/>
          <w:b/>
          <w:sz w:val="20"/>
        </w:rPr>
        <w:t>Issuers</w:t>
      </w:r>
      <w:r>
        <w:rPr>
          <w:rFonts w:ascii="Times New Roman" w:hAnsi="Times New Roman"/>
          <w:sz w:val="20"/>
        </w:rPr>
        <w:t xml:space="preserve">), propose to issue and sell to the several underwriters named in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b/>
          <w:sz w:val="20"/>
        </w:rPr>
        <w:t>Underwriters</w:t>
      </w:r>
      <w:r>
        <w:rPr>
          <w:rFonts w:ascii="Times New Roman" w:hAnsi="Times New Roman"/>
          <w:sz w:val="20"/>
        </w:rPr>
        <w:t>), for whom J.P. Morgan Securities LLC, Merrill Lynch, Pierce, Fenner &amp; Smith Incorporated, UBS Securities LLC, Wells Fargo Securities, LLC, DNB Markets, Inc. and Mizuho Securities USA Inc. are acting as the representatives (the </w:t>
      </w:r>
      <w:r>
        <w:rPr>
          <w:rFonts w:ascii="Times New Roman" w:hAnsi="Times New Roman"/>
          <w:b/>
          <w:sz w:val="20"/>
        </w:rPr>
        <w:t>Representatives</w:t>
      </w:r>
      <w:r>
        <w:rPr>
          <w:rFonts w:ascii="Times New Roman" w:hAnsi="Times New Roman"/>
          <w:sz w:val="20"/>
        </w:rPr>
        <w:t>), $750,000,000 aggregate principal amount of 3.65% Senior Notes due June 1, 2022 (the </w:t>
      </w:r>
      <w:r>
        <w:rPr>
          <w:rFonts w:ascii="Times New Roman" w:hAnsi="Times New Roman"/>
          <w:b/>
          <w:sz w:val="20"/>
        </w:rPr>
        <w:t>2022 Notes</w:t>
      </w:r>
      <w:r>
        <w:rPr>
          <w:rFonts w:ascii="Times New Roman" w:hAnsi="Times New Roman"/>
          <w:sz w:val="20"/>
        </w:rPr>
        <w:t>) and $500,000,000 aggregate principal amount of 5.15% Senior Notes due June 1, 2042 (the </w:t>
      </w:r>
      <w:r>
        <w:rPr>
          <w:rFonts w:ascii="Times New Roman" w:hAnsi="Times New Roman"/>
          <w:b/>
          <w:sz w:val="20"/>
        </w:rPr>
        <w:t>2042 Notes</w:t>
      </w:r>
      <w:r>
        <w:rPr>
          <w:rFonts w:ascii="Times New Roman" w:hAnsi="Times New Roman"/>
          <w:sz w:val="20"/>
        </w:rPr>
        <w:t>, and, together with the 2022 Notes, the </w:t>
      </w:r>
      <w:r>
        <w:rPr>
          <w:rFonts w:ascii="Times New Roman" w:hAnsi="Times New Roman"/>
          <w:b/>
          <w:sz w:val="20"/>
        </w:rPr>
        <w:t>Notes</w:t>
      </w:r>
      <w:r>
        <w:rPr>
          <w:rFonts w:ascii="Times New Roman" w:hAnsi="Times New Roman"/>
          <w:sz w:val="20"/>
        </w:rPr>
        <w:t>). Each series of the Notes is to be issued under an indenture dated as of September 25, 2002 (the </w:t>
      </w:r>
      <w:r>
        <w:rPr>
          <w:rFonts w:ascii="Times New Roman" w:hAnsi="Times New Roman"/>
          <w:b/>
          <w:sz w:val="20"/>
        </w:rPr>
        <w:t>Base Indenture</w:t>
      </w:r>
      <w:r>
        <w:rPr>
          <w:rFonts w:ascii="Times New Roman" w:hAnsi="Times New Roman"/>
          <w:sz w:val="20"/>
        </w:rPr>
        <w:t>), among the Issuers and U.S. Bank National Association, as successor trustee (the </w:t>
      </w:r>
      <w:r>
        <w:rPr>
          <w:rFonts w:ascii="Times New Roman" w:hAnsi="Times New Roman"/>
          <w:b/>
          <w:sz w:val="20"/>
        </w:rPr>
        <w:t>Trustee</w:t>
      </w:r>
      <w:r>
        <w:rPr>
          <w:rFonts w:ascii="Times New Roman" w:hAnsi="Times New Roman"/>
          <w:sz w:val="20"/>
        </w:rPr>
        <w:t>), as amended by the Twentieth Supplemental Indenture and the Twenty-First Supplemental Indenture, each to be dated as of March 22, 2012, among the Issuers and the Trustee (the </w:t>
      </w:r>
      <w:r>
        <w:rPr>
          <w:rFonts w:ascii="Times New Roman" w:hAnsi="Times New Roman"/>
          <w:b/>
          <w:sz w:val="20"/>
        </w:rPr>
        <w:t>Supplemental Indentures</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PAA GP LLC, a Delaware limited liability company (the </w:t>
      </w:r>
      <w:r>
        <w:rPr>
          <w:rFonts w:ascii="Times New Roman" w:hAnsi="Times New Roman"/>
          <w:b/>
          <w:sz w:val="20"/>
        </w:rPr>
        <w:t>General Partner</w:t>
      </w:r>
      <w:r>
        <w:rPr>
          <w:rFonts w:ascii="Times New Roman" w:hAnsi="Times New Roman"/>
          <w:sz w:val="20"/>
        </w:rPr>
        <w:t>), is the general partner of the Partnership. Plains AAP, L.P., a Delaware limited partnership (</w:t>
      </w:r>
      <w:r>
        <w:rPr>
          <w:rFonts w:ascii="Times New Roman" w:hAnsi="Times New Roman"/>
          <w:b/>
          <w:sz w:val="20"/>
        </w:rPr>
        <w:t>Plains AAP</w:t>
      </w:r>
      <w:r>
        <w:rPr>
          <w:rFonts w:ascii="Times New Roman" w:hAnsi="Times New Roman"/>
          <w:sz w:val="20"/>
        </w:rPr>
        <w:t>), owns a 100% membership interest in the General Partner. Plains All American GP LLC, a Delaware limited liability company (</w:t>
      </w:r>
      <w:r>
        <w:rPr>
          <w:rFonts w:ascii="Times New Roman" w:hAnsi="Times New Roman"/>
          <w:b/>
          <w:sz w:val="20"/>
        </w:rPr>
        <w:t>GP LLC</w:t>
      </w:r>
      <w:r>
        <w:rPr>
          <w:rFonts w:ascii="Times New Roman" w:hAnsi="Times New Roman"/>
          <w:sz w:val="20"/>
        </w:rPr>
        <w:t> and, collectively with the General Partner and Plains AAP, the </w:t>
      </w:r>
      <w:r>
        <w:rPr>
          <w:rFonts w:ascii="Times New Roman" w:hAnsi="Times New Roman"/>
          <w:b/>
          <w:sz w:val="20"/>
        </w:rPr>
        <w:t>GP Entities</w:t>
      </w:r>
      <w:r>
        <w:rPr>
          <w:rFonts w:ascii="Times New Roman" w:hAnsi="Times New Roman"/>
          <w:sz w:val="20"/>
        </w:rPr>
        <w:t xml:space="preserve">), is the general partner of Plains AAP. </w:t>
      </w:r>
    </w:p>
    <w:p>
      <w:pPr>
        <w:pStyle w:val="TextBody"/>
        <w:spacing w:before="180" w:after="0"/>
        <w:rPr>
          <w:rFonts w:ascii="Times New Roman" w:hAnsi="Times New Roman"/>
          <w:sz w:val="20"/>
        </w:rPr>
      </w:pPr>
      <w:r>
        <w:rPr>
          <w:rFonts w:ascii="Times New Roman" w:hAnsi="Times New Roman"/>
          <w:sz w:val="20"/>
        </w:rPr>
        <w:t xml:space="preserve">The subsidiaries of the Partnership listed on </w:t>
      </w:r>
      <w:r>
        <w:rPr>
          <w:rFonts w:ascii="Times New Roman" w:hAnsi="Times New Roman"/>
          <w:sz w:val="20"/>
          <w:u w:val="single"/>
        </w:rPr>
        <w:t>Schedule III</w:t>
      </w:r>
      <w:r>
        <w:rPr>
          <w:rFonts w:ascii="Times New Roman" w:hAnsi="Times New Roman"/>
          <w:sz w:val="20"/>
        </w:rPr>
        <w:t xml:space="preserve"> attached hereto are referred to herein as the </w:t>
      </w:r>
      <w:r>
        <w:rPr>
          <w:rFonts w:ascii="Times New Roman" w:hAnsi="Times New Roman"/>
          <w:b/>
          <w:sz w:val="20"/>
        </w:rPr>
        <w:t>Material Subsidiaries</w:t>
      </w:r>
      <w:r>
        <w:rPr>
          <w:rFonts w:ascii="Times New Roman" w:hAnsi="Times New Roman"/>
          <w:sz w:val="20"/>
        </w:rPr>
        <w:t xml:space="preserve">, and the Material Subsidiaries listed on </w:t>
      </w:r>
      <w:r>
        <w:rPr>
          <w:rFonts w:ascii="Times New Roman" w:hAnsi="Times New Roman"/>
          <w:sz w:val="20"/>
          <w:u w:val="single"/>
        </w:rPr>
        <w:t>Schedule IV</w:t>
      </w:r>
      <w:r>
        <w:rPr>
          <w:rFonts w:ascii="Times New Roman" w:hAnsi="Times New Roman"/>
          <w:sz w:val="20"/>
        </w:rPr>
        <w:t xml:space="preserve"> attached hereto are referred to herein as the </w:t>
      </w:r>
      <w:r>
        <w:rPr>
          <w:rFonts w:ascii="Times New Roman" w:hAnsi="Times New Roman"/>
          <w:b/>
          <w:sz w:val="20"/>
        </w:rPr>
        <w:t>Domestic Subsidiaries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This is to confirm the agreement among the Issuers and the Underwriters concerning the several purchases of the Notes by the Underwriters.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 of the Issuers</w:t>
      </w:r>
      <w:r>
        <w:rPr>
          <w:rFonts w:ascii="Times New Roman" w:hAnsi="Times New Roman"/>
          <w:sz w:val="20"/>
        </w:rPr>
        <w:t xml:space="preserve">. The Issuers, jointly and severally, represent and warrant to the Underwriters that: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Registration. </w:t>
      </w:r>
      <w:r>
        <w:rPr>
          <w:rFonts w:ascii="Times New Roman" w:hAnsi="Times New Roman"/>
          <w:sz w:val="20"/>
        </w:rPr>
        <w:t>A registration statement on Form S-3 relating to the Notes (File No. 333-162475) (i) has been prepared by the Issuers in conformity with the requirements of the Securities Act of 1933, as amended (the </w:t>
      </w:r>
      <w:r>
        <w:rPr>
          <w:rFonts w:ascii="Times New Roman" w:hAnsi="Times New Roman"/>
          <w:b/>
          <w:sz w:val="20"/>
        </w:rPr>
        <w:t>Securities Act</w:t>
      </w:r>
      <w:r>
        <w:rPr>
          <w:rFonts w:ascii="Times New Roman" w:hAnsi="Times New Roman"/>
          <w:sz w:val="20"/>
        </w:rPr>
        <w:t>), and the rules and regulations (the </w:t>
      </w:r>
      <w:r>
        <w:rPr>
          <w:rFonts w:ascii="Times New Roman" w:hAnsi="Times New Roman"/>
          <w:b/>
          <w:sz w:val="20"/>
        </w:rPr>
        <w:t>Rules and Regulations</w:t>
      </w:r>
      <w:r>
        <w:rPr>
          <w:rFonts w:ascii="Times New Roman" w:hAnsi="Times New Roman"/>
          <w:sz w:val="20"/>
        </w:rPr>
        <w:t>) of the Securities and Exchange Commission (the </w:t>
      </w:r>
      <w:r>
        <w:rPr>
          <w:rFonts w:ascii="Times New Roman" w:hAnsi="Times New Roman"/>
          <w:b/>
          <w:sz w:val="20"/>
        </w:rPr>
        <w:t>Commission</w:t>
      </w:r>
      <w:r>
        <w:rPr>
          <w:rFonts w:ascii="Times New Roman" w:hAnsi="Times New Roman"/>
          <w:sz w:val="20"/>
        </w:rPr>
        <w:t xml:space="preserve">) thereunder; (ii) has been filed with the Commission under the Securities Act; and (iii) is effective under the Securities Act. Copies of such registration statement and any amendment thereto have been delivered by the Issuers to the Representatives. As used in this Agreement: </w:t>
      </w:r>
    </w:p>
    <w:p>
      <w:pPr>
        <w:pStyle w:val="TextBody"/>
        <w:spacing w:before="90" w:after="0"/>
        <w:rPr>
          <w:rFonts w:ascii="Times New Roman" w:hAnsi="Times New Roman"/>
          <w:sz w:val="20"/>
        </w:rPr>
      </w:pPr>
      <w:r>
        <w:rPr>
          <w:rFonts w:ascii="Times New Roman" w:hAnsi="Times New Roman"/>
          <w:sz w:val="20"/>
        </w:rPr>
        <w:t>(i) </w:t>
      </w:r>
      <w:r>
        <w:rPr>
          <w:rFonts w:ascii="Times New Roman" w:hAnsi="Times New Roman"/>
          <w:b/>
          <w:sz w:val="20"/>
        </w:rPr>
        <w:t>Applicable Time</w:t>
      </w:r>
      <w:r>
        <w:rPr>
          <w:rFonts w:ascii="Times New Roman" w:hAnsi="Times New Roman"/>
          <w:sz w:val="20"/>
        </w:rPr>
        <w:t xml:space="preserve"> means 2:30 p.m., New York City time, on March 13, 2012, which the Underwriters have informed the Issuers and their counsel is a time prior to the first sale of the Notes; </w:t>
      </w:r>
    </w:p>
    <w:p>
      <w:pPr>
        <w:pStyle w:val="TextBody"/>
        <w:spacing w:before="90" w:after="0"/>
        <w:rPr>
          <w:rFonts w:ascii="Times New Roman" w:hAnsi="Times New Roman"/>
          <w:sz w:val="20"/>
        </w:rPr>
      </w:pPr>
      <w:r>
        <w:rPr>
          <w:rFonts w:ascii="Times New Roman" w:hAnsi="Times New Roman"/>
          <w:sz w:val="20"/>
        </w:rPr>
        <w:t>(ii) </w:t>
      </w:r>
      <w:r>
        <w:rPr>
          <w:rFonts w:ascii="Times New Roman" w:hAnsi="Times New Roman"/>
          <w:b/>
          <w:sz w:val="20"/>
        </w:rPr>
        <w:t>Base Prospectus</w:t>
      </w:r>
      <w:r>
        <w:rPr>
          <w:rFonts w:ascii="Times New Roman" w:hAnsi="Times New Roman"/>
          <w:sz w:val="20"/>
        </w:rPr>
        <w:t xml:space="preserve"> means the base prospectus included in the Registration Statement at the Applicable Time. </w:t>
      </w:r>
    </w:p>
    <w:p>
      <w:pPr>
        <w:pStyle w:val="TextBody"/>
        <w:spacing w:before="90" w:after="0"/>
        <w:rPr>
          <w:rFonts w:ascii="Times New Roman" w:hAnsi="Times New Roman"/>
          <w:sz w:val="20"/>
        </w:rPr>
      </w:pPr>
      <w:r>
        <w:rPr>
          <w:rFonts w:ascii="Times New Roman" w:hAnsi="Times New Roman"/>
          <w:sz w:val="20"/>
        </w:rPr>
        <w:t>(iii) </w:t>
      </w:r>
      <w:r>
        <w:rPr>
          <w:rFonts w:ascii="Times New Roman" w:hAnsi="Times New Roman"/>
          <w:b/>
          <w:sz w:val="20"/>
        </w:rPr>
        <w:t>Effective Date</w:t>
      </w:r>
      <w:r>
        <w:rPr>
          <w:rFonts w:ascii="Times New Roman" w:hAnsi="Times New Roman"/>
          <w:sz w:val="20"/>
        </w:rPr>
        <w:t xml:space="preserve"> means any date as of which any part of such registration statement relating to the Notes became, or is deemed to have become, effective under the Securities Act in accordance with the Rules and Regulations; </w:t>
      </w:r>
    </w:p>
    <w:p>
      <w:pPr>
        <w:pStyle w:val="TextBody"/>
        <w:spacing w:before="90" w:after="0"/>
        <w:rPr>
          <w:rFonts w:ascii="Times New Roman" w:hAnsi="Times New Roman"/>
          <w:sz w:val="20"/>
        </w:rPr>
      </w:pPr>
      <w:r>
        <w:rPr>
          <w:rFonts w:ascii="Times New Roman" w:hAnsi="Times New Roman"/>
          <w:sz w:val="20"/>
        </w:rPr>
        <w:t>(iv) </w:t>
      </w:r>
      <w:r>
        <w:rPr>
          <w:rFonts w:ascii="Times New Roman" w:hAnsi="Times New Roman"/>
          <w:b/>
          <w:sz w:val="20"/>
        </w:rPr>
        <w:t>Issuer Free Writing Prospectus</w:t>
      </w:r>
      <w:r>
        <w:rPr>
          <w:rFonts w:ascii="Times New Roman" w:hAnsi="Times New Roman"/>
          <w:sz w:val="20"/>
        </w:rPr>
        <w:t xml:space="preserve">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 </w:t>
      </w:r>
    </w:p>
    <w:p>
      <w:pPr>
        <w:pStyle w:val="TextBody"/>
        <w:spacing w:before="90" w:after="0"/>
        <w:rPr>
          <w:rFonts w:ascii="Times New Roman" w:hAnsi="Times New Roman"/>
          <w:sz w:val="20"/>
        </w:rPr>
      </w:pPr>
      <w:r>
        <w:rPr>
          <w:rFonts w:ascii="Times New Roman" w:hAnsi="Times New Roman"/>
          <w:sz w:val="20"/>
        </w:rPr>
        <w:t>(v) </w:t>
      </w:r>
      <w:r>
        <w:rPr>
          <w:rFonts w:ascii="Times New Roman" w:hAnsi="Times New Roman"/>
          <w:b/>
          <w:sz w:val="20"/>
        </w:rPr>
        <w:t>Preliminary Prospectus</w:t>
      </w:r>
      <w:r>
        <w:rPr>
          <w:rFonts w:ascii="Times New Roman" w:hAnsi="Times New Roman"/>
          <w:sz w:val="20"/>
        </w:rPr>
        <w:t xml:space="preserve"> means any preliminary prospectus relating to the Notes included in such registration statement or filed with the Commission pursuant to Rule 424(b) of the Rules and Regulations, including the Base Prospectus and any preliminary prospectus supplement thereto relating to the Notes;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(vi) </w:t>
      </w:r>
      <w:r>
        <w:rPr>
          <w:rFonts w:ascii="Times New Roman" w:hAnsi="Times New Roman"/>
          <w:b/>
          <w:sz w:val="20"/>
        </w:rPr>
        <w:t>Pricing Disclosure Package</w:t>
      </w:r>
      <w:r>
        <w:rPr>
          <w:rFonts w:ascii="Times New Roman" w:hAnsi="Times New Roman"/>
          <w:sz w:val="20"/>
        </w:rPr>
        <w:t xml:space="preserve"> means, as of the Applicable Time, (A) the most recent Preliminary Prospectus, (B) the Issuer Free Writing Prospectus attached as </w:t>
      </w:r>
      <w:r>
        <w:rPr>
          <w:rFonts w:ascii="Times New Roman" w:hAnsi="Times New Roman"/>
          <w:sz w:val="20"/>
          <w:u w:val="single"/>
        </w:rPr>
        <w:t>Schedule II</w:t>
      </w:r>
      <w:r>
        <w:rPr>
          <w:rFonts w:ascii="Times New Roman" w:hAnsi="Times New Roman"/>
          <w:sz w:val="20"/>
        </w:rPr>
        <w:t xml:space="preserve"> hereto and (C) each other Issuer Free Writing Prospectuses filed or used by the Partnership on or before the Applicable Time identified on </w:t>
      </w:r>
      <w:r>
        <w:rPr>
          <w:rFonts w:ascii="Times New Roman" w:hAnsi="Times New Roman"/>
          <w:sz w:val="20"/>
          <w:u w:val="single"/>
        </w:rPr>
        <w:t>Schedule II</w:t>
      </w:r>
      <w:r>
        <w:rPr>
          <w:rFonts w:ascii="Times New Roman" w:hAnsi="Times New Roman"/>
          <w:sz w:val="20"/>
        </w:rPr>
        <w:t xml:space="preserve"> hereto, other than a road show that is an Issuer Free Writing Prospectus under Rule 433 of the Rules and Regulations; </w:t>
      </w:r>
    </w:p>
    <w:p>
      <w:pPr>
        <w:pStyle w:val="TextBody"/>
        <w:spacing w:before="90" w:after="0"/>
        <w:rPr>
          <w:rFonts w:ascii="Times New Roman" w:hAnsi="Times New Roman"/>
          <w:sz w:val="20"/>
        </w:rPr>
      </w:pPr>
      <w:r>
        <w:rPr>
          <w:rFonts w:ascii="Times New Roman" w:hAnsi="Times New Roman"/>
          <w:sz w:val="20"/>
        </w:rPr>
        <w:t>(vii) </w:t>
      </w:r>
      <w:r>
        <w:rPr>
          <w:rFonts w:ascii="Times New Roman" w:hAnsi="Times New Roman"/>
          <w:b/>
          <w:sz w:val="20"/>
        </w:rPr>
        <w:t>Prospectus</w:t>
      </w:r>
      <w:r>
        <w:rPr>
          <w:rFonts w:ascii="Times New Roman" w:hAnsi="Times New Roman"/>
          <w:sz w:val="20"/>
        </w:rPr>
        <w:t xml:space="preserve"> means the final prospectus relating to the Notes, including the Base Prospectus and any prospectus supplement thereto relating to the Notes, as filed with the Commission pursuant to Rule 424(b) of the Rules and Regulations; and </w:t>
      </w:r>
    </w:p>
    <w:p>
      <w:pPr>
        <w:pStyle w:val="TextBody"/>
        <w:spacing w:before="90" w:after="0"/>
        <w:rPr>
          <w:rFonts w:ascii="Times New Roman" w:hAnsi="Times New Roman"/>
          <w:sz w:val="20"/>
        </w:rPr>
      </w:pPr>
      <w:r>
        <w:rPr>
          <w:rFonts w:ascii="Times New Roman" w:hAnsi="Times New Roman"/>
          <w:sz w:val="20"/>
        </w:rPr>
        <w:t>(viii) </w:t>
      </w:r>
      <w:r>
        <w:rPr>
          <w:rFonts w:ascii="Times New Roman" w:hAnsi="Times New Roman"/>
          <w:b/>
          <w:sz w:val="20"/>
        </w:rPr>
        <w:t>Registration Statement</w:t>
      </w:r>
      <w:r>
        <w:rPr>
          <w:rFonts w:ascii="Times New Roman" w:hAnsi="Times New Roman"/>
          <w:sz w:val="20"/>
        </w:rPr>
        <w:t xml:space="preserve"> means the registration statement on Form S-3 (File No. 333-162475), as amended as of the Effective Date, including any Preliminary Prospectus or the Prospectus and all exhibits to such registration statement. </w:t>
      </w:r>
    </w:p>
    <w:p>
      <w:pPr>
        <w:pStyle w:val="TextBody"/>
        <w:spacing w:before="180" w:after="0"/>
        <w:rPr>
          <w:rFonts w:ascii="Times New Roman" w:hAnsi="Times New Roman"/>
          <w:sz w:val="20"/>
        </w:rPr>
      </w:pPr>
      <w:r>
        <w:rPr>
          <w:rFonts w:ascii="Times New Roman" w:hAnsi="Times New Roman"/>
          <w:sz w:val="20"/>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Times New Roman" w:hAnsi="Times New Roman"/>
          <w:b/>
          <w:sz w:val="20"/>
        </w:rPr>
        <w:t>most recent Preliminary Prospectus</w:t>
      </w:r>
      <w:r>
        <w:rPr>
          <w:rFonts w:ascii="Times New Roman" w:hAnsi="Times New Roman"/>
          <w:sz w:val="20"/>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hAnsi="Times New Roman"/>
          <w:b/>
          <w:sz w:val="20"/>
        </w:rPr>
        <w:t>Exchange Act</w:t>
      </w:r>
      <w:r>
        <w:rPr>
          <w:rFonts w:ascii="Times New Roman" w:hAnsi="Times New Roman"/>
          <w:sz w:val="20"/>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Times New Roman" w:hAnsi="Times New Roman"/>
          <w:b/>
          <w:sz w:val="20"/>
        </w:rPr>
        <w:t>Incorporated Documents</w:t>
      </w:r>
      <w:r>
        <w:rPr>
          <w:rFonts w:ascii="Times New Roman" w:hAnsi="Times New Roman"/>
          <w:sz w:val="20"/>
        </w:rPr>
        <w:t xml:space="preserve">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i/>
          <w:sz w:val="20"/>
        </w:rPr>
        <w:t>Form of Documents.</w:t>
      </w:r>
      <w:r>
        <w:rPr>
          <w:rFonts w:ascii="Times New Roman" w:hAnsi="Times New Roman"/>
          <w:sz w:val="20"/>
        </w:rPr>
        <w:t xml:space="preserve"> The Registration Statement conformed in all material respects on the Effective Date and on the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and the Prospectus conform in all material respects to the requirements applicable to them under the Trust Indenture Act of 1939, as amended (the </w:t>
      </w:r>
      <w:r>
        <w:rPr>
          <w:rFonts w:ascii="Times New Roman" w:hAnsi="Times New Roman"/>
          <w:b/>
          <w:sz w:val="20"/>
        </w:rPr>
        <w:t>Trust Indenture Act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i/>
          <w:sz w:val="20"/>
        </w:rPr>
        <w:t>No Material Misstatements or Omissions in Registration Statement</w:t>
      </w:r>
      <w:r>
        <w:rPr>
          <w:rFonts w:ascii="Times New Roman" w:hAnsi="Times New Roman"/>
          <w:sz w:val="20"/>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i/>
          <w:sz w:val="20"/>
        </w:rPr>
        <w:t>No Material Misstatements or Omissions in Prospectus</w:t>
      </w:r>
      <w:r>
        <w:rPr>
          <w:rFonts w:ascii="Times New Roman" w:hAnsi="Times New Roman"/>
          <w:sz w:val="20"/>
        </w:rPr>
        <w:t xml:space="preserve">. The Prospectus will not, as of its date and on the Delivery Date,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i/>
          <w:sz w:val="20"/>
        </w:rPr>
        <w:t>No Material Misstatements or Omissions in Documents Incorporated by Reference</w:t>
      </w:r>
      <w:r>
        <w:rPr>
          <w:rFonts w:ascii="Times New Roman" w:hAnsi="Times New Roman"/>
          <w:sz w:val="20"/>
        </w:rPr>
        <w:t xml:space="preserve">.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i/>
          <w:sz w:val="20"/>
        </w:rPr>
        <w:t>No Material Misstatements or Omissions in Pricing Disclosure Package</w:t>
      </w:r>
      <w:r>
        <w:rPr>
          <w:rFonts w:ascii="Times New Roman" w:hAnsi="Times New Roman"/>
          <w:sz w:val="20"/>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180" w:after="0"/>
        <w:rPr>
          <w:rFonts w:ascii="Times New Roman" w:hAnsi="Times New Roman"/>
          <w:sz w:val="20"/>
        </w:rPr>
      </w:pPr>
      <w:r>
        <w:rPr>
          <w:rFonts w:ascii="Times New Roman" w:hAnsi="Times New Roman"/>
          <w:sz w:val="20"/>
        </w:rPr>
        <w:t xml:space="preserve">(g) </w:t>
      </w:r>
      <w:r>
        <w:rPr>
          <w:rFonts w:ascii="Times New Roman" w:hAnsi="Times New Roman"/>
          <w:i/>
          <w:sz w:val="20"/>
        </w:rPr>
        <w:t>No Material Misstatements or Omissions in Issuer Free Writing Prospectus and Pricing Disclosure Package</w:t>
      </w:r>
      <w:r>
        <w:rPr>
          <w:rFonts w:ascii="Times New Roman" w:hAnsi="Times New Roman"/>
          <w:sz w:val="20"/>
        </w:rPr>
        <w:t xml:space="preserve">. Each Issuer Free Writing 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180" w:after="0"/>
        <w:rPr>
          <w:rFonts w:ascii="Times New Roman" w:hAnsi="Times New Roman"/>
          <w:sz w:val="20"/>
        </w:rPr>
      </w:pPr>
      <w:r>
        <w:rPr>
          <w:rFonts w:ascii="Times New Roman" w:hAnsi="Times New Roman"/>
          <w:sz w:val="20"/>
        </w:rPr>
        <w:t xml:space="preserve">(h) </w:t>
      </w:r>
      <w:r>
        <w:rPr>
          <w:rFonts w:ascii="Times New Roman" w:hAnsi="Times New Roman"/>
          <w:i/>
          <w:sz w:val="20"/>
        </w:rPr>
        <w:t>Issuer Free Writing Prospectuses Conform to the Requirements of the Securities Act</w:t>
      </w:r>
      <w:r>
        <w:rPr>
          <w:rFonts w:ascii="Times New Roman" w:hAnsi="Times New Roman"/>
          <w:sz w:val="20"/>
        </w:rPr>
        <w:t xml:space="preserve">. Each Issuer Free Writing Prospectus 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 </w:t>
      </w:r>
    </w:p>
    <w:p>
      <w:pPr>
        <w:pStyle w:val="TextBody"/>
        <w:spacing w:before="180" w:after="0"/>
        <w:rPr>
          <w:rFonts w:ascii="Times New Roman" w:hAnsi="Times New Roman"/>
          <w:sz w:val="20"/>
        </w:rPr>
      </w:pPr>
      <w:r>
        <w:rPr>
          <w:rFonts w:ascii="Times New Roman" w:hAnsi="Times New Roman"/>
          <w:sz w:val="20"/>
        </w:rPr>
        <w:t xml:space="preserve">(i) </w:t>
      </w:r>
      <w:r>
        <w:rPr>
          <w:rFonts w:ascii="Times New Roman" w:hAnsi="Times New Roman"/>
          <w:i/>
          <w:sz w:val="20"/>
        </w:rPr>
        <w:t>Well-Known Seasoned Issuer and Not an Ineligible Issuer</w:t>
      </w:r>
      <w:r>
        <w:rPr>
          <w:rFonts w:ascii="Times New Roman" w:hAnsi="Times New Roman"/>
          <w:sz w:val="20"/>
        </w:rPr>
        <w:t xml:space="preserve">. Each of the Issuers is a well-known seasoned issuer (as defined in Rule 405 of the Rules and Regulations). At the earliest time after the initial filing of the Registration Statement that the Issuers or another offering participant made a </w:t>
      </w:r>
      <w:r>
        <w:rPr>
          <w:rFonts w:ascii="Times New Roman" w:hAnsi="Times New Roman"/>
          <w:i/>
          <w:sz w:val="20"/>
        </w:rPr>
        <w:t>bona fide</w:t>
      </w:r>
      <w:r>
        <w:rPr>
          <w:rFonts w:ascii="Times New Roman" w:hAnsi="Times New Roman"/>
          <w:sz w:val="20"/>
        </w:rPr>
        <w:t xml:space="preserve"> offer (within the meaning of Rule 164(h)(2) of the Rules and Regulations) of the Notes, neither of the Issuers was an ineligible issuer, as defined in Rule 405 of the Rules and Regulations. </w:t>
      </w:r>
    </w:p>
    <w:p>
      <w:pPr>
        <w:pStyle w:val="TextBody"/>
        <w:spacing w:before="180" w:after="0"/>
        <w:rPr>
          <w:rFonts w:ascii="Times New Roman" w:hAnsi="Times New Roman"/>
          <w:sz w:val="20"/>
        </w:rPr>
      </w:pPr>
      <w:r>
        <w:rPr>
          <w:rFonts w:ascii="Times New Roman" w:hAnsi="Times New Roman"/>
          <w:sz w:val="20"/>
        </w:rPr>
        <w:t xml:space="preserve">(j) </w:t>
      </w:r>
      <w:r>
        <w:rPr>
          <w:rFonts w:ascii="Times New Roman" w:hAnsi="Times New Roman"/>
          <w:i/>
          <w:sz w:val="20"/>
        </w:rPr>
        <w:t>Formation and Qualification of Certain Entities</w:t>
      </w:r>
      <w:r>
        <w:rPr>
          <w:rFonts w:ascii="Times New Roman" w:hAnsi="Times New Roman"/>
          <w:sz w:val="20"/>
        </w:rPr>
        <w:t xml:space="preserve">. Each of the Issuers, the GP Entities and the Material Subsidiaries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hAnsi="Times New Roman"/>
          <w:sz w:val="20"/>
          <w:u w:val="single"/>
        </w:rPr>
        <w:t xml:space="preserve">Exhibit A </w:t>
      </w:r>
      <w:r>
        <w:rPr>
          <w:rFonts w:ascii="Times New Roman" w:hAnsi="Times New Roman"/>
          <w:sz w:val="20"/>
        </w:rPr>
        <w:t>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 w:hAnsi="Times New Roman"/>
          <w:b/>
          <w:sz w:val="20"/>
        </w:rPr>
        <w:t>Subsidiaries</w:t>
      </w:r>
      <w:r>
        <w:rPr>
          <w:rFonts w:ascii="Times New Roman" w:hAnsi="Times New Roman"/>
          <w:sz w:val="20"/>
        </w:rPr>
        <w:t>) and the Partnership (collectively, the </w:t>
      </w:r>
      <w:r>
        <w:rPr>
          <w:rFonts w:ascii="Times New Roman" w:hAnsi="Times New Roman"/>
          <w:b/>
          <w:sz w:val="20"/>
        </w:rPr>
        <w:t>Plains Entities</w:t>
      </w:r>
      <w:r>
        <w:rPr>
          <w:rFonts w:ascii="Times New Roman" w:hAnsi="Times New Roman"/>
          <w:sz w:val="20"/>
        </w:rPr>
        <w:t>), taken as a whole (a </w:t>
      </w:r>
      <w:r>
        <w:rPr>
          <w:rFonts w:ascii="Times New Roman" w:hAnsi="Times New Roman"/>
          <w:b/>
          <w:sz w:val="20"/>
        </w:rPr>
        <w:t>Material Adverse Effect</w:t>
      </w:r>
      <w:r>
        <w:rPr>
          <w:rFonts w:ascii="Times New Roman" w:hAnsi="Times New Roman"/>
          <w:sz w:val="20"/>
        </w:rPr>
        <w:t xml:space="preserve">), or (ii) subject the limited partners of the Partnership to any material liability or disability. </w:t>
      </w:r>
    </w:p>
    <w:p>
      <w:pPr>
        <w:pStyle w:val="TextBody"/>
        <w:spacing w:before="180" w:after="0"/>
        <w:rPr>
          <w:rFonts w:ascii="Times New Roman" w:hAnsi="Times New Roman"/>
          <w:sz w:val="20"/>
        </w:rPr>
      </w:pPr>
      <w:r>
        <w:rPr>
          <w:rFonts w:ascii="Times New Roman" w:hAnsi="Times New Roman"/>
          <w:sz w:val="20"/>
        </w:rPr>
        <w:t xml:space="preserve">(k) </w:t>
      </w:r>
      <w:r>
        <w:rPr>
          <w:rFonts w:ascii="Times New Roman" w:hAnsi="Times New Roman"/>
          <w:i/>
          <w:sz w:val="20"/>
        </w:rPr>
        <w:t>General Partners</w:t>
      </w:r>
      <w:r>
        <w:rPr>
          <w:rFonts w:ascii="Times New Roman" w:hAnsi="Times New Roman"/>
          <w:sz w:val="20"/>
        </w:rPr>
        <w:t xml:space="preserve">.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Pricing Disclosure Package and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(l) </w:t>
      </w:r>
      <w:r>
        <w:rPr>
          <w:rFonts w:ascii="Times New Roman" w:hAnsi="Times New Roman"/>
          <w:i/>
          <w:sz w:val="20"/>
        </w:rPr>
        <w:t>Ownership of Interests in the Partnership, the General Partner and Plains AAP</w:t>
      </w:r>
      <w:r>
        <w:rPr>
          <w:rFonts w:ascii="Times New Roman" w:hAnsi="Times New Roman"/>
          <w:sz w:val="20"/>
        </w:rPr>
        <w:t>.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Delivery Date, such agreement being referred to herein as the </w:t>
      </w:r>
      <w:r>
        <w:rPr>
          <w:rFonts w:ascii="Times New Roman" w:hAnsi="Times New Roman"/>
          <w:b/>
          <w:sz w:val="20"/>
        </w:rPr>
        <w:t>General Partner LLC Agreement</w:t>
      </w:r>
      <w:r>
        <w:rPr>
          <w:rFonts w:ascii="Times New Roman" w:hAnsi="Times New Roman"/>
          <w:sz w:val="20"/>
        </w:rPr>
        <w:t>) and nonassessable (except as such nonassessability may be affected by Sections 18-607 and 18-804 of the Delaware Limited Liability Company Act (the </w:t>
      </w:r>
      <w:r>
        <w:rPr>
          <w:rFonts w:ascii="Times New Roman" w:hAnsi="Times New Roman"/>
          <w:b/>
          <w:sz w:val="20"/>
        </w:rPr>
        <w:t>Delaware LLC Act</w:t>
      </w:r>
      <w:r>
        <w:rPr>
          <w:rFonts w:ascii="Times New Roman" w:hAnsi="Times New Roman"/>
          <w:sz w:val="20"/>
        </w:rPr>
        <w:t>)); and such general partner and membership interests held by the GP Entities are owned free and clear of all liens, encumbrances, security interests, equities, charges or claims (</w:t>
      </w:r>
      <w:r>
        <w:rPr>
          <w:rFonts w:ascii="Times New Roman" w:hAnsi="Times New Roman"/>
          <w:b/>
          <w:sz w:val="20"/>
        </w:rPr>
        <w:t>Liens</w:t>
      </w:r>
      <w:r>
        <w:rPr>
          <w:rFonts w:ascii="Times New Roman" w:hAnsi="Times New Roman"/>
          <w:sz w:val="20"/>
        </w:rPr>
        <w:t xml:space="preserve">), except (i) as disclosed in the Pricing Disclosure 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 </w:t>
      </w:r>
    </w:p>
    <w:p>
      <w:pPr>
        <w:pStyle w:val="TextBody"/>
        <w:spacing w:before="180" w:after="0"/>
        <w:rPr>
          <w:rFonts w:ascii="Times New Roman" w:hAnsi="Times New Roman"/>
          <w:sz w:val="20"/>
        </w:rPr>
      </w:pPr>
      <w:r>
        <w:rPr>
          <w:rFonts w:ascii="Times New Roman" w:hAnsi="Times New Roman"/>
          <w:sz w:val="20"/>
        </w:rPr>
        <w:t xml:space="preserve">(m) </w:t>
      </w:r>
      <w:r>
        <w:rPr>
          <w:rFonts w:ascii="Times New Roman" w:hAnsi="Times New Roman"/>
          <w:i/>
          <w:sz w:val="20"/>
        </w:rPr>
        <w:t>Ownership of the Material Subsidiaries</w:t>
      </w:r>
      <w:r>
        <w:rPr>
          <w:rFonts w:ascii="Times New Roman" w:hAnsi="Times New Roman"/>
          <w:sz w:val="20"/>
        </w:rPr>
        <w:t>. 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Times New Roman" w:hAnsi="Times New Roman"/>
          <w:b/>
          <w:sz w:val="20"/>
        </w:rPr>
        <w:t>Organizational Documents</w:t>
      </w:r>
      <w:r>
        <w:rPr>
          <w:rFonts w:ascii="Times New Roman" w:hAnsi="Times New Roman"/>
          <w:sz w:val="20"/>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 w:hAnsi="Times New Roman"/>
          <w:b/>
          <w:sz w:val="20"/>
        </w:rPr>
        <w:t>Delaware LP Act</w:t>
      </w:r>
      <w:r>
        <w:rPr>
          <w:rFonts w:ascii="Times New Roman" w:hAnsi="Times New Roman"/>
          <w:sz w:val="20"/>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the portion of the limited partner interest in PAA Natural Gas Storage, L.P. (</w:t>
      </w:r>
      <w:r>
        <w:rPr>
          <w:rFonts w:ascii="Times New Roman" w:hAnsi="Times New Roman"/>
          <w:b/>
          <w:sz w:val="20"/>
        </w:rPr>
        <w:t>PNG</w:t>
      </w:r>
      <w:r>
        <w:rPr>
          <w:rFonts w:ascii="Times New Roman" w:hAnsi="Times New Roman"/>
          <w:sz w:val="20"/>
        </w:rPr>
        <w:t xml:space="preserve">) held by public or private investors, are owned, directly or indirectly, by the Partnership, free and clear of all Liens.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 end.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 </w:t>
      </w:r>
      <w:r>
        <w:rPr>
          <w:rFonts w:ascii="Times New Roman" w:hAnsi="Times New Roman"/>
          <w:i/>
          <w:sz w:val="20"/>
        </w:rPr>
        <w:t>No Registration Rights</w:t>
      </w:r>
      <w:r>
        <w:rPr>
          <w:rFonts w:ascii="Times New Roman" w:hAnsi="Times New Roman"/>
          <w:sz w:val="20"/>
        </w:rPr>
        <w:t xml:space="preserve">. The offering and sale of the Notes as contemplated by this Agreement do not give rise to any rights for or relating to the registration of any other securities of the Issuers, except such rights as have been waived or satisfied. </w:t>
      </w:r>
    </w:p>
    <w:p>
      <w:pPr>
        <w:pStyle w:val="TextBody"/>
        <w:spacing w:before="180" w:after="0"/>
        <w:rPr>
          <w:rFonts w:ascii="Times New Roman" w:hAnsi="Times New Roman"/>
          <w:sz w:val="20"/>
        </w:rPr>
      </w:pPr>
      <w:r>
        <w:rPr>
          <w:rFonts w:ascii="Times New Roman" w:hAnsi="Times New Roman"/>
          <w:sz w:val="20"/>
        </w:rPr>
        <w:t xml:space="preserve">(o) </w:t>
      </w:r>
      <w:r>
        <w:rPr>
          <w:rFonts w:ascii="Times New Roman" w:hAnsi="Times New Roman"/>
          <w:i/>
          <w:sz w:val="20"/>
        </w:rPr>
        <w:t>Conformity to Description of Notes</w:t>
      </w:r>
      <w:r>
        <w:rPr>
          <w:rFonts w:ascii="Times New Roman" w:hAnsi="Times New Roman"/>
          <w:sz w:val="20"/>
        </w:rPr>
        <w:t xml:space="preserve">. The Notes, when issued and delivered against payment therefor as provided herein and in the Indenture, and the Indenture will conform in all material respects to the descriptions thereof contained in the Pricing Disclosure Package and the Prospectus (and any amendment or supplement thereto). </w:t>
      </w:r>
    </w:p>
    <w:p>
      <w:pPr>
        <w:pStyle w:val="TextBody"/>
        <w:spacing w:before="180" w:after="0"/>
        <w:rPr>
          <w:rFonts w:ascii="Times New Roman" w:hAnsi="Times New Roman"/>
          <w:sz w:val="20"/>
        </w:rPr>
      </w:pPr>
      <w:r>
        <w:rPr>
          <w:rFonts w:ascii="Times New Roman" w:hAnsi="Times New Roman"/>
          <w:sz w:val="20"/>
        </w:rPr>
        <w:t xml:space="preserve">(p) </w:t>
      </w:r>
      <w:r>
        <w:rPr>
          <w:rFonts w:ascii="Times New Roman" w:hAnsi="Times New Roman"/>
          <w:i/>
          <w:sz w:val="20"/>
        </w:rPr>
        <w:t>Authority</w:t>
      </w:r>
      <w:r>
        <w:rPr>
          <w:rFonts w:ascii="Times New Roman" w:hAnsi="Times New Roman"/>
          <w:sz w:val="20"/>
        </w:rPr>
        <w:t xml:space="preserve">. Each of the Issuers has all requisite power and authority to issue, sell and deliver the Notes in accordance with and upon the terms and conditions set forth in this Agreement, its respective Organizational Documents, the Indenture, the Registration Statement, the Pricing Disclosure Package and the Prospectus. All action required to be taken by the Issuers or its respective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 </w:t>
      </w:r>
    </w:p>
    <w:p>
      <w:pPr>
        <w:pStyle w:val="TextBody"/>
        <w:spacing w:before="180" w:after="0"/>
        <w:rPr>
          <w:rFonts w:ascii="Times New Roman" w:hAnsi="Times New Roman"/>
          <w:sz w:val="20"/>
        </w:rPr>
      </w:pPr>
      <w:r>
        <w:rPr>
          <w:rFonts w:ascii="Times New Roman" w:hAnsi="Times New Roman"/>
          <w:sz w:val="20"/>
        </w:rPr>
        <w:t xml:space="preserve">(q) </w:t>
      </w:r>
      <w:r>
        <w:rPr>
          <w:rFonts w:ascii="Times New Roman" w:hAnsi="Times New Roman"/>
          <w:i/>
          <w:sz w:val="20"/>
        </w:rPr>
        <w:t>Authorization, Execution and Delivery of this Agreement</w:t>
      </w:r>
      <w:r>
        <w:rPr>
          <w:rFonts w:ascii="Times New Roman" w:hAnsi="Times New Roman"/>
          <w:sz w:val="20"/>
        </w:rPr>
        <w:t xml:space="preserve">. This Agreement has been duly and validly authorized, executed and delivered by or on behalf of the Issuers. </w:t>
      </w:r>
    </w:p>
    <w:p>
      <w:pPr>
        <w:pStyle w:val="TextBody"/>
        <w:spacing w:before="180" w:after="0"/>
        <w:rPr>
          <w:rFonts w:ascii="Times New Roman" w:hAnsi="Times New Roman"/>
          <w:sz w:val="20"/>
        </w:rPr>
      </w:pPr>
      <w:r>
        <w:rPr>
          <w:rFonts w:ascii="Times New Roman" w:hAnsi="Times New Roman"/>
          <w:sz w:val="20"/>
        </w:rPr>
        <w:t xml:space="preserve">(r) </w:t>
      </w:r>
      <w:r>
        <w:rPr>
          <w:rFonts w:ascii="Times New Roman" w:hAnsi="Times New Roman"/>
          <w:i/>
          <w:sz w:val="20"/>
        </w:rPr>
        <w:t>Enforceability of the Indenture</w:t>
      </w:r>
      <w:r>
        <w:rPr>
          <w:rFonts w:ascii="Times New Roman" w:hAnsi="Times New Roman"/>
          <w:sz w:val="20"/>
        </w:rPr>
        <w:t xml:space="preserve">. The execution and delivery of, and the performance by each of the Issuers of their respective obligations under, the Indenture have been duly and validly authorized by each of the Issuers; the Indenture has been duly qualified under the Trust Indenture Act and, assuming due authorization, execution and delivery of the Base Indenture and the Supplemental Indentures thereto by the Trustee, when each such Supplemental Indenture is executed and delivered by each of the Issuers, will constitute the valid and legally binding agreement of each of the Issuers, enforceable against each of the Issuers in accordance with its terms; </w:t>
      </w:r>
      <w:r>
        <w:rPr>
          <w:rFonts w:ascii="Times New Roman" w:hAnsi="Times New Roman"/>
          <w:sz w:val="20"/>
          <w:u w:val="single"/>
        </w:rPr>
        <w:t>provided</w:t>
      </w:r>
      <w:r>
        <w:rPr>
          <w:rFonts w:ascii="Times New Roman" w:hAnsi="Times New Roman"/>
          <w:sz w:val="20"/>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 </w:t>
      </w:r>
    </w:p>
    <w:p>
      <w:pPr>
        <w:pStyle w:val="TextBody"/>
        <w:spacing w:before="180" w:after="0"/>
        <w:rPr>
          <w:rFonts w:ascii="Times New Roman" w:hAnsi="Times New Roman"/>
          <w:sz w:val="20"/>
        </w:rPr>
      </w:pPr>
      <w:r>
        <w:rPr>
          <w:rFonts w:ascii="Times New Roman" w:hAnsi="Times New Roman"/>
          <w:sz w:val="20"/>
        </w:rPr>
        <w:t xml:space="preserve">(s) </w:t>
      </w:r>
      <w:r>
        <w:rPr>
          <w:rFonts w:ascii="Times New Roman" w:hAnsi="Times New Roman"/>
          <w:i/>
          <w:sz w:val="20"/>
        </w:rPr>
        <w:t>Valid Issuance of the Notes</w:t>
      </w:r>
      <w:r>
        <w:rPr>
          <w:rFonts w:ascii="Times New Roman" w:hAnsi="Times New Roman"/>
          <w:sz w:val="20"/>
        </w:rPr>
        <w:t xml:space="preserve">. The Notes have been duly authorized, and, when executed and authenticated in accordance with the 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Times New Roman" w:hAnsi="Times New Roman"/>
          <w:sz w:val="20"/>
          <w:u w:val="single"/>
        </w:rPr>
        <w:t>provided</w:t>
      </w:r>
      <w:r>
        <w:rPr>
          <w:rFonts w:ascii="Times New Roman" w:hAnsi="Times New Roman"/>
          <w:sz w:val="20"/>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 </w:t>
      </w:r>
      <w:r>
        <w:rPr>
          <w:rFonts w:ascii="Times New Roman" w:hAnsi="Times New Roman"/>
          <w:i/>
          <w:sz w:val="20"/>
        </w:rPr>
        <w:t>Authorization, Execution and Enforceability of the Operating Agreements</w:t>
      </w:r>
      <w:r>
        <w:rPr>
          <w:rFonts w:ascii="Times New Roman" w:hAnsi="Times New Roman"/>
          <w:sz w:val="20"/>
        </w:rPr>
        <w:t xml:space="preserve">. The partnership agreement or limited liability company agreement, as applicable, of each of the Issuers, the GP Entities and the Material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w:t>
      </w:r>
    </w:p>
    <w:p>
      <w:pPr>
        <w:pStyle w:val="TextBody"/>
        <w:spacing w:before="180" w:after="0"/>
        <w:rPr>
          <w:rFonts w:ascii="Times New Roman" w:hAnsi="Times New Roman"/>
          <w:sz w:val="20"/>
        </w:rPr>
      </w:pPr>
      <w:r>
        <w:rPr>
          <w:rFonts w:ascii="Times New Roman" w:hAnsi="Times New Roman"/>
          <w:sz w:val="20"/>
        </w:rPr>
        <w:t xml:space="preserve">(u) </w:t>
      </w:r>
      <w:r>
        <w:rPr>
          <w:rFonts w:ascii="Times New Roman" w:hAnsi="Times New Roman"/>
          <w:i/>
          <w:sz w:val="20"/>
        </w:rPr>
        <w:t>No Conflicts or Violations</w:t>
      </w:r>
      <w:r>
        <w:rPr>
          <w:rFonts w:ascii="Times New Roman" w:hAnsi="Times New Roman"/>
          <w:sz w:val="20"/>
        </w:rPr>
        <w:t xml:space="preserve">. None of (i) the offering, issuance and sale by the Issuers of the Notes, (ii) the execution, delivery and performance of this Agreement by each of the Issuers, (iii) the consummation of the transactions contemplated by this Agreement or (iv) the execution, delivery and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clauses (B), (C) or (D), would reasonably be expected to have a Material Adverse Effect or materially impair the ability of the Issuers to consummate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(v) </w:t>
      </w:r>
      <w:r>
        <w:rPr>
          <w:rFonts w:ascii="Times New Roman" w:hAnsi="Times New Roman"/>
          <w:i/>
          <w:sz w:val="20"/>
        </w:rPr>
        <w:t>No Consents</w:t>
      </w:r>
      <w:r>
        <w:rPr>
          <w:rFonts w:ascii="Times New Roman" w:hAnsi="Times New Roman"/>
          <w:sz w:val="20"/>
        </w:rPr>
        <w:t>. No consent, approval, authorization, filing with or order of any court, governmental agency or body having 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(iii) the execution, delivery and performance of the Indenture by each of the Issuers or the consummation of the transactions contemplated thereby, except (A) such as have been obtained under the Securities Act, (B) such as may be required under the blue sky laws of any jurisdiction or the by-laws and rules of the Financial Industry Regulatory Authority, Inc. (</w:t>
      </w:r>
      <w:r>
        <w:rPr>
          <w:rFonts w:ascii="Times New Roman" w:hAnsi="Times New Roman"/>
          <w:b/>
          <w:sz w:val="20"/>
        </w:rPr>
        <w:t>FINRA</w:t>
      </w:r>
      <w:r>
        <w:rPr>
          <w:rFonts w:ascii="Times New Roman" w:hAnsi="Times New Roman"/>
          <w:sz w:val="20"/>
        </w:rPr>
        <w:t xml:space="preserve">) in connection with the purchase and distribution by the Underwriters of the Notes in the manner contemplated herein and in the Pricing Disclosure Package and the Prospectus and (C) such that the failure to obtain or make would not reasonably be expected to have a Material Adverse Effect or materially impair the ability of the Issuers to consummate the transactions contemplated by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 </w:t>
      </w:r>
      <w:r>
        <w:rPr>
          <w:rFonts w:ascii="Times New Roman" w:hAnsi="Times New Roman"/>
          <w:i/>
          <w:sz w:val="20"/>
        </w:rPr>
        <w:t>No Default</w:t>
      </w:r>
      <w:r>
        <w:rPr>
          <w:rFonts w:ascii="Times New Roman" w:hAnsi="Times New Roman"/>
          <w:sz w:val="20"/>
        </w:rPr>
        <w:t xml:space="preserve">. (i) None of the Issuers or the GP Entities or the Material Subsidiaries is in violation of its Organizational Documents 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either of the Issuers to perform its obligations under this Agreement. </w:t>
      </w:r>
    </w:p>
    <w:p>
      <w:pPr>
        <w:pStyle w:val="TextBody"/>
        <w:spacing w:before="180" w:after="0"/>
        <w:rPr>
          <w:rFonts w:ascii="Times New Roman" w:hAnsi="Times New Roman"/>
          <w:sz w:val="20"/>
        </w:rPr>
      </w:pPr>
      <w:r>
        <w:rPr>
          <w:rFonts w:ascii="Times New Roman" w:hAnsi="Times New Roman"/>
          <w:sz w:val="20"/>
        </w:rPr>
        <w:t xml:space="preserve">(x) </w:t>
      </w:r>
      <w:r>
        <w:rPr>
          <w:rFonts w:ascii="Times New Roman" w:hAnsi="Times New Roman"/>
          <w:i/>
          <w:sz w:val="20"/>
        </w:rPr>
        <w:t>Independent Registered Public Accounting Firm</w:t>
      </w:r>
      <w:r>
        <w:rPr>
          <w:rFonts w:ascii="Times New Roman" w:hAnsi="Times New Roman"/>
          <w:sz w:val="20"/>
        </w:rPr>
        <w:t xml:space="preserve">. PricewaterhouseCoopers LLP, which has certified the audited financial statements included 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 </w:t>
      </w:r>
    </w:p>
    <w:p>
      <w:pPr>
        <w:pStyle w:val="TextBody"/>
        <w:spacing w:before="180" w:after="0"/>
        <w:rPr>
          <w:rFonts w:ascii="Times New Roman" w:hAnsi="Times New Roman"/>
          <w:sz w:val="20"/>
        </w:rPr>
      </w:pPr>
      <w:r>
        <w:rPr>
          <w:rFonts w:ascii="Times New Roman" w:hAnsi="Times New Roman"/>
          <w:sz w:val="20"/>
        </w:rPr>
        <w:t xml:space="preserve">(y) </w:t>
      </w:r>
      <w:r>
        <w:rPr>
          <w:rFonts w:ascii="Times New Roman" w:hAnsi="Times New Roman"/>
          <w:i/>
          <w:sz w:val="20"/>
        </w:rPr>
        <w:t>Financial Statements</w:t>
      </w:r>
      <w:r>
        <w:rPr>
          <w:rFonts w:ascii="Times New Roman" w:hAnsi="Times New Roman"/>
          <w:sz w:val="20"/>
        </w:rPr>
        <w:t xml:space="preserve">. At December 31, 2011, the Partnership had, on an as adjusted basis and on an as further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the most recent Preliminary Prospectus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the most recent Preliminary Prospectus and the Prospectus (and any amendment or supplement thereto) are reasonable, and the adjustments used therein are appropriate to give effect to the transactions or circumstances referred to therein. No other financial statements or schedules of the Issuers are required by the Securities Act or the Exchange Act to be included in the Registration Statement, the most recent Preliminary Prospectus or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(z) </w:t>
      </w:r>
      <w:r>
        <w:rPr>
          <w:rFonts w:ascii="Times New Roman" w:hAnsi="Times New Roman"/>
          <w:i/>
          <w:sz w:val="20"/>
        </w:rPr>
        <w:t>No Material Adverse Change</w:t>
      </w:r>
      <w:r>
        <w:rPr>
          <w:rFonts w:ascii="Times New Roman" w:hAnsi="Times New Roman"/>
          <w:sz w:val="20"/>
        </w:rPr>
        <w:t xml:space="preserve">. None of the Plains Entities or the GP Entities has sustained, since the date of the latest audited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declared, paid or made on the security interests of any of the Plains Entities or the GP Entities, in each case other than as set forth in the Registration Statement,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(aa) </w:t>
      </w:r>
      <w:r>
        <w:rPr>
          <w:rFonts w:ascii="Times New Roman" w:hAnsi="Times New Roman"/>
          <w:i/>
          <w:sz w:val="20"/>
        </w:rPr>
        <w:t>Required Disclosures and Descriptions</w:t>
      </w:r>
      <w:r>
        <w:rPr>
          <w:rFonts w:ascii="Times New Roman" w:hAnsi="Times New Roman"/>
          <w:sz w:val="20"/>
        </w:rPr>
        <w:t xml:space="preserve">. There are no legal or governmental proceedings pending or, to the knowledge of the Issuers, 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 </w:t>
      </w:r>
    </w:p>
    <w:p>
      <w:pPr>
        <w:pStyle w:val="TextBody"/>
        <w:spacing w:before="180" w:after="0"/>
        <w:rPr>
          <w:rFonts w:ascii="Times New Roman" w:hAnsi="Times New Roman"/>
          <w:sz w:val="20"/>
        </w:rPr>
      </w:pPr>
      <w:r>
        <w:rPr>
          <w:rFonts w:ascii="Times New Roman" w:hAnsi="Times New Roman"/>
          <w:sz w:val="20"/>
        </w:rPr>
        <w:t xml:space="preserve">(bb) </w:t>
      </w:r>
      <w:r>
        <w:rPr>
          <w:rFonts w:ascii="Times New Roman" w:hAnsi="Times New Roman"/>
          <w:i/>
          <w:sz w:val="20"/>
        </w:rPr>
        <w:t>Title to Properties</w:t>
      </w:r>
      <w:r>
        <w:rPr>
          <w:rFonts w:ascii="Times New Roman" w:hAnsi="Times New Roman"/>
          <w:sz w:val="20"/>
        </w:rPr>
        <w:t>. The Plains Entities, directly or indirectly, have good and indefeasible title to all real property and good title to all personal property described in the Pricing Disclosure Package and the Prospectus as being owned by them, free and clear of all Liens except (i) as provided in the Third Amended and Restated Credit Agreement dated August 19, 2011, as amended (the </w:t>
      </w:r>
      <w:r>
        <w:rPr>
          <w:rFonts w:ascii="Times New Roman" w:hAnsi="Times New Roman"/>
          <w:b/>
          <w:sz w:val="20"/>
        </w:rPr>
        <w:t>Hedged Inventory Facility</w:t>
      </w:r>
      <w:r>
        <w:rPr>
          <w:rFonts w:ascii="Times New Roman" w:hAnsi="Times New Roman"/>
          <w:sz w:val="20"/>
        </w:rPr>
        <w:t>), among Plains Marketing, L.P. (</w:t>
      </w:r>
      <w:r>
        <w:rPr>
          <w:rFonts w:ascii="Times New Roman" w:hAnsi="Times New Roman"/>
          <w:b/>
          <w:sz w:val="20"/>
        </w:rPr>
        <w:t>Plains Marketing</w:t>
      </w:r>
      <w:r>
        <w:rPr>
          <w:rFonts w:ascii="Times New Roman" w:hAnsi="Times New Roman"/>
          <w:sz w:val="20"/>
        </w:rPr>
        <w:t xml:space="preserve">),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(cc) </w:t>
      </w:r>
      <w:r>
        <w:rPr>
          <w:rFonts w:ascii="Times New Roman" w:hAnsi="Times New Roman"/>
          <w:i/>
          <w:sz w:val="20"/>
        </w:rPr>
        <w:t>Permits</w:t>
      </w:r>
      <w:r>
        <w:rPr>
          <w:rFonts w:ascii="Times New Roman" w:hAnsi="Times New Roman"/>
          <w:sz w:val="20"/>
        </w:rPr>
        <w:t>. Each of the Plains Entities, directly or indirectly, has such permits, consents, licenses, franchises, certificates and authorizations of governmental or regulatory authorities (</w:t>
      </w:r>
      <w:r>
        <w:rPr>
          <w:rFonts w:ascii="Times New Roman" w:hAnsi="Times New Roman"/>
          <w:b/>
          <w:sz w:val="20"/>
        </w:rPr>
        <w:t>Permits</w:t>
      </w:r>
      <w:r>
        <w:rPr>
          <w:rFonts w:ascii="Times New Roman" w:hAnsi="Times New Roman"/>
          <w:sz w:val="20"/>
        </w:rPr>
        <w:t xml:space="preserve">) as are necessary to own its properties and to conduct 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(dd) </w:t>
      </w:r>
      <w:r>
        <w:rPr>
          <w:rFonts w:ascii="Times New Roman" w:hAnsi="Times New Roman"/>
          <w:i/>
          <w:sz w:val="20"/>
        </w:rPr>
        <w:t>Rights-of-Way</w:t>
      </w:r>
      <w:r>
        <w:rPr>
          <w:rFonts w:ascii="Times New Roman" w:hAnsi="Times New Roman"/>
          <w:sz w:val="20"/>
        </w:rPr>
        <w:t>. Each of the Plains Entities, directly or indirectly, has such consents, easements, rights-of-way or licenses from any person (</w:t>
      </w:r>
      <w:r>
        <w:rPr>
          <w:rFonts w:ascii="Times New Roman" w:hAnsi="Times New Roman"/>
          <w:b/>
          <w:sz w:val="20"/>
        </w:rPr>
        <w:t>rights-of-way</w:t>
      </w:r>
      <w:r>
        <w:rPr>
          <w:rFonts w:ascii="Times New Roman" w:hAnsi="Times New Roman"/>
          <w:sz w:val="20"/>
        </w:rPr>
        <w:t xml:space="preserve">)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(ee) </w:t>
      </w:r>
      <w:r>
        <w:rPr>
          <w:rFonts w:ascii="Times New Roman" w:hAnsi="Times New Roman"/>
          <w:i/>
          <w:sz w:val="20"/>
        </w:rPr>
        <w:t>Investment Company</w:t>
      </w:r>
      <w:r>
        <w:rPr>
          <w:rFonts w:ascii="Times New Roman" w:hAnsi="Times New Roman"/>
          <w:sz w:val="20"/>
        </w:rPr>
        <w:t>.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hAnsi="Times New Roman"/>
          <w:b/>
          <w:sz w:val="20"/>
        </w:rPr>
        <w:t>Investment Company Act</w:t>
      </w:r>
      <w:r>
        <w:rPr>
          <w:rFonts w:ascii="Times New Roman" w:hAnsi="Times New Roman"/>
          <w:sz w:val="20"/>
        </w:rPr>
        <w:t xml:space="preserve">),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 </w:t>
      </w:r>
    </w:p>
    <w:p>
      <w:pPr>
        <w:pStyle w:val="TextBody"/>
        <w:spacing w:before="180" w:after="0"/>
        <w:rPr>
          <w:rFonts w:ascii="Times New Roman" w:hAnsi="Times New Roman"/>
          <w:sz w:val="20"/>
        </w:rPr>
      </w:pPr>
      <w:r>
        <w:rPr>
          <w:rFonts w:ascii="Times New Roman" w:hAnsi="Times New Roman"/>
          <w:sz w:val="20"/>
        </w:rPr>
        <w:t xml:space="preserve">(ff) </w:t>
      </w:r>
      <w:r>
        <w:rPr>
          <w:rFonts w:ascii="Times New Roman" w:hAnsi="Times New Roman"/>
          <w:i/>
          <w:sz w:val="20"/>
        </w:rPr>
        <w:t>Environmental Compliance</w:t>
      </w:r>
      <w:r>
        <w:rPr>
          <w:rFonts w:ascii="Times New Roman" w:hAnsi="Times New Roman"/>
          <w:sz w:val="20"/>
        </w:rPr>
        <w:t>. Except as described in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(gg) </w:t>
      </w:r>
      <w:r>
        <w:rPr>
          <w:rFonts w:ascii="Times New Roman" w:hAnsi="Times New Roman"/>
          <w:i/>
          <w:sz w:val="20"/>
        </w:rPr>
        <w:t>No Labor Disputes</w:t>
      </w:r>
      <w:r>
        <w:rPr>
          <w:rFonts w:ascii="Times New Roman" w:hAnsi="Times New Roman"/>
          <w:sz w:val="20"/>
        </w:rPr>
        <w:t xml:space="preserve">. No labor dispute with the employees of any of the Plains Entities or the GP Entities exists or, to the knowledge of the Issuers, is imminent, that would reasonably be expected to have a Material Adverse Effect. </w:t>
      </w:r>
    </w:p>
    <w:p>
      <w:pPr>
        <w:pStyle w:val="TextBody"/>
        <w:spacing w:before="180" w:after="0"/>
        <w:rPr>
          <w:rFonts w:ascii="Times New Roman" w:hAnsi="Times New Roman"/>
          <w:sz w:val="20"/>
        </w:rPr>
      </w:pPr>
      <w:r>
        <w:rPr>
          <w:rFonts w:ascii="Times New Roman" w:hAnsi="Times New Roman"/>
          <w:sz w:val="20"/>
        </w:rPr>
        <w:t xml:space="preserve">(hh) </w:t>
      </w:r>
      <w:r>
        <w:rPr>
          <w:rFonts w:ascii="Times New Roman" w:hAnsi="Times New Roman"/>
          <w:i/>
          <w:sz w:val="20"/>
        </w:rPr>
        <w:t>Insurance</w:t>
      </w:r>
      <w:r>
        <w:rPr>
          <w:rFonts w:ascii="Times New Roman" w:hAnsi="Times New Roman"/>
          <w:sz w:val="20"/>
        </w:rPr>
        <w:t xml:space="preserve">.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 </w:t>
      </w:r>
    </w:p>
    <w:p>
      <w:pPr>
        <w:pStyle w:val="TextBody"/>
        <w:spacing w:before="180" w:after="0"/>
        <w:rPr>
          <w:rFonts w:ascii="Times New Roman" w:hAnsi="Times New Roman"/>
          <w:sz w:val="20"/>
        </w:rPr>
      </w:pPr>
      <w:r>
        <w:rPr>
          <w:rFonts w:ascii="Times New Roman" w:hAnsi="Times New Roman"/>
          <w:sz w:val="20"/>
        </w:rPr>
        <w:t xml:space="preserve">(ii) </w:t>
      </w:r>
      <w:r>
        <w:rPr>
          <w:rFonts w:ascii="Times New Roman" w:hAnsi="Times New Roman"/>
          <w:i/>
          <w:sz w:val="20"/>
        </w:rPr>
        <w:t>No Legal Actions</w:t>
      </w:r>
      <w:r>
        <w:rPr>
          <w:rFonts w:ascii="Times New Roman" w:hAnsi="Times New Roman"/>
          <w:sz w:val="20"/>
        </w:rPr>
        <w:t xml:space="preserve">. Except as described in the Pricing Disclosure Package and the Prospectus, there is (i) 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be expected to have, individually or in the aggregate, a Material Adverse Effect or prevent or result in the suspension of the offering and issuance of the Notes. </w:t>
      </w:r>
    </w:p>
    <w:p>
      <w:pPr>
        <w:pStyle w:val="TextBody"/>
        <w:spacing w:before="180" w:after="0"/>
        <w:rPr>
          <w:rFonts w:ascii="Times New Roman" w:hAnsi="Times New Roman"/>
          <w:sz w:val="20"/>
        </w:rPr>
      </w:pPr>
      <w:r>
        <w:rPr>
          <w:rFonts w:ascii="Times New Roman" w:hAnsi="Times New Roman"/>
          <w:sz w:val="20"/>
        </w:rPr>
        <w:t xml:space="preserve">(jj) </w:t>
      </w:r>
      <w:r>
        <w:rPr>
          <w:rFonts w:ascii="Times New Roman" w:hAnsi="Times New Roman"/>
          <w:i/>
          <w:sz w:val="20"/>
        </w:rPr>
        <w:t>Distribution Restrictions</w:t>
      </w:r>
      <w:r>
        <w:rPr>
          <w:rFonts w:ascii="Times New Roman" w:hAnsi="Times New Roman"/>
          <w:sz w:val="20"/>
        </w:rPr>
        <w:t>. 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as provided in the Credit Agreement dated August 19, 2011 (the </w:t>
      </w:r>
      <w:r>
        <w:rPr>
          <w:rFonts w:ascii="Times New Roman" w:hAnsi="Times New Roman"/>
          <w:b/>
          <w:sz w:val="20"/>
        </w:rPr>
        <w:t>PNG Facility</w:t>
      </w:r>
      <w:r>
        <w:rPr>
          <w:rFonts w:ascii="Times New Roman" w:hAnsi="Times New Roman"/>
          <w:sz w:val="20"/>
        </w:rPr>
        <w:t xml:space="preserve">) among PNG, Bank of America, N.A. and the other lenders from time to time party thereto, as amended, (iii) such prohibitions mandated by the laws of each such Subsidiarys state of formation and the terms of any such Subsidiarys Organizational Documents and (iv) where such prohibition would reasonably be expected to have a Material Adverse Effect. </w:t>
      </w:r>
    </w:p>
    <w:p>
      <w:pPr>
        <w:pStyle w:val="TextBody"/>
        <w:spacing w:before="180" w:after="0"/>
        <w:rPr>
          <w:rFonts w:ascii="Times New Roman" w:hAnsi="Times New Roman"/>
          <w:sz w:val="20"/>
        </w:rPr>
      </w:pPr>
      <w:r>
        <w:rPr>
          <w:rFonts w:ascii="Times New Roman" w:hAnsi="Times New Roman"/>
          <w:sz w:val="20"/>
        </w:rPr>
        <w:t xml:space="preserve">(kk) </w:t>
      </w:r>
      <w:r>
        <w:rPr>
          <w:rFonts w:ascii="Times New Roman" w:hAnsi="Times New Roman"/>
          <w:i/>
          <w:sz w:val="20"/>
        </w:rPr>
        <w:t>No Distribution of Other Offering Materials</w:t>
      </w:r>
      <w:r>
        <w:rPr>
          <w:rFonts w:ascii="Times New Roman" w:hAnsi="Times New Roman"/>
          <w:sz w:val="20"/>
        </w:rPr>
        <w:t xml:space="preserve">. None of the Plains Entities or the GP Entities has distributed and, prior to 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Section 1(h) of this Agreement, or other materials, if any, permitted by the Securities Act, including Rule 134 of the Rules and Regulations. </w:t>
      </w:r>
    </w:p>
    <w:p>
      <w:pPr>
        <w:pStyle w:val="TextBody"/>
        <w:spacing w:before="180" w:after="0"/>
        <w:rPr>
          <w:rFonts w:ascii="Times New Roman" w:hAnsi="Times New Roman"/>
          <w:sz w:val="20"/>
        </w:rPr>
      </w:pPr>
      <w:r>
        <w:rPr>
          <w:rFonts w:ascii="Times New Roman" w:hAnsi="Times New Roman"/>
          <w:sz w:val="20"/>
        </w:rPr>
        <w:t xml:space="preserve">(ll) </w:t>
      </w:r>
      <w:r>
        <w:rPr>
          <w:rFonts w:ascii="Times New Roman" w:hAnsi="Times New Roman"/>
          <w:i/>
          <w:sz w:val="20"/>
        </w:rPr>
        <w:t>Books and Records; Accounting Controls</w:t>
      </w:r>
      <w:r>
        <w:rPr>
          <w:rFonts w:ascii="Times New Roman" w:hAnsi="Times New Roman"/>
          <w:sz w:val="20"/>
        </w:rPr>
        <w:t>. The Partnership maintains a system of internal accounting controls sufficient to provide reasonable assurance that (i) transactions are executed in accordance with managements general or specific authorization; (ii)</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spacing w:before="180" w:after="0"/>
        <w:rPr>
          <w:rFonts w:ascii="Times New Roman" w:hAnsi="Times New Roman"/>
          <w:sz w:val="20"/>
        </w:rPr>
      </w:pPr>
      <w:r>
        <w:rPr>
          <w:rFonts w:ascii="Times New Roman" w:hAnsi="Times New Roman"/>
          <w:sz w:val="20"/>
        </w:rPr>
        <w:t xml:space="preserve">(mm) </w:t>
      </w:r>
      <w:r>
        <w:rPr>
          <w:rFonts w:ascii="Times New Roman" w:hAnsi="Times New Roman"/>
          <w:i/>
          <w:sz w:val="20"/>
        </w:rPr>
        <w:t>Sarbanes-Oxley Act</w:t>
      </w:r>
      <w:r>
        <w:rPr>
          <w:rFonts w:ascii="Times New Roman" w:hAnsi="Times New Roman"/>
          <w:sz w:val="20"/>
        </w:rPr>
        <w:t xml:space="preserve">. The Partnership and, to the knowledge of the Issuers, the directors and officers of GP LLC in their capacities as such, are in compliance in all material respects with all applicable and effective provisions of the Sarbanes-Oxley Act of 2002 and the rules and regulations promulgated thereunder. </w:t>
      </w:r>
    </w:p>
    <w:p>
      <w:pPr>
        <w:pStyle w:val="TextBody"/>
        <w:spacing w:before="180" w:after="0"/>
        <w:rPr>
          <w:rFonts w:ascii="Times New Roman" w:hAnsi="Times New Roman"/>
          <w:sz w:val="20"/>
        </w:rPr>
      </w:pPr>
      <w:r>
        <w:rPr>
          <w:rFonts w:ascii="Times New Roman" w:hAnsi="Times New Roman"/>
          <w:sz w:val="20"/>
        </w:rPr>
        <w:t xml:space="preserve">(nn) </w:t>
      </w:r>
      <w:r>
        <w:rPr>
          <w:rFonts w:ascii="Times New Roman" w:hAnsi="Times New Roman"/>
          <w:i/>
          <w:sz w:val="20"/>
        </w:rPr>
        <w:t>Disclosure Controls</w:t>
      </w:r>
      <w:r>
        <w:rPr>
          <w:rFonts w:ascii="Times New Roman" w:hAnsi="Times New Roman"/>
          <w:sz w:val="20"/>
        </w:rPr>
        <w:t xml:space="preserve">.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 </w:t>
      </w:r>
    </w:p>
    <w:p>
      <w:pPr>
        <w:pStyle w:val="TextBody"/>
        <w:spacing w:before="180" w:after="0"/>
        <w:rPr>
          <w:rFonts w:ascii="Times New Roman" w:hAnsi="Times New Roman"/>
          <w:sz w:val="20"/>
        </w:rPr>
      </w:pPr>
      <w:r>
        <w:rPr>
          <w:rFonts w:ascii="Times New Roman" w:hAnsi="Times New Roman"/>
          <w:sz w:val="20"/>
        </w:rPr>
        <w:t xml:space="preserve">(oo) </w:t>
      </w:r>
      <w:r>
        <w:rPr>
          <w:rFonts w:ascii="Times New Roman" w:hAnsi="Times New Roman"/>
          <w:i/>
          <w:sz w:val="20"/>
        </w:rPr>
        <w:t>No Deficiency in Internal Controls</w:t>
      </w:r>
      <w:r>
        <w:rPr>
          <w:rFonts w:ascii="Times New Roman" w:hAnsi="Times New Roman"/>
          <w:sz w:val="20"/>
        </w:rPr>
        <w:t xml:space="preserve">.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 </w:t>
      </w:r>
    </w:p>
    <w:p>
      <w:pPr>
        <w:pStyle w:val="TextBody"/>
        <w:spacing w:before="180" w:after="0"/>
        <w:rPr>
          <w:rFonts w:ascii="Times New Roman" w:hAnsi="Times New Roman"/>
          <w:sz w:val="20"/>
        </w:rPr>
      </w:pPr>
      <w:r>
        <w:rPr>
          <w:rFonts w:ascii="Times New Roman" w:hAnsi="Times New Roman"/>
          <w:sz w:val="20"/>
        </w:rPr>
        <w:t xml:space="preserve">(pp) </w:t>
      </w:r>
      <w:r>
        <w:rPr>
          <w:rFonts w:ascii="Times New Roman" w:hAnsi="Times New Roman"/>
          <w:i/>
          <w:sz w:val="20"/>
        </w:rPr>
        <w:t>FCPA</w:t>
      </w:r>
      <w:r>
        <w:rPr>
          <w:rFonts w:ascii="Times New Roman" w:hAnsi="Times New Roman"/>
          <w:sz w:val="20"/>
        </w:rPr>
        <w:t xml:space="preserve">. None of the Plains Entities or the GP Entities nor, to the knowledge of the Issuers, any director, officer, agent or 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 </w:t>
      </w:r>
    </w:p>
    <w:p>
      <w:pPr>
        <w:pStyle w:val="TextBody"/>
        <w:spacing w:before="180" w:after="0"/>
        <w:rPr>
          <w:rFonts w:ascii="Times New Roman" w:hAnsi="Times New Roman"/>
          <w:sz w:val="20"/>
        </w:rPr>
      </w:pPr>
      <w:r>
        <w:rPr>
          <w:rFonts w:ascii="Times New Roman" w:hAnsi="Times New Roman"/>
          <w:sz w:val="20"/>
        </w:rPr>
        <w:t xml:space="preserve">(qq) </w:t>
      </w:r>
      <w:r>
        <w:rPr>
          <w:rFonts w:ascii="Times New Roman" w:hAnsi="Times New Roman"/>
          <w:i/>
          <w:sz w:val="20"/>
        </w:rPr>
        <w:t>Money Laundering Laws</w:t>
      </w:r>
      <w:r>
        <w:rPr>
          <w:rFonts w:ascii="Times New Roman" w:hAnsi="Times New Roman"/>
          <w:sz w:val="20"/>
        </w:rPr>
        <w:t xml:space="preserve">. No action, suit or proceeding by or before any court or governmental agency, authority or body or any arbitrator involving the Plains Entities or the GP Entities that involve allegations of money laundering is pending or, to the knowledge of the Issuers, threatened. </w:t>
      </w:r>
    </w:p>
    <w:p>
      <w:pPr>
        <w:pStyle w:val="TextBody"/>
        <w:spacing w:before="180" w:after="0"/>
        <w:rPr>
          <w:rFonts w:ascii="Times New Roman" w:hAnsi="Times New Roman"/>
          <w:sz w:val="20"/>
        </w:rPr>
      </w:pPr>
      <w:r>
        <w:rPr>
          <w:rFonts w:ascii="Times New Roman" w:hAnsi="Times New Roman"/>
          <w:sz w:val="20"/>
        </w:rPr>
        <w:t xml:space="preserve">(rr) </w:t>
      </w:r>
      <w:r>
        <w:rPr>
          <w:rFonts w:ascii="Times New Roman" w:hAnsi="Times New Roman"/>
          <w:i/>
          <w:sz w:val="20"/>
        </w:rPr>
        <w:t>OFAC</w:t>
      </w:r>
      <w:r>
        <w:rPr>
          <w:rFonts w:ascii="Times New Roman" w:hAnsi="Times New Roman"/>
          <w:sz w:val="20"/>
        </w:rPr>
        <w:t xml:space="preserve">. None of the Plains Entities or the GP Entities nor, to the knowledge of the Issuers, any director, officer or employee of the Plains Entities or the GP Entities (in their capacity as director, officer or employee) has received notice that it is subject to any sanctions administered by the Office of Foreign Assets Control of the U.S. Treasury Department.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(ss) </w:t>
      </w:r>
      <w:r>
        <w:rPr>
          <w:rFonts w:ascii="Times New Roman" w:hAnsi="Times New Roman"/>
          <w:i/>
          <w:sz w:val="20"/>
        </w:rPr>
        <w:t>XBRL</w:t>
      </w:r>
      <w:r>
        <w:rPr>
          <w:rFonts w:ascii="Times New Roman" w:hAnsi="Times New Roman"/>
          <w:sz w:val="20"/>
        </w:rPr>
        <w:t xml:space="preserve">.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 </w:t>
      </w:r>
    </w:p>
    <w:p>
      <w:pPr>
        <w:pStyle w:val="TextBody"/>
        <w:spacing w:before="180" w:after="0"/>
        <w:rPr>
          <w:rFonts w:ascii="Times New Roman" w:hAnsi="Times New Roman"/>
          <w:sz w:val="20"/>
        </w:rPr>
      </w:pPr>
      <w:r>
        <w:rPr>
          <w:rFonts w:ascii="Times New Roman" w:hAnsi="Times New Roman"/>
          <w:sz w:val="20"/>
        </w:rPr>
        <w:t xml:space="preserve">The applicable statements made in the certificates described in Sections 7(j) and 7(n) shall be deemed representations and warranties by the Issuers, as to matters covered thereby, to the Underwriters.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Subject to the terms and conditions and in reliance upon the representations and warranties herein set forth, the Issuers agree to sell to each Underwriter, and each Underwriter agrees, severally and not jointly, to purchase from the Issuers the principal amount of 2022 Notes set forth opposite such Underwriters name on </w:t>
      </w:r>
      <w:r>
        <w:rPr>
          <w:rFonts w:ascii="Times New Roman" w:hAnsi="Times New Roman"/>
          <w:sz w:val="20"/>
          <w:u w:val="single"/>
        </w:rPr>
        <w:t>Schedule I</w:t>
      </w:r>
      <w:r>
        <w:rPr>
          <w:rFonts w:ascii="Times New Roman" w:hAnsi="Times New Roman"/>
          <w:sz w:val="20"/>
        </w:rPr>
        <w:t xml:space="preserve"> hereto at a purchase price of 99.173% of the principal amount thereof, plus accrued interest, if any, from the Delivery Date. </w:t>
      </w:r>
    </w:p>
    <w:p>
      <w:pPr>
        <w:pStyle w:val="TextBody"/>
        <w:spacing w:before="180" w:after="0"/>
        <w:rPr>
          <w:rFonts w:ascii="Times New Roman" w:hAnsi="Times New Roman"/>
          <w:sz w:val="20"/>
        </w:rPr>
      </w:pPr>
      <w:r>
        <w:rPr>
          <w:rFonts w:ascii="Times New Roman" w:hAnsi="Times New Roman"/>
          <w:sz w:val="20"/>
        </w:rPr>
        <w:t xml:space="preserve">(b) Subject to the terms and conditions and in reliance upon the representations and warranties herein set forth, the Issuers agree to sell to each Underwriter, and each Underwriter agrees, severally and not jointly, to purchase from the Issuers the principal amount of 2042 Notes set forth opposite such Underwriters name on </w:t>
      </w:r>
      <w:r>
        <w:rPr>
          <w:rFonts w:ascii="Times New Roman" w:hAnsi="Times New Roman"/>
          <w:sz w:val="20"/>
          <w:u w:val="single"/>
        </w:rPr>
        <w:t>Schedule I</w:t>
      </w:r>
      <w:r>
        <w:rPr>
          <w:rFonts w:ascii="Times New Roman" w:hAnsi="Times New Roman"/>
          <w:sz w:val="20"/>
        </w:rPr>
        <w:t xml:space="preserve"> hereto at a purchase price of 98.880% of the principal amount thereof, plus accrued interest, if any, from the Delivery Date.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Delivery and Payment</w:t>
      </w:r>
      <w:r>
        <w:rPr>
          <w:rFonts w:ascii="Times New Roman" w:hAnsi="Times New Roman"/>
          <w:sz w:val="20"/>
        </w:rPr>
        <w:t>. Delivery of and payment for the Notes shall be made at the office of Vinson &amp; Elkins L.L.P., 1001 Fannin, Houston, Texas 77002 at 9:00 a.m., Houston time, on March 22, 2012, or at such time on such later date not more than three business days after the foregoing date as the Representatives shall designate, which date and time may be postponed by agreement between the Representatives and the Issuers or as provided in Section 9 hereof (such date and time of delivery and payment for the Notes being herein called the </w:t>
      </w:r>
      <w:r>
        <w:rPr>
          <w:rFonts w:ascii="Times New Roman" w:hAnsi="Times New Roman"/>
          <w:b/>
          <w:sz w:val="20"/>
        </w:rPr>
        <w:t>Delivery Date</w:t>
      </w:r>
      <w:r>
        <w:rPr>
          <w:rFonts w:ascii="Times New Roman" w:hAnsi="Times New Roman"/>
          <w:sz w:val="20"/>
        </w:rPr>
        <w:t>). Payment for the Notes shall be made by wire transfer in immediately available funds to the account(s) specified by the Issuers to the Representatives against delivery to the nominee of The Depository Trust Company (</w:t>
      </w:r>
      <w:r>
        <w:rPr>
          <w:rFonts w:ascii="Times New Roman" w:hAnsi="Times New Roman"/>
          <w:b/>
          <w:sz w:val="20"/>
        </w:rPr>
        <w:t>DTC</w:t>
      </w:r>
      <w:r>
        <w:rPr>
          <w:rFonts w:ascii="Times New Roman" w:hAnsi="Times New Roman"/>
          <w:sz w:val="20"/>
        </w:rPr>
        <w:t>), for the account of the Underwriters, of one or more global notes representing the Notes (collectively, the </w:t>
      </w:r>
      <w:r>
        <w:rPr>
          <w:rFonts w:ascii="Times New Roman" w:hAnsi="Times New Roman"/>
          <w:b/>
          <w:sz w:val="20"/>
        </w:rPr>
        <w:t>Global Notes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Offering by the Underwriters</w:t>
      </w:r>
      <w:r>
        <w:rPr>
          <w:rFonts w:ascii="Times New Roman" w:hAnsi="Times New Roman"/>
          <w:sz w:val="20"/>
        </w:rPr>
        <w:t xml:space="preserve">. It is understood that the several Underwriters propose to offer the Notes for sale to the public as set forth in the Prospectus.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Agreements of the Issuers</w:t>
      </w:r>
      <w:r>
        <w:rPr>
          <w:rFonts w:ascii="Times New Roman" w:hAnsi="Times New Roman"/>
          <w:sz w:val="20"/>
        </w:rPr>
        <w:t xml:space="preserve">. Each of the Issuers, jointly and severally, acknowledges and agrees with the Underwriters that: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Post-Effective Amendments</w:t>
      </w:r>
      <w:r>
        <w:rPr>
          <w:rFonts w:ascii="Times New Roman" w:hAnsi="Times New Roman"/>
          <w:sz w:val="20"/>
        </w:rPr>
        <w:t xml:space="preserve">. If, at the Applicable Time, it is necessary for a post-effective amendment to the Registration 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i/>
          <w:sz w:val="20"/>
        </w:rPr>
        <w:t>Preparation of Prospectus and Registration Statement</w:t>
      </w:r>
      <w:r>
        <w:rPr>
          <w:rFonts w:ascii="Times New Roman" w:hAnsi="Times New Roman"/>
          <w:sz w:val="20"/>
        </w:rPr>
        <w:t xml:space="preserve">. The Issuers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i/>
          <w:sz w:val="20"/>
        </w:rPr>
        <w:t>Final Term Sheet and Issuer Free Writing Prospectuses</w:t>
      </w:r>
      <w:r>
        <w:rPr>
          <w:rFonts w:ascii="Times New Roman" w:hAnsi="Times New Roman"/>
          <w:sz w:val="20"/>
        </w:rPr>
        <w:t xml:space="preserve">. The Issuers agree to (i) prepare a final term sheet, containing a description of the final terms of the Notes and the offering thereof, in the form approved by the Representatives and attached as </w:t>
      </w:r>
      <w:r>
        <w:rPr>
          <w:rFonts w:ascii="Times New Roman" w:hAnsi="Times New Roman"/>
          <w:sz w:val="20"/>
          <w:u w:val="single"/>
        </w:rPr>
        <w:t>Schedule II</w:t>
      </w:r>
      <w:r>
        <w:rPr>
          <w:rFonts w:ascii="Times New Roman" w:hAnsi="Times New Roman"/>
          <w:sz w:val="20"/>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i/>
          <w:sz w:val="20"/>
        </w:rPr>
        <w:t>Copies of Registration Statement</w:t>
      </w:r>
      <w:r>
        <w:rPr>
          <w:rFonts w:ascii="Times New Roman" w:hAnsi="Times New Roman"/>
          <w:sz w:val="20"/>
        </w:rPr>
        <w:t>. The Issuers will furnish to the Underwriters, without charge, (i) one copy of the manually signed copy of the registration statement corresponding to the Commissions electronic data gathering, analysis and retrieval system (</w:t>
      </w:r>
      <w:r>
        <w:rPr>
          <w:rFonts w:ascii="Times New Roman" w:hAnsi="Times New Roman"/>
          <w:b/>
          <w:sz w:val="20"/>
        </w:rPr>
        <w:t>EDGAR</w:t>
      </w:r>
      <w:r>
        <w:rPr>
          <w:rFonts w:ascii="Times New Roman" w:hAnsi="Times New Roman"/>
          <w:sz w:val="20"/>
        </w:rPr>
        <w:t xml:space="preserve">)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i/>
          <w:sz w:val="20"/>
        </w:rPr>
        <w:t>Filing of Amendment or Supplement</w:t>
      </w:r>
      <w:r>
        <w:rPr>
          <w:rFonts w:ascii="Times New Roman" w:hAnsi="Times New Roman"/>
          <w:sz w:val="20"/>
        </w:rPr>
        <w:t xml:space="preserve">. For such period as in the opinion of counsel for the Underwriters a prospectus is required by the Securities Act to be delivered in connection with sales by any Underwriter or dealer, the Issuers will not file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i/>
          <w:sz w:val="20"/>
        </w:rPr>
        <w:t>Copies of Documents to the Underwriters</w:t>
      </w:r>
      <w:r>
        <w:rPr>
          <w:rFonts w:ascii="Times New Roman" w:hAnsi="Times New Roman"/>
          <w:sz w:val="20"/>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provided that a prospectus is required by the Securities Act to be delivered in connection with sales of Notes by any Underwriter or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paragraph (e)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w:t>
      </w:r>
      <w:r>
        <w:rPr>
          <w:rFonts w:ascii="Times New Roman" w:hAnsi="Times New Roman"/>
          <w:i/>
          <w:sz w:val="20"/>
        </w:rPr>
        <w:t>Blue Sky Laws</w:t>
      </w:r>
      <w:r>
        <w:rPr>
          <w:rFonts w:ascii="Times New Roman" w:hAnsi="Times New Roman"/>
          <w:sz w:val="20"/>
        </w:rPr>
        <w:t xml:space="preserve">. The Issuers will cooperate with the Representatives and with counsel for the Underwriters in connection 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 w:hAnsi="Times New Roman"/>
          <w:sz w:val="20"/>
          <w:u w:val="single"/>
        </w:rPr>
        <w:t>provided</w:t>
      </w:r>
      <w:r>
        <w:rPr>
          <w:rFonts w:ascii="Times New Roman" w:hAnsi="Times New Roman"/>
          <w:sz w:val="20"/>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 </w:t>
      </w:r>
    </w:p>
    <w:p>
      <w:pPr>
        <w:pStyle w:val="TextBody"/>
        <w:spacing w:before="180" w:after="0"/>
        <w:rPr>
          <w:rFonts w:ascii="Times New Roman" w:hAnsi="Times New Roman"/>
          <w:sz w:val="20"/>
        </w:rPr>
      </w:pPr>
      <w:r>
        <w:rPr>
          <w:rFonts w:ascii="Times New Roman" w:hAnsi="Times New Roman"/>
          <w:sz w:val="20"/>
        </w:rPr>
        <w:t xml:space="preserve">(h) </w:t>
      </w:r>
      <w:r>
        <w:rPr>
          <w:rFonts w:ascii="Times New Roman" w:hAnsi="Times New Roman"/>
          <w:i/>
          <w:sz w:val="20"/>
        </w:rPr>
        <w:t>Reports to Security Holders</w:t>
      </w:r>
      <w:r>
        <w:rPr>
          <w:rFonts w:ascii="Times New Roman" w:hAnsi="Times New Roman"/>
          <w:sz w:val="20"/>
        </w:rPr>
        <w:t xml:space="preserve">. In accordance with Section 11(a) of the Securities Act and Rule 158 of the Rules and Regulations, 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 </w:t>
      </w:r>
    </w:p>
    <w:p>
      <w:pPr>
        <w:pStyle w:val="TextBody"/>
        <w:spacing w:before="180" w:after="0"/>
        <w:rPr>
          <w:rFonts w:ascii="Times New Roman" w:hAnsi="Times New Roman"/>
          <w:sz w:val="20"/>
        </w:rPr>
      </w:pPr>
      <w:r>
        <w:rPr>
          <w:rFonts w:ascii="Times New Roman" w:hAnsi="Times New Roman"/>
          <w:sz w:val="20"/>
        </w:rPr>
        <w:t xml:space="preserve">(i) </w:t>
      </w:r>
      <w:r>
        <w:rPr>
          <w:rFonts w:ascii="Times New Roman" w:hAnsi="Times New Roman"/>
          <w:i/>
          <w:sz w:val="20"/>
        </w:rPr>
        <w:t>Copies of Reports</w:t>
      </w:r>
      <w:r>
        <w:rPr>
          <w:rFonts w:ascii="Times New Roman" w:hAnsi="Times New Roman"/>
          <w:sz w:val="20"/>
        </w:rPr>
        <w:t xml:space="preserve">. Unless otherwise available on EDGAR, during the period of two years hereafter, the Issuers will furnish or 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 </w:t>
      </w:r>
    </w:p>
    <w:p>
      <w:pPr>
        <w:pStyle w:val="TextBody"/>
        <w:spacing w:before="180" w:after="0"/>
        <w:rPr>
          <w:rFonts w:ascii="Times New Roman" w:hAnsi="Times New Roman"/>
          <w:sz w:val="20"/>
        </w:rPr>
      </w:pPr>
      <w:r>
        <w:rPr>
          <w:rFonts w:ascii="Times New Roman" w:hAnsi="Times New Roman"/>
          <w:sz w:val="20"/>
        </w:rPr>
        <w:t xml:space="preserve">(j) </w:t>
      </w:r>
      <w:r>
        <w:rPr>
          <w:rFonts w:ascii="Times New Roman" w:hAnsi="Times New Roman"/>
          <w:i/>
          <w:sz w:val="20"/>
        </w:rPr>
        <w:t>Termination Expenses</w:t>
      </w:r>
      <w:r>
        <w:rPr>
          <w:rFonts w:ascii="Times New Roman" w:hAnsi="Times New Roman"/>
          <w:sz w:val="20"/>
        </w:rPr>
        <w:t xml:space="preserve">. If this Agreement shall terminate or shall be terminated after execution pursuant to any provisions hereof (otherwise than pursuant to Section 9 hereof or Section 10 hereof (except pursuant to the first clause of Section 10(i)))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out-of-pocket expenses (including reasonable fees and expenses of counsel for the Underwriters) incurred by the Underwriters in connection herewith. </w:t>
      </w:r>
    </w:p>
    <w:p>
      <w:pPr>
        <w:pStyle w:val="TextBody"/>
        <w:spacing w:before="180" w:after="0"/>
        <w:rPr>
          <w:rFonts w:ascii="Times New Roman" w:hAnsi="Times New Roman"/>
          <w:sz w:val="20"/>
        </w:rPr>
      </w:pPr>
      <w:r>
        <w:rPr>
          <w:rFonts w:ascii="Times New Roman" w:hAnsi="Times New Roman"/>
          <w:sz w:val="20"/>
        </w:rPr>
        <w:t xml:space="preserve">(k) </w:t>
      </w:r>
      <w:r>
        <w:rPr>
          <w:rFonts w:ascii="Times New Roman" w:hAnsi="Times New Roman"/>
          <w:i/>
          <w:sz w:val="20"/>
        </w:rPr>
        <w:t>Application of Proceeds</w:t>
      </w:r>
      <w:r>
        <w:rPr>
          <w:rFonts w:ascii="Times New Roman" w:hAnsi="Times New Roman"/>
          <w:sz w:val="20"/>
        </w:rPr>
        <w:t xml:space="preserve">. The Issuers will apply the net proceeds from the sale of the Notes in accordance with the description set forth under the caption Use of Proceeds in the Pricing Disclosure Package and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(l) </w:t>
      </w:r>
      <w:r>
        <w:rPr>
          <w:rFonts w:ascii="Times New Roman" w:hAnsi="Times New Roman"/>
          <w:i/>
          <w:sz w:val="20"/>
        </w:rPr>
        <w:t>Filing of Prospectus</w:t>
      </w:r>
      <w:r>
        <w:rPr>
          <w:rFonts w:ascii="Times New Roman" w:hAnsi="Times New Roman"/>
          <w:sz w:val="20"/>
        </w:rPr>
        <w:t xml:space="preserve">. The Issuers will timely file the Prospectus, and any amendment or supplement thereto, pursuant to Rule 424(b) of the Rules and Regulations and will advise the Underwriters of the time and manner of such filing. </w:t>
      </w:r>
    </w:p>
    <w:p>
      <w:pPr>
        <w:pStyle w:val="TextBody"/>
        <w:spacing w:before="180" w:after="0"/>
        <w:rPr>
          <w:rFonts w:ascii="Times New Roman" w:hAnsi="Times New Roman"/>
          <w:sz w:val="20"/>
        </w:rPr>
      </w:pPr>
      <w:r>
        <w:rPr>
          <w:rFonts w:ascii="Times New Roman" w:hAnsi="Times New Roman"/>
          <w:sz w:val="20"/>
        </w:rPr>
        <w:t xml:space="preserve">(m) </w:t>
      </w:r>
      <w:r>
        <w:rPr>
          <w:rFonts w:ascii="Times New Roman" w:hAnsi="Times New Roman"/>
          <w:i/>
          <w:sz w:val="20"/>
        </w:rPr>
        <w:t>Stabilization</w:t>
      </w:r>
      <w:r>
        <w:rPr>
          <w:rFonts w:ascii="Times New Roman" w:hAnsi="Times New Roman"/>
          <w:sz w:val="20"/>
        </w:rPr>
        <w:t xml:space="preserve">. Except as stated in this Agreement and the Prospectus, neither of the Issuers has taken, or will take, directly or indirectly, any action designed to or that might reasonably be expected to cause or result in stabilization or manipulation of the price of any security of the Issuers to facilitate the sale or resale of the Notes. </w:t>
      </w:r>
    </w:p>
    <w:p>
      <w:pPr>
        <w:pStyle w:val="TextBody"/>
        <w:spacing w:before="180" w:after="0"/>
        <w:rPr>
          <w:rFonts w:ascii="Times New Roman" w:hAnsi="Times New Roman"/>
          <w:sz w:val="20"/>
        </w:rPr>
      </w:pPr>
      <w:r>
        <w:rPr>
          <w:rFonts w:ascii="Times New Roman" w:hAnsi="Times New Roman"/>
          <w:sz w:val="20"/>
        </w:rPr>
        <w:t xml:space="preserve">(n) </w:t>
      </w:r>
      <w:r>
        <w:rPr>
          <w:rFonts w:ascii="Times New Roman" w:hAnsi="Times New Roman"/>
          <w:i/>
          <w:sz w:val="20"/>
        </w:rPr>
        <w:t>Investment Company</w:t>
      </w:r>
      <w:r>
        <w:rPr>
          <w:rFonts w:ascii="Times New Roman" w:hAnsi="Times New Roman"/>
          <w:sz w:val="20"/>
        </w:rPr>
        <w:t xml:space="preserve">. The Issuers will take such steps as shall be necessary to ensure that none of the Plains Entities or the GP Entities shall become an investment company within the meaning of such term under the Investment Company Act and the rules and regulations of the Commission thereunder. </w:t>
      </w:r>
    </w:p>
    <w:p>
      <w:pPr>
        <w:pStyle w:val="TextBody"/>
        <w:spacing w:before="180" w:after="0"/>
        <w:rPr>
          <w:rFonts w:ascii="Times New Roman" w:hAnsi="Times New Roman"/>
          <w:sz w:val="20"/>
        </w:rPr>
      </w:pPr>
      <w:r>
        <w:rPr>
          <w:rFonts w:ascii="Times New Roman" w:hAnsi="Times New Roman"/>
          <w:sz w:val="20"/>
        </w:rPr>
        <w:t xml:space="preserve">(o) </w:t>
      </w:r>
      <w:r>
        <w:rPr>
          <w:rFonts w:ascii="Times New Roman" w:hAnsi="Times New Roman"/>
          <w:i/>
          <w:sz w:val="20"/>
        </w:rPr>
        <w:t>Exchange Act Reports</w:t>
      </w:r>
      <w:r>
        <w:rPr>
          <w:rFonts w:ascii="Times New Roman" w:hAnsi="Times New Roman"/>
          <w:sz w:val="20"/>
        </w:rPr>
        <w:t xml:space="preserve">. The Issuers, during the period when the Prospectus is required to be delivered under the Securities Act, will file all documents required to be filed with the Commission pursuant to the Exchange Act within the time periods required by the Exchange Act. </w:t>
      </w:r>
    </w:p>
    <w:p>
      <w:pPr>
        <w:pStyle w:val="TextBody"/>
        <w:spacing w:before="180" w:after="0"/>
        <w:rPr>
          <w:rFonts w:ascii="Times New Roman" w:hAnsi="Times New Roman"/>
          <w:sz w:val="20"/>
        </w:rPr>
      </w:pPr>
      <w:r>
        <w:rPr>
          <w:rFonts w:ascii="Times New Roman" w:hAnsi="Times New Roman"/>
          <w:sz w:val="20"/>
        </w:rPr>
        <w:t xml:space="preserve">(p) </w:t>
      </w:r>
      <w:r>
        <w:rPr>
          <w:rFonts w:ascii="Times New Roman" w:hAnsi="Times New Roman"/>
          <w:i/>
          <w:sz w:val="20"/>
        </w:rPr>
        <w:t>Free Writing Prospectuses</w:t>
      </w:r>
      <w:r>
        <w:rPr>
          <w:rFonts w:ascii="Times New Roman" w:hAnsi="Times New Roman"/>
          <w:sz w:val="20"/>
        </w:rPr>
        <w:t xml:space="preserve">. The Issuers have complied and will comply with the requirements of Rule 433 of the Rules and Regulations applicable to any Issuer Free Writing Prospectus, including appropriate legending and timely filing with the Commission or retention where required. The Issuers represent that they have satisfied and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Section 12. </w:t>
      </w:r>
    </w:p>
    <w:p>
      <w:pPr>
        <w:pStyle w:val="TextBody"/>
        <w:spacing w:before="180" w:after="0"/>
        <w:rPr>
          <w:rFonts w:ascii="Times New Roman" w:hAnsi="Times New Roman"/>
          <w:sz w:val="20"/>
        </w:rPr>
      </w:pPr>
      <w:r>
        <w:rPr>
          <w:rFonts w:ascii="Times New Roman" w:hAnsi="Times New Roman"/>
          <w:sz w:val="20"/>
        </w:rPr>
        <w:t xml:space="preserve">(q) </w:t>
      </w:r>
      <w:r>
        <w:rPr>
          <w:rFonts w:ascii="Times New Roman" w:hAnsi="Times New Roman"/>
          <w:i/>
          <w:sz w:val="20"/>
        </w:rPr>
        <w:t>Clear Market</w:t>
      </w:r>
      <w:r>
        <w:rPr>
          <w:rFonts w:ascii="Times New Roman" w:hAnsi="Times New Roman"/>
          <w:sz w:val="20"/>
        </w:rPr>
        <w:t xml:space="preserve">. During the period from the date hereof through and including the business day following the Delivery Date, the Issuers will not, without the prior written consent of the Representatives, offer, sell, contract to sell or otherwise dispose of any debt securities issued or guaranteed by the Issuers and having a tenor of more than one year.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Indemnification and Contribution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(a) Each of the Issuers, jointly and severally, agrees to indemnify and hold harmless each Underwriter, the directors, officers, employees and agents of each Underwriter, each affiliate of any Underwriter who has participated in the distribution of the Notes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 w:hAnsi="Times New Roman"/>
          <w:b/>
          <w:sz w:val="20"/>
        </w:rPr>
        <w:t>Non-Prospectus Road Show</w:t>
      </w:r>
      <w:r>
        <w:rPr>
          <w:rFonts w:ascii="Times New Roman" w:hAnsi="Times New Roman"/>
          <w:sz w:val="20"/>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Section 12. The foregoing indemnity agreement is in addition to any liability that the Issuers may otherwise have to any Underwriter or to any director, officer, employee or controlling person of that Underwriter. </w:t>
      </w:r>
    </w:p>
    <w:p>
      <w:pPr>
        <w:pStyle w:val="TextBody"/>
        <w:spacing w:before="180" w:after="0"/>
        <w:rPr>
          <w:rFonts w:ascii="Times New Roman" w:hAnsi="Times New Roman"/>
          <w:sz w:val="20"/>
        </w:rPr>
      </w:pPr>
      <w:r>
        <w:rPr>
          <w:rFonts w:ascii="Times New Roman" w:hAnsi="Times New Roman"/>
          <w:sz w:val="20"/>
        </w:rPr>
        <w:t xml:space="preserve">(b) 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 </w:t>
      </w:r>
    </w:p>
    <w:p>
      <w:pPr>
        <w:pStyle w:val="TextBody"/>
        <w:spacing w:before="180" w:after="0"/>
        <w:rPr>
          <w:rFonts w:ascii="Times New Roman" w:hAnsi="Times New Roman"/>
          <w:sz w:val="20"/>
        </w:rPr>
      </w:pPr>
      <w:r>
        <w:rPr>
          <w:rFonts w:ascii="Times New Roman" w:hAnsi="Times New Roman"/>
          <w:sz w:val="20"/>
        </w:rPr>
        <w:t xml:space="preserve">(c) Each Underwriter agrees, severally and not jointly, to indemnify and hold harmless the Issuers, GP LLCs directors and the officers who sign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Section 12.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(c), such Underwriter shall have the rights and duties given to the Issuers by paragraph (b)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paragraph (b) above. The foregoing indemnity agreement shall be in addition to any liability that the Underwriters may otherwise have. </w:t>
      </w:r>
    </w:p>
    <w:p>
      <w:pPr>
        <w:pStyle w:val="TextBody"/>
        <w:spacing w:before="180" w:after="0"/>
        <w:rPr>
          <w:rFonts w:ascii="Times New Roman" w:hAnsi="Times New Roman"/>
          <w:sz w:val="20"/>
        </w:rPr>
      </w:pPr>
      <w:r>
        <w:rPr>
          <w:rFonts w:ascii="Times New Roman" w:hAnsi="Times New Roman"/>
          <w:sz w:val="20"/>
        </w:rPr>
        <w:t xml:space="preserve">(d) 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clause (i) above is not permitted by applicable law, in such proportion as is appropriate to reflect not only the relative benefits referred to in clause (i) 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 </w:t>
      </w:r>
    </w:p>
    <w:p>
      <w:pPr>
        <w:pStyle w:val="TextBody"/>
        <w:spacing w:before="180" w:after="0"/>
        <w:rPr>
          <w:rFonts w:ascii="Times New Roman" w:hAnsi="Times New Roman"/>
          <w:sz w:val="20"/>
        </w:rPr>
      </w:pPr>
      <w:r>
        <w:rPr>
          <w:rFonts w:ascii="Times New Roman" w:hAnsi="Times New Roman"/>
          <w:sz w:val="20"/>
        </w:rPr>
        <w:t xml:space="preserve">(e) The Issuers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and not joint. </w:t>
      </w:r>
    </w:p>
    <w:p>
      <w:pPr>
        <w:pStyle w:val="TextBody"/>
        <w:spacing w:before="180" w:after="0"/>
        <w:rPr>
          <w:rFonts w:ascii="Times New Roman" w:hAnsi="Times New Roman"/>
          <w:sz w:val="20"/>
        </w:rPr>
      </w:pPr>
      <w:r>
        <w:rPr>
          <w:rFonts w:ascii="Times New Roman" w:hAnsi="Times New Roman"/>
          <w:sz w:val="20"/>
        </w:rPr>
        <w:t xml:space="preserve">(f)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spacing w:before="180" w:after="0"/>
        <w:rPr>
          <w:rFonts w:ascii="Times New Roman" w:hAnsi="Times New Roman"/>
          <w:sz w:val="20"/>
        </w:rPr>
      </w:pPr>
      <w:r>
        <w:rPr>
          <w:rFonts w:ascii="Times New Roman" w:hAnsi="Times New Roman"/>
          <w:sz w:val="20"/>
        </w:rPr>
        <w:t xml:space="preserve">(g) 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The indemnity and contribution agreements contained in this Section 6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or any of their respective directors or officers or any person controlling an Issuer shall be entitled to the benefits of the indemnity, contribution and reimbursement agreements contained in this Section 6.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Conditions to the Obligations of the Underwriters</w:t>
      </w:r>
      <w:r>
        <w:rPr>
          <w:rFonts w:ascii="Times New Roman" w:hAnsi="Times New Roman"/>
          <w:sz w:val="20"/>
        </w:rPr>
        <w:t xml:space="preserve">. The several obligations of the Underwriters to purchase the Notes are subject to the following conditions: </w:t>
      </w:r>
    </w:p>
    <w:p>
      <w:pPr>
        <w:pStyle w:val="TextBody"/>
        <w:spacing w:before="90" w:after="0"/>
        <w:rPr>
          <w:rFonts w:ascii="Times New Roman" w:hAnsi="Times New Roman"/>
          <w:sz w:val="20"/>
        </w:rPr>
      </w:pPr>
      <w:r>
        <w:rPr>
          <w:rFonts w:ascii="Times New Roman" w:hAnsi="Times New Roman"/>
          <w:sz w:val="20"/>
        </w:rPr>
        <w:t xml:space="preserve">(a) 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 </w:t>
      </w:r>
    </w:p>
    <w:p>
      <w:pPr>
        <w:pStyle w:val="TextBody"/>
        <w:spacing w:before="180" w:after="0"/>
        <w:rPr>
          <w:rFonts w:ascii="Times New Roman" w:hAnsi="Times New Roman"/>
          <w:sz w:val="20"/>
        </w:rPr>
      </w:pPr>
      <w:r>
        <w:rPr>
          <w:rFonts w:ascii="Times New Roman" w:hAnsi="Times New Roman"/>
          <w:sz w:val="20"/>
        </w:rPr>
        <w:t xml:space="preserve">(b)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 </w:t>
      </w:r>
    </w:p>
    <w:p>
      <w:pPr>
        <w:pStyle w:val="TextBody"/>
        <w:spacing w:before="180" w:after="0"/>
        <w:rPr>
          <w:rFonts w:ascii="Times New Roman" w:hAnsi="Times New Roman"/>
          <w:sz w:val="20"/>
        </w:rPr>
      </w:pPr>
      <w:r>
        <w:rPr>
          <w:rFonts w:ascii="Times New Roman" w:hAnsi="Times New Roman"/>
          <w:sz w:val="20"/>
        </w:rPr>
        <w:t xml:space="preserve">(c) The Representatives shall have received an opinion of Vinson &amp; Elkins L.L.P., counsel for the Issuers, dated the Delivery Date and addressed to the Underwriters, to the effect that: </w:t>
      </w:r>
    </w:p>
    <w:p>
      <w:pPr>
        <w:pStyle w:val="TextBody"/>
        <w:spacing w:before="90" w:after="0"/>
        <w:rPr>
          <w:rFonts w:ascii="Times New Roman" w:hAnsi="Times New Roman"/>
          <w:sz w:val="20"/>
        </w:rPr>
      </w:pPr>
      <w:r>
        <w:rPr>
          <w:rFonts w:ascii="Times New Roman" w:hAnsi="Times New Roman"/>
          <w:sz w:val="20"/>
        </w:rPr>
        <w:t xml:space="preserve">(i) Each of the Issuers, the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 </w:t>
      </w:r>
    </w:p>
    <w:p>
      <w:pPr>
        <w:pStyle w:val="TextBody"/>
        <w:spacing w:before="90" w:after="0"/>
        <w:rPr>
          <w:rFonts w:ascii="Times New Roman" w:hAnsi="Times New Roman"/>
          <w:sz w:val="20"/>
        </w:rPr>
      </w:pPr>
      <w:r>
        <w:rPr>
          <w:rFonts w:ascii="Times New Roman" w:hAnsi="Times New Roman"/>
          <w:sz w:val="20"/>
        </w:rPr>
        <w:t xml:space="preserve">(ii) 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 </w:t>
      </w:r>
    </w:p>
    <w:p>
      <w:pPr>
        <w:pStyle w:val="TextBody"/>
        <w:spacing w:before="90" w:after="0"/>
        <w:rPr>
          <w:rFonts w:ascii="Times New Roman" w:hAnsi="Times New Roman"/>
          <w:sz w:val="20"/>
        </w:rPr>
      </w:pPr>
      <w:r>
        <w:rPr>
          <w:rFonts w:ascii="Times New Roman" w:hAnsi="Times New Roman"/>
          <w:sz w:val="20"/>
        </w:rPr>
        <w:t xml:space="preserve">(iii)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 </w:t>
      </w:r>
    </w:p>
    <w:p>
      <w:pPr>
        <w:pStyle w:val="TextBody"/>
        <w:spacing w:before="90" w:after="0"/>
        <w:rPr>
          <w:rFonts w:ascii="Times New Roman" w:hAnsi="Times New Roman"/>
          <w:sz w:val="20"/>
        </w:rPr>
      </w:pPr>
      <w:r>
        <w:rPr>
          <w:rFonts w:ascii="Times New Roman" w:hAnsi="Times New Roman"/>
          <w:sz w:val="20"/>
        </w:rPr>
        <w:t xml:space="preserve">(iv) 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liability company statute, as applicable) and (b) except for the portion of the limited partnership interest in PNG held by public investors,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 </w:t>
      </w:r>
    </w:p>
    <w:p>
      <w:pPr>
        <w:pStyle w:val="TextBody"/>
        <w:spacing w:before="90" w:after="0"/>
        <w:rPr>
          <w:rFonts w:ascii="Times New Roman" w:hAnsi="Times New Roman"/>
          <w:sz w:val="20"/>
        </w:rPr>
      </w:pPr>
      <w:r>
        <w:rPr>
          <w:rFonts w:ascii="Times New Roman" w:hAnsi="Times New Roman"/>
          <w:sz w:val="20"/>
        </w:rPr>
        <w:t xml:space="preserve">(v) 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w:t>
      </w:r>
    </w:p>
    <w:p>
      <w:pPr>
        <w:pStyle w:val="TextBody"/>
        <w:spacing w:before="90" w:after="0"/>
        <w:rPr>
          <w:rFonts w:ascii="Times New Roman" w:hAnsi="Times New Roman"/>
          <w:sz w:val="20"/>
        </w:rPr>
      </w:pPr>
      <w:r>
        <w:rPr>
          <w:rFonts w:ascii="Times New Roman" w:hAnsi="Times New Roman"/>
          <w:sz w:val="20"/>
        </w:rPr>
        <w:t xml:space="preserve">(vi) Each of the Issuers has the requisite power and authority to issue, sell and deliver the Notes, in accordance with and upon the terms and conditions set forth in this Agreement, its respective Organizational Documents, the Indenture, the Registration Statement, the Pricing Disclosure Package and the Prospectus. </w:t>
      </w:r>
    </w:p>
    <w:p>
      <w:pPr>
        <w:pStyle w:val="TextBody"/>
        <w:spacing w:before="90" w:after="0"/>
        <w:rPr>
          <w:rFonts w:ascii="Times New Roman" w:hAnsi="Times New Roman"/>
          <w:sz w:val="20"/>
        </w:rPr>
      </w:pPr>
      <w:r>
        <w:rPr>
          <w:rFonts w:ascii="Times New Roman" w:hAnsi="Times New Roman"/>
          <w:sz w:val="20"/>
        </w:rPr>
        <w:t xml:space="preserve">(vii) To such counsels knowledge, neither the filing of the Registration Statement nor the offering or sale of the Notes as contemplated by this Agreement gives rise to any rights for or relating to the registration of any Notes or other securities of the Issuers, except such rights as have been waived or satisfied. </w:t>
      </w:r>
    </w:p>
    <w:p>
      <w:pPr>
        <w:pStyle w:val="TextBody"/>
        <w:spacing w:before="90" w:after="0"/>
        <w:rPr>
          <w:rFonts w:ascii="Times New Roman" w:hAnsi="Times New Roman"/>
          <w:sz w:val="20"/>
        </w:rPr>
      </w:pPr>
      <w:r>
        <w:rPr>
          <w:rFonts w:ascii="Times New Roman" w:hAnsi="Times New Roman"/>
          <w:sz w:val="20"/>
        </w:rPr>
        <w:t xml:space="preserve">(viii) The Indenture has been duly qualified under the Trust Indenture Act. </w:t>
      </w:r>
    </w:p>
    <w:p>
      <w:pPr>
        <w:pStyle w:val="TextBody"/>
        <w:spacing w:before="90" w:after="0"/>
        <w:rPr>
          <w:rFonts w:ascii="Times New Roman" w:hAnsi="Times New Roman"/>
          <w:sz w:val="20"/>
        </w:rPr>
      </w:pPr>
      <w:r>
        <w:rPr>
          <w:rFonts w:ascii="Times New Roman" w:hAnsi="Times New Roman"/>
          <w:sz w:val="20"/>
        </w:rPr>
        <w:t xml:space="preserve">(ix) This Agreement has been duly authorized, executed and delivered by each of the Issuers.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(x) The Base Indenture and each of the Supplemental Indentures thereto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Times New Roman" w:hAnsi="Times New Roman"/>
          <w:sz w:val="20"/>
          <w:u w:val="single"/>
        </w:rPr>
        <w:t>provided</w:t>
      </w:r>
      <w:r>
        <w:rPr>
          <w:rFonts w:ascii="Times New Roman" w:hAnsi="Times New Roman"/>
          <w:sz w:val="20"/>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90" w:after="0"/>
        <w:rPr>
          <w:rFonts w:ascii="Times New Roman" w:hAnsi="Times New Roman"/>
          <w:sz w:val="20"/>
        </w:rPr>
      </w:pPr>
      <w:r>
        <w:rPr>
          <w:rFonts w:ascii="Times New Roman" w:hAnsi="Times New Roman"/>
          <w:sz w:val="20"/>
        </w:rPr>
        <w:t xml:space="preserve">(xi) The global certificates representing the Notes are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Times New Roman" w:hAnsi="Times New Roman"/>
          <w:sz w:val="20"/>
          <w:u w:val="single"/>
        </w:rPr>
        <w:t>provided</w:t>
      </w:r>
      <w:r>
        <w:rPr>
          <w:rFonts w:ascii="Times New Roman" w:hAnsi="Times New Roman"/>
          <w:sz w:val="20"/>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90" w:after="0"/>
        <w:rPr>
          <w:rFonts w:ascii="Times New Roman" w:hAnsi="Times New Roman"/>
          <w:sz w:val="20"/>
        </w:rPr>
      </w:pPr>
      <w:r>
        <w:rPr>
          <w:rFonts w:ascii="Times New Roman" w:hAnsi="Times New Roman"/>
          <w:sz w:val="20"/>
        </w:rPr>
        <w:t xml:space="preserve">(xii) At or before the Delivery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90" w:after="0"/>
        <w:rPr>
          <w:rFonts w:ascii="Times New Roman" w:hAnsi="Times New Roman"/>
          <w:sz w:val="20"/>
        </w:rPr>
      </w:pPr>
      <w:r>
        <w:rPr>
          <w:rFonts w:ascii="Times New Roman" w:hAnsi="Times New Roman"/>
          <w:sz w:val="20"/>
        </w:rPr>
        <w:t xml:space="preserve">(xiii) None of (A) the offering, issuance and sale by the Issuers of the Notes, (B) the execution, delivery and performance of this Agreement by the Issuers, (C) the consummation of the transactions contemplated by this Agreement, (D) the execution and delivery of the Base Indenture and the Supplemental Indentures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(i) the Hedged Inventory Facility, (ii) the Credit Agreement dated as of August 19, 2011 among the Partnership, certain subsidiaries of the Partnership from time to time party thereto and Bank of America, N.A., as administrative agent, and the other lenders party thereto (the </w:t>
      </w:r>
      <w:r>
        <w:rPr>
          <w:rFonts w:ascii="Times New Roman" w:hAnsi="Times New Roman"/>
          <w:b/>
          <w:sz w:val="20"/>
        </w:rPr>
        <w:t>PAA Facility</w:t>
      </w:r>
      <w:r>
        <w:rPr>
          <w:rFonts w:ascii="Times New Roman" w:hAnsi="Times New Roman"/>
          <w:sz w:val="20"/>
        </w:rPr>
        <w:t>), (iii) the Credit Agreement dated January 3, 2008 (as amended, the </w:t>
      </w:r>
      <w:r>
        <w:rPr>
          <w:rFonts w:ascii="Times New Roman" w:hAnsi="Times New Roman"/>
          <w:b/>
          <w:sz w:val="20"/>
        </w:rPr>
        <w:t>Plains AAP Facility</w:t>
      </w:r>
      <w:r>
        <w:rPr>
          <w:rFonts w:ascii="Times New Roman" w:hAnsi="Times New Roman"/>
          <w:sz w:val="20"/>
        </w:rPr>
        <w:t>), by and among Plains AAP, the lenders party thereto and Citibank, N.A., as administrative agent, (iv) the PNG Facility and (v) the 364-Day Credit Agreement dated December 9, 2011 by and among the Partnership, the lenders party thereto and DNB Bank ASA, as administrative agent (the </w:t>
      </w:r>
      <w:r>
        <w:rPr>
          <w:rFonts w:ascii="Times New Roman" w:hAnsi="Times New Roman"/>
          <w:b/>
          <w:sz w:val="20"/>
        </w:rPr>
        <w:t>364-Day Credit Agreement</w:t>
      </w:r>
      <w:r>
        <w:rPr>
          <w:rFonts w:ascii="Times New Roman" w:hAnsi="Times New Roman"/>
          <w:sz w:val="20"/>
        </w:rPr>
        <w:t>)), (3) results or will result in any violation of the Delaware LP Act, the Delaware LLC Act, the Delaware General Corporation Law (the </w:t>
      </w:r>
      <w:r>
        <w:rPr>
          <w:rFonts w:ascii="Times New Roman" w:hAnsi="Times New Roman"/>
          <w:b/>
          <w:sz w:val="20"/>
        </w:rPr>
        <w:t>DGCL</w:t>
      </w:r>
      <w:r>
        <w:rPr>
          <w:rFonts w:ascii="Times New Roman" w:hAnsi="Times New Roman"/>
          <w:sz w:val="20"/>
        </w:rPr>
        <w:t xml:space="preserve">), the laws of the State of Texas or federal law, or (4) results or will result in the creation or imposition of any Lien upon any property or assets of either of the Issuers, the Domestic Subsidiaries or the GP Entities which conflicts, breaches, violations or defaults in the case of clauses (2), (3) or (4) would reasonably be expected to have a Material Adverse Effect or materially impair the ability of the Issuers to consummate the transactions contemplated by this Agreement, it being understood that such counsel need not express an opinion in clause (3) of this paragraph (xiii) with respect to any securities or other anti-fraud law. </w:t>
      </w:r>
    </w:p>
    <w:p>
      <w:pPr>
        <w:pStyle w:val="TextBody"/>
        <w:spacing w:before="90" w:after="0"/>
        <w:rPr>
          <w:rFonts w:ascii="Times New Roman" w:hAnsi="Times New Roman"/>
          <w:sz w:val="20"/>
        </w:rPr>
      </w:pPr>
      <w:r>
        <w:rPr>
          <w:rFonts w:ascii="Times New Roman" w:hAnsi="Times New Roman"/>
          <w:sz w:val="20"/>
        </w:rPr>
        <w:t xml:space="preserve">(xiv) No consent, approval, authorization, filing with or order of any federal, Delaware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Base Indenture and the Supplemental Indentures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and (3) such other that have been obtained or taken and are in full force and effect. </w:t>
      </w:r>
    </w:p>
    <w:p>
      <w:pPr>
        <w:pStyle w:val="TextBody"/>
        <w:spacing w:before="90" w:after="0"/>
        <w:rPr>
          <w:rFonts w:ascii="Times New Roman" w:hAnsi="Times New Roman"/>
          <w:sz w:val="20"/>
        </w:rPr>
      </w:pPr>
      <w:r>
        <w:rPr>
          <w:rFonts w:ascii="Times New Roman" w:hAnsi="Times New Roman"/>
          <w:sz w:val="20"/>
        </w:rPr>
        <w:t xml:space="preserve">(xv) The statements in the Registration Statement, the Pricing Disclosure Package and the Prospectus under the caption Material Income and Estate Tax Consequences in relation to the Notes in each of the Pricing Disclosure Package and the Prospectus, insofar as such statements purport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summarize certain provisions of documents and legal matters referred to therein, fairly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 </w:t>
      </w:r>
    </w:p>
    <w:p>
      <w:pPr>
        <w:pStyle w:val="TextBody"/>
        <w:spacing w:before="90" w:after="0"/>
        <w:rPr>
          <w:rFonts w:ascii="Times New Roman" w:hAnsi="Times New Roman"/>
          <w:sz w:val="20"/>
        </w:rPr>
      </w:pPr>
      <w:r>
        <w:rPr>
          <w:rFonts w:ascii="Times New Roman" w:hAnsi="Times New Roman"/>
          <w:sz w:val="20"/>
        </w:rPr>
        <w:t xml:space="preserve">(xvi) The Registration Statement became effective under the Securities Act upon its filing on October 14, 2009;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 </w:t>
      </w:r>
    </w:p>
    <w:p>
      <w:pPr>
        <w:pStyle w:val="TextBody"/>
        <w:spacing w:before="90" w:after="0"/>
        <w:rPr>
          <w:rFonts w:ascii="Times New Roman" w:hAnsi="Times New Roman"/>
          <w:sz w:val="20"/>
        </w:rPr>
      </w:pPr>
      <w:r>
        <w:rPr>
          <w:rFonts w:ascii="Times New Roman" w:hAnsi="Times New Roman"/>
          <w:sz w:val="20"/>
        </w:rPr>
        <w:t xml:space="preserve">(xvii)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 </w:t>
      </w:r>
    </w:p>
    <w:p>
      <w:pPr>
        <w:pStyle w:val="TextBody"/>
        <w:spacing w:before="90" w:after="0"/>
        <w:rPr>
          <w:rFonts w:ascii="Times New Roman" w:hAnsi="Times New Roman"/>
          <w:sz w:val="20"/>
        </w:rPr>
      </w:pPr>
      <w:r>
        <w:rPr>
          <w:rFonts w:ascii="Times New Roman" w:hAnsi="Times New Roman"/>
          <w:sz w:val="20"/>
        </w:rPr>
        <w:t xml:space="preserve">(xviii)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an investment company as such term is defined in the Investment Company Act. </w:t>
      </w:r>
    </w:p>
    <w:p>
      <w:pPr>
        <w:pStyle w:val="TextBody"/>
        <w:spacing w:before="180" w:after="0"/>
        <w:rPr>
          <w:rFonts w:ascii="Times New Roman" w:hAnsi="Times New Roman"/>
          <w:sz w:val="20"/>
        </w:rPr>
      </w:pPr>
      <w:r>
        <w:rPr>
          <w:rFonts w:ascii="Times New Roman" w:hAnsi="Times New Roman"/>
          <w:sz w:val="20"/>
        </w:rPr>
        <w:t xml:space="preserve">In addition, such counsel shall state that they have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(xv) above), on the basis of the foregoing, no facts have come to the attention of such counsel that lead them to believe that: </w:t>
      </w:r>
    </w:p>
    <w:p>
      <w:pPr>
        <w:pStyle w:val="TextBody"/>
        <w:spacing w:before="18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180" w:after="0"/>
        <w:rPr>
          <w:rFonts w:ascii="Times New Roman" w:hAnsi="Times New Roman"/>
          <w:sz w:val="20"/>
        </w:rPr>
      </w:pPr>
      <w:r>
        <w:rPr>
          <w:rFonts w:ascii="Times New Roman" w:hAnsi="Times New Roman"/>
          <w:sz w:val="20"/>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Issuers,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the laws of the State of Texas and the laws of the State of New York and (D) state that they express no opinion with respect to (i) any permits to own or operate any real or personal property or (ii) state or local taxes or tax statutes to which any of the limited partners of the Partnership or any of the Plains Entities may be subject. </w:t>
      </w:r>
    </w:p>
    <w:p>
      <w:pPr>
        <w:pStyle w:val="TextBody"/>
        <w:spacing w:before="180" w:after="0"/>
        <w:rPr>
          <w:rFonts w:ascii="Times New Roman" w:hAnsi="Times New Roman"/>
          <w:sz w:val="20"/>
        </w:rPr>
      </w:pPr>
      <w:r>
        <w:rPr>
          <w:rFonts w:ascii="Times New Roman" w:hAnsi="Times New Roman"/>
          <w:sz w:val="20"/>
        </w:rPr>
        <w:t xml:space="preserve">(d) The Representatives shall have received an opinion of Fulbright &amp; Jaworski L.L.P., special counsel for the Issuers, dated the Delivery Date and addressed to the Underwriters, to the effect that none of the offering, issuance or sale by the Issuers of the Notes, the execution, delivery and performance of this Agreement by the Issuers, the consummation of the transactions contemplated hereby, the execution, delivery and performance of the Indenture by the Issuers or the consummation of the transactions contemplated thereby, results in a breach of, or constitutes a default under (or an event which, with notice or lapse of time or both, would constitute such an event) the provisions of any Credit Facility (as defined in Annex A to such opinion, which shall include (1) the Hedged Inventory Facility, (2) PAA Facility (3) the Plains AAP Facility, (4) the PNG Facility and (5) the 364-Day Credit Agreement).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Issuers, to the extent they deem proper, and upon information obtained from public officials, (B) assume that all documents submitted to them as originals are authentic, that all copies submitted to them conform to the originals thereof, and that the signatures on all documents examined by them are genuine and (C) state that such opinions are limited to the laws of the State of Texas, excepting therefrom municipal and local ordinances and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rendering such opinion, such counsel shall state that such opinion letter may be relied upon only by the Underwriters and their counsel in connection with the transactions contemplated by this Agreement and no other use or distribution of such opinion letter may be made without such counsels prior written consent. </w:t>
      </w:r>
    </w:p>
    <w:p>
      <w:pPr>
        <w:pStyle w:val="TextBody"/>
        <w:spacing w:before="180" w:after="0"/>
        <w:rPr>
          <w:rFonts w:ascii="Times New Roman" w:hAnsi="Times New Roman"/>
          <w:sz w:val="20"/>
        </w:rPr>
      </w:pPr>
      <w:r>
        <w:rPr>
          <w:rFonts w:ascii="Times New Roman" w:hAnsi="Times New Roman"/>
          <w:sz w:val="20"/>
        </w:rPr>
        <w:t xml:space="preserve">(e) The Representatives shall have received an opinion of the general counsel for GP LLC dated the Delivery Date and addressed to the Underwriters, to the effect that: </w:t>
      </w:r>
    </w:p>
    <w:p>
      <w:pPr>
        <w:pStyle w:val="TextBody"/>
        <w:spacing w:before="90" w:after="0"/>
        <w:rPr>
          <w:rFonts w:ascii="Times New Roman" w:hAnsi="Times New Roman"/>
          <w:sz w:val="20"/>
        </w:rPr>
      </w:pPr>
      <w:r>
        <w:rPr>
          <w:rFonts w:ascii="Times New Roman" w:hAnsi="Times New Roman"/>
          <w:sz w:val="20"/>
        </w:rPr>
        <w:t xml:space="preserve">(i) None of (A) the offering, issuance and sale by the Issuers of the Notes, (B) the execution, delivery and performance by the Issuers of this Agreement, (C) the consummation of the transactions contemplated by this Agreement or (D) the execution, delivery and performance of the Indenture by the Issuers or the consummation of the transactions contemplated thereby (1)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Material Subsidiaries is a party or by which any one of them may be bound (excluding, for this purpose, any document or agreement filed as an exhibit to the Registration Statement or an Incorporated Document or (i) the Hedged Inventory Facility, (ii) the PAA Facility, (iii) the Plains AAP Facility, (iv) the PNG Facility and (v) the 364-Day Credit Agreement) or (2) violates or will violate any statute, law or regulation or any order, judgment, decree or injunction known to such counsel of any court or governmental agency or body directed to either of the Issuers, the GP Entities or the Material Subsidiaries or any of their respective properties in a proceeding to which any of them is a party, which would, in the case of either (1) or (2), reasonably be expected to have a Material Adverse Effect or materially impair the ability of the Issuers to consummate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(ii) 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 </w:t>
      </w:r>
    </w:p>
    <w:p>
      <w:pPr>
        <w:pStyle w:val="TextBody"/>
        <w:spacing w:before="90" w:after="0"/>
        <w:rPr>
          <w:rFonts w:ascii="Times New Roman" w:hAnsi="Times New Roman"/>
          <w:sz w:val="20"/>
        </w:rPr>
      </w:pPr>
      <w:r>
        <w:rPr>
          <w:rFonts w:ascii="Times New Roman" w:hAnsi="Times New Roman"/>
          <w:sz w:val="20"/>
        </w:rPr>
        <w:t xml:space="preserve">(iii) 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addition, such counsel shall state that he has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 </w:t>
      </w:r>
    </w:p>
    <w:p>
      <w:pPr>
        <w:pStyle w:val="TextBody"/>
        <w:spacing w:before="18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180" w:after="0"/>
        <w:rPr>
          <w:rFonts w:ascii="Times New Roman" w:hAnsi="Times New Roman"/>
          <w:sz w:val="20"/>
        </w:rPr>
      </w:pPr>
      <w:r>
        <w:rPr>
          <w:rFonts w:ascii="Times New Roman" w:hAnsi="Times New Roman"/>
          <w:sz w:val="20"/>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180" w:after="0"/>
        <w:rPr>
          <w:rFonts w:ascii="Times New Roman" w:hAnsi="Times New Roman"/>
          <w:sz w:val="20"/>
        </w:rPr>
      </w:pPr>
      <w:r>
        <w:rPr>
          <w:rFonts w:ascii="Times New Roman" w:hAnsi="Times New Roman"/>
          <w:sz w:val="20"/>
        </w:rPr>
        <w:t xml:space="preserve">(C) 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rely in respect of matters of fact upon (A) information obtained from public officials and (B) to the extent such counsel deems appropriate, certificates of officers and employees of GP LLC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(C) state that he expresses no opinion with respect to (x) either federal or state securities laws in clause (B) of paragraph (i) above or (y) state or local taxes or tax statutes. </w:t>
      </w:r>
    </w:p>
    <w:p>
      <w:pPr>
        <w:pStyle w:val="TextBody"/>
        <w:spacing w:before="180" w:after="0"/>
        <w:rPr>
          <w:rFonts w:ascii="Times New Roman" w:hAnsi="Times New Roman"/>
          <w:sz w:val="20"/>
        </w:rPr>
      </w:pPr>
      <w:r>
        <w:rPr>
          <w:rFonts w:ascii="Times New Roman" w:hAnsi="Times New Roman"/>
          <w:sz w:val="20"/>
        </w:rPr>
        <w:t xml:space="preserve">(f) The Representatives shall have received an opinion of Bennett Jones LLP with respect to the Province of Alberta and the federal laws of Canada, dated the Delivery Date and addressed to the Underwriters, to the effect that: </w:t>
      </w:r>
    </w:p>
    <w:p>
      <w:pPr>
        <w:pStyle w:val="TextBody"/>
        <w:spacing w:before="90" w:after="0"/>
        <w:rPr>
          <w:rFonts w:ascii="Times New Roman" w:hAnsi="Times New Roman"/>
          <w:sz w:val="20"/>
        </w:rPr>
      </w:pPr>
      <w:r>
        <w:rPr>
          <w:rFonts w:ascii="Times New Roman" w:hAnsi="Times New Roman"/>
          <w:sz w:val="20"/>
        </w:rPr>
        <w:t>(i) Plains Midstream Canada ULC, an Alberta unlimited liability company (</w:t>
      </w:r>
      <w:r>
        <w:rPr>
          <w:rFonts w:ascii="Times New Roman" w:hAnsi="Times New Roman"/>
          <w:b/>
          <w:sz w:val="20"/>
        </w:rPr>
        <w:t>Plains Midstream Canada</w:t>
      </w:r>
      <w:r>
        <w:rPr>
          <w:rFonts w:ascii="Times New Roman" w:hAnsi="Times New Roman"/>
          <w:sz w:val="20"/>
        </w:rPr>
        <w:t xml:space="preserve">) has been duly amalgamated and is validly existing in good standing as an unlimited liability company under the laws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Alberta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and is in good standing under the laws of the provinces of British Columbia, Manitoba, Quebec, New Brunswick, Nova Scotia, Ontario and Saskatchewan. </w:t>
      </w:r>
    </w:p>
    <w:p>
      <w:pPr>
        <w:pStyle w:val="TextBody"/>
        <w:spacing w:before="90" w:after="0"/>
        <w:rPr>
          <w:rFonts w:ascii="Times New Roman" w:hAnsi="Times New Roman"/>
          <w:sz w:val="20"/>
        </w:rPr>
      </w:pPr>
      <w:r>
        <w:rPr>
          <w:rFonts w:ascii="Times New Roman" w:hAnsi="Times New Roman"/>
          <w:sz w:val="20"/>
        </w:rPr>
        <w:t>(ii) Plains Midstream Canada is the registered holder of 100% of the issued and outstanding capital stock of Aurora Pipeline Company Ltd., a corporation incorporated under the laws of Canada (</w:t>
      </w:r>
      <w:r>
        <w:rPr>
          <w:rFonts w:ascii="Times New Roman" w:hAnsi="Times New Roman"/>
          <w:b/>
          <w:sz w:val="20"/>
        </w:rPr>
        <w:t>Aurora</w:t>
      </w:r>
      <w:r>
        <w:rPr>
          <w:rFonts w:ascii="Times New Roman" w:hAnsi="Times New Roman"/>
          <w:sz w:val="20"/>
        </w:rPr>
        <w:t xml:space="preserve">); such share capital has been duly authorized and validly issued in accordance with the Aurora Memorandum and Articles of Association, as fully paid and nonassessable shares (except as such nonassessability may be affected by the laws of the Province of Alberta). </w:t>
      </w:r>
    </w:p>
    <w:p>
      <w:pPr>
        <w:pStyle w:val="TextBody"/>
        <w:spacing w:before="90" w:after="0"/>
        <w:rPr>
          <w:rFonts w:ascii="Times New Roman" w:hAnsi="Times New Roman"/>
          <w:sz w:val="20"/>
        </w:rPr>
      </w:pPr>
      <w:r>
        <w:rPr>
          <w:rFonts w:ascii="Times New Roman" w:hAnsi="Times New Roman"/>
          <w:sz w:val="20"/>
        </w:rPr>
        <w:t xml:space="preserve">(iii) 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Alberta). </w:t>
      </w:r>
    </w:p>
    <w:p>
      <w:pPr>
        <w:pStyle w:val="TextBody"/>
        <w:spacing w:before="90" w:after="0"/>
        <w:rPr>
          <w:rFonts w:ascii="Times New Roman" w:hAnsi="Times New Roman"/>
          <w:sz w:val="20"/>
        </w:rPr>
      </w:pPr>
      <w:r>
        <w:rPr>
          <w:rFonts w:ascii="Times New Roman" w:hAnsi="Times New Roman"/>
          <w:sz w:val="20"/>
        </w:rPr>
        <w:t xml:space="preserve">(iv) No permit, consent, approval, authorization, order, registration, filing or qualification of or with any court, governmental agency or body of the federal government of Canada or the Province of Alberta is required for the offering, issuance and sale by Issuers of the Notes or the execution, delivery and performance of the Indenture by the Issuers. </w:t>
      </w:r>
    </w:p>
    <w:p>
      <w:pPr>
        <w:pStyle w:val="TextBody"/>
        <w:spacing w:before="90" w:after="0"/>
        <w:rPr>
          <w:rFonts w:ascii="Times New Roman" w:hAnsi="Times New Roman"/>
          <w:sz w:val="20"/>
        </w:rPr>
      </w:pPr>
      <w:r>
        <w:rPr>
          <w:rFonts w:ascii="Times New Roman" w:hAnsi="Times New Roman"/>
          <w:sz w:val="20"/>
        </w:rPr>
        <w:t xml:space="preserve">(v) None of the offering, issuance and sale by the Issuers of the Notes, the execution, delivery and performance of this Agreement by the Issuers or the consummation of the transactions contemplated hereby,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Alberta or, to the knowledge of such counsel, any order, judgment, decree or injunction of any court or governmental agency or body of Canada or the Province of Alberta directed to Plains Midstream Canada or its properties in a proceeding to which Plains Midstream Canada or its property is a party. </w:t>
      </w:r>
    </w:p>
    <w:p>
      <w:pPr>
        <w:pStyle w:val="TextBody"/>
        <w:spacing w:before="90" w:after="0"/>
        <w:rPr>
          <w:rFonts w:ascii="Times New Roman" w:hAnsi="Times New Roman"/>
          <w:sz w:val="20"/>
        </w:rPr>
      </w:pPr>
      <w:r>
        <w:rPr>
          <w:rFonts w:ascii="Times New Roman" w:hAnsi="Times New Roman"/>
          <w:sz w:val="20"/>
        </w:rPr>
        <w:t xml:space="preserve">(vi) To the knowledge of such counsel, Plains Midstream Canada has such Permits issued by the appropriate federal, provincial or regulatory authorities as are necessary to own or lease its properties and to conduct its business as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Issuers, to the extent they deem proper,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Alberta, excepting therefrom municipal and local ordinances and regulations and (D) state that they express no opinion with respect to state or local taxes or tax statutes to which any of the limited partners of the Issuers may be subject. </w:t>
      </w:r>
    </w:p>
    <w:p>
      <w:pPr>
        <w:pStyle w:val="TextBody"/>
        <w:spacing w:before="180" w:after="0"/>
        <w:rPr>
          <w:rFonts w:ascii="Times New Roman" w:hAnsi="Times New Roman"/>
          <w:sz w:val="20"/>
        </w:rPr>
      </w:pPr>
      <w:r>
        <w:rPr>
          <w:rFonts w:ascii="Times New Roman" w:hAnsi="Times New Roman"/>
          <w:sz w:val="20"/>
        </w:rPr>
        <w:t xml:space="preserve">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 </w:t>
      </w:r>
    </w:p>
    <w:p>
      <w:pPr>
        <w:pStyle w:val="TextBody"/>
        <w:spacing w:before="180" w:after="0"/>
        <w:rPr>
          <w:rFonts w:ascii="Times New Roman" w:hAnsi="Times New Roman"/>
          <w:sz w:val="20"/>
        </w:rPr>
      </w:pPr>
      <w:r>
        <w:rPr>
          <w:rFonts w:ascii="Times New Roman" w:hAnsi="Times New Roman"/>
          <w:sz w:val="20"/>
        </w:rPr>
        <w:t xml:space="preserve">(g) 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 </w:t>
      </w:r>
    </w:p>
    <w:p>
      <w:pPr>
        <w:pStyle w:val="TextBody"/>
        <w:spacing w:before="180" w:after="0"/>
        <w:rPr>
          <w:rFonts w:ascii="Times New Roman" w:hAnsi="Times New Roman"/>
          <w:sz w:val="20"/>
        </w:rPr>
      </w:pPr>
      <w:r>
        <w:rPr>
          <w:rFonts w:ascii="Times New Roman" w:hAnsi="Times New Roman"/>
          <w:sz w:val="20"/>
        </w:rPr>
        <w:t xml:space="preserve">(h) At the time of the execution of this Agreement, the Representatives shall have received from PricewaterhouseCoopers LLP, independent public accountants, letters dated such date, in form and substance satisfactory to the Representatives, together with signed or reproduced copies of such letters for each of the other Underwriters,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letters shall be a date not more than five days prior to the date of such letter. </w:t>
      </w:r>
    </w:p>
    <w:p>
      <w:pPr>
        <w:pStyle w:val="TextBody"/>
        <w:spacing w:before="180" w:after="0"/>
        <w:rPr>
          <w:rFonts w:ascii="Times New Roman" w:hAnsi="Times New Roman"/>
          <w:sz w:val="20"/>
        </w:rPr>
      </w:pPr>
      <w:r>
        <w:rPr>
          <w:rFonts w:ascii="Times New Roman" w:hAnsi="Times New Roman"/>
          <w:sz w:val="20"/>
        </w:rPr>
        <w:t xml:space="preserve">(i) On the Delivery Date, the Representatives shall have received from PricewaterhouseCoopers LLP a letter, dated as of the Delivery Date, to the effect that they reaffirm the statements made in the letter furnished pursuant to paragraph (h) of this Section 7, except that the date referred to in the proviso in Section 7(h) hereof shall be a date not more than three business days prior to the Delivery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(j) The Partnership shall have furnished to the Representatives at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 </w:t>
      </w:r>
    </w:p>
    <w:p>
      <w:pPr>
        <w:pStyle w:val="TextBody"/>
        <w:spacing w:before="90" w:after="0"/>
        <w:rPr>
          <w:rFonts w:ascii="Times New Roman" w:hAnsi="Times New Roman"/>
          <w:sz w:val="20"/>
        </w:rPr>
      </w:pPr>
      <w:r>
        <w:rPr>
          <w:rFonts w:ascii="Times New Roman" w:hAnsi="Times New Roman"/>
          <w:sz w:val="20"/>
        </w:rPr>
        <w:t xml:space="preserve">(A) the representations and warranties of the Partnership in this Agreement are true and correct on and as of the Delivery Date with the same effect as if made on the Delivery Date and the Partnership has complied in all material respects with all the agreements and satisfied all the conditions on its part to be performed or satisfied at or prior to the Delivery Date; </w:t>
      </w:r>
    </w:p>
    <w:p>
      <w:pPr>
        <w:pStyle w:val="TextBody"/>
        <w:spacing w:before="90" w:after="0"/>
        <w:rPr>
          <w:rFonts w:ascii="Times New Roman" w:hAnsi="Times New Roman"/>
          <w:sz w:val="20"/>
        </w:rPr>
      </w:pPr>
      <w:r>
        <w:rPr>
          <w:rFonts w:ascii="Times New Roman" w:hAnsi="Times New Roman"/>
          <w:sz w:val="20"/>
        </w:rPr>
        <w:t xml:space="preserve">(B) no stop order suspending the effectiveness of the Registration Statement or any notice objecting to its use has been issued and no proceedings for that purpose have been instituted or, to the Partnerships knowledge, threatened; and </w:t>
      </w:r>
    </w:p>
    <w:p>
      <w:pPr>
        <w:pStyle w:val="TextBody"/>
        <w:spacing w:before="90" w:after="0"/>
        <w:rPr>
          <w:rFonts w:ascii="Times New Roman" w:hAnsi="Times New Roman"/>
          <w:sz w:val="20"/>
        </w:rPr>
      </w:pPr>
      <w:r>
        <w:rPr>
          <w:rFonts w:ascii="Times New Roman" w:hAnsi="Times New Roman"/>
          <w:sz w:val="20"/>
        </w:rPr>
        <w:t xml:space="preserve">(C)(i) the Registration Statement, as of the Effective Date, (ii) the Prospectus, as of its date and on the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(k) PAA Finance shall have furnished to the Representatives at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and PAA Finance has complied in all material respects with all the agreements and satisfied all the conditions on its part to be performed or satisfied at or prior to the Delivery Date. </w:t>
      </w:r>
    </w:p>
    <w:p>
      <w:pPr>
        <w:pStyle w:val="TextBody"/>
        <w:spacing w:before="180" w:after="0"/>
        <w:rPr>
          <w:rFonts w:ascii="Times New Roman" w:hAnsi="Times New Roman"/>
          <w:sz w:val="20"/>
        </w:rPr>
      </w:pPr>
      <w:r>
        <w:rPr>
          <w:rFonts w:ascii="Times New Roman" w:hAnsi="Times New Roman"/>
          <w:sz w:val="20"/>
        </w:rPr>
        <w:t>(l) At the Delivery Date, the Notes shall be rated at least Baa2 by Moodys Investors Services, Inc. (</w:t>
      </w:r>
      <w:r>
        <w:rPr>
          <w:rFonts w:ascii="Times New Roman" w:hAnsi="Times New Roman"/>
          <w:b/>
          <w:sz w:val="20"/>
        </w:rPr>
        <w:t>Moodys</w:t>
      </w:r>
      <w:r>
        <w:rPr>
          <w:rFonts w:ascii="Times New Roman" w:hAnsi="Times New Roman"/>
          <w:sz w:val="20"/>
        </w:rPr>
        <w:t>) and BBB- by Standard &amp; Poors Ratings Services, a division of The McGraw-Hill Companies, Inc. (</w:t>
      </w:r>
      <w:r>
        <w:rPr>
          <w:rFonts w:ascii="Times New Roman" w:hAnsi="Times New Roman"/>
          <w:b/>
          <w:sz w:val="20"/>
        </w:rPr>
        <w:t>S&amp;P</w:t>
      </w:r>
      <w:r>
        <w:rPr>
          <w:rFonts w:ascii="Times New Roman" w:hAnsi="Times New Roman"/>
          <w:sz w:val="20"/>
        </w:rPr>
        <w:t xml:space="preserve">),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(A) the Notes below Baa2 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Moodys and BBB- by S&amp;P or (B) either of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 </w:t>
      </w:r>
    </w:p>
    <w:p>
      <w:pPr>
        <w:pStyle w:val="TextBody"/>
        <w:spacing w:before="180" w:after="0"/>
        <w:rPr>
          <w:rFonts w:ascii="Times New Roman" w:hAnsi="Times New Roman"/>
          <w:sz w:val="20"/>
        </w:rPr>
      </w:pPr>
      <w:r>
        <w:rPr>
          <w:rFonts w:ascii="Times New Roman" w:hAnsi="Times New Roman"/>
          <w:sz w:val="20"/>
        </w:rPr>
        <w:t xml:space="preserve">(m) The Issuers and the Trustee shall have executed and delivered the Supplemental Indentures, and the Issuers shall have executed and delivered the Global Notes. </w:t>
      </w:r>
    </w:p>
    <w:p>
      <w:pPr>
        <w:pStyle w:val="TextBody"/>
        <w:spacing w:before="180" w:after="0"/>
        <w:rPr>
          <w:rFonts w:ascii="Times New Roman" w:hAnsi="Times New Roman"/>
          <w:sz w:val="20"/>
        </w:rPr>
      </w:pPr>
      <w:r>
        <w:rPr>
          <w:rFonts w:ascii="Times New Roman" w:hAnsi="Times New Roman"/>
          <w:sz w:val="20"/>
        </w:rPr>
        <w:t xml:space="preserve">(n) At the time of the execution of this Agreement, the Representatives shall have received from the Partnership a certificate substantially in the form of </w:t>
      </w:r>
      <w:r>
        <w:rPr>
          <w:rFonts w:ascii="Times New Roman" w:hAnsi="Times New Roman"/>
          <w:sz w:val="20"/>
          <w:u w:val="single"/>
        </w:rPr>
        <w:t>Exhibit B</w:t>
      </w:r>
      <w:r>
        <w:rPr>
          <w:rFonts w:ascii="Times New Roman" w:hAnsi="Times New Roman"/>
          <w:sz w:val="20"/>
        </w:rPr>
        <w:t xml:space="preserve"> hereto and signed by the chief financial officer of the General Partner. </w:t>
      </w:r>
    </w:p>
    <w:p>
      <w:pPr>
        <w:pStyle w:val="TextBody"/>
        <w:spacing w:before="180" w:after="0"/>
        <w:rPr>
          <w:rFonts w:ascii="Times New Roman" w:hAnsi="Times New Roman"/>
          <w:sz w:val="20"/>
        </w:rPr>
      </w:pPr>
      <w:r>
        <w:rPr>
          <w:rFonts w:ascii="Times New Roman" w:hAnsi="Times New Roman"/>
          <w:sz w:val="20"/>
        </w:rPr>
        <w:t xml:space="preserve">All such opinions, certificates, letters and other documents referred to in this Section 7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 </w:t>
      </w:r>
    </w:p>
    <w:p>
      <w:pPr>
        <w:pStyle w:val="TextBody"/>
        <w:spacing w:before="180" w:after="0"/>
        <w:rPr>
          <w:rFonts w:ascii="Times New Roman" w:hAnsi="Times New Roman"/>
          <w:sz w:val="20"/>
        </w:rPr>
      </w:pPr>
      <w:r>
        <w:rPr>
          <w:rFonts w:ascii="Times New Roman" w:hAnsi="Times New Roman"/>
          <w:sz w:val="20"/>
        </w:rPr>
        <w:t xml:space="preserve">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Expenses</w:t>
      </w:r>
      <w:r>
        <w:rPr>
          <w:rFonts w:ascii="Times New Roman" w:hAnsi="Times New Roman"/>
          <w:sz w:val="20"/>
        </w:rPr>
        <w:t xml:space="preserve">.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Section 5(g) hereof (including the reasonable fees, expenses and disbursements of counsel for the Underwriters relating to the preparation, printing or reproduction, and delivery of the preliminary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and supplemental Blue Sky Memoranda and such registration and qualification); (vii) any filing fees in connection with any filings required to be made with FINRA; (viii) the transportation and other expenses incurred by or on behalf of officers and employees of GP LLC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 </w:t>
      </w:r>
    </w:p>
    <w:p>
      <w:pPr>
        <w:pStyle w:val="TextBody"/>
        <w:spacing w:before="180" w:after="0"/>
        <w:rPr>
          <w:rFonts w:ascii="Times New Roman" w:hAnsi="Times New Roman"/>
          <w:sz w:val="20"/>
        </w:rPr>
      </w:pPr>
      <w:r>
        <w:rPr>
          <w:rFonts w:ascii="Times New Roman" w:hAnsi="Times New Roman"/>
          <w:sz w:val="20"/>
        </w:rPr>
        <w:t xml:space="preserve">It is understood, however, that except as otherwise provided in this Section 8 or Section 5(j)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Default by an Underwriter</w:t>
      </w:r>
      <w:r>
        <w:rPr>
          <w:rFonts w:ascii="Times New Roman" w:hAnsi="Times New Roman"/>
          <w:sz w:val="20"/>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 w:hAnsi="Times New Roman"/>
          <w:sz w:val="20"/>
          <w:u w:val="single"/>
        </w:rPr>
        <w:t>Schedule I</w:t>
      </w:r>
      <w:r>
        <w:rPr>
          <w:rFonts w:ascii="Times New Roman" w:hAnsi="Times New Roman"/>
          <w:sz w:val="20"/>
        </w:rPr>
        <w:t xml:space="preserve"> hereto bears to the aggregate principal amount of Notes set forth opposite the names of all non-defaulting Underwriters or in such other proportion as the Representatives may specify in accordance with the Agreement Among Underwriters of J.P. Morgan Securities LLC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 w:hAnsi="Times New Roman"/>
          <w:b/>
          <w:sz w:val="20"/>
        </w:rPr>
        <w:t>Underwriter</w:t>
      </w:r>
      <w:r>
        <w:rPr>
          <w:rFonts w:ascii="Times New Roman" w:hAnsi="Times New Roman"/>
          <w:sz w:val="20"/>
        </w:rPr>
        <w:t xml:space="preserve"> as used in this Agreement includes, for all purposes of this Agreement, any party not listed in </w:t>
      </w:r>
      <w:r>
        <w:rPr>
          <w:rFonts w:ascii="Times New Roman" w:hAnsi="Times New Roman"/>
          <w:sz w:val="20"/>
          <w:u w:val="single"/>
        </w:rPr>
        <w:t>Schedule I</w:t>
      </w:r>
      <w:r>
        <w:rPr>
          <w:rFonts w:ascii="Times New Roman" w:hAnsi="Times New Roman"/>
          <w:sz w:val="20"/>
        </w:rPr>
        <w:t xml:space="preserve"> hereto who, with the Representatives approval and the approval of the Issuers, purchases Notes that a defaulting Underwriter is obligated, but fails or refuses, to purchase. </w:t>
      </w:r>
    </w:p>
    <w:p>
      <w:pPr>
        <w:pStyle w:val="TextBody"/>
        <w:spacing w:before="180" w:after="0"/>
        <w:rPr>
          <w:rFonts w:ascii="Times New Roman" w:hAnsi="Times New Roman"/>
          <w:sz w:val="20"/>
        </w:rPr>
      </w:pPr>
      <w:r>
        <w:rPr>
          <w:rFonts w:ascii="Times New Roman" w:hAnsi="Times New Roman"/>
          <w:sz w:val="20"/>
        </w:rPr>
        <w:t xml:space="preserve">Any notice under this Section 9 may be given by telegram, telecopy or telephone but shall be subsequently confirmed by letter.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 of Agreement</w:t>
      </w:r>
      <w:r>
        <w:rPr>
          <w:rFonts w:ascii="Times New Roman" w:hAnsi="Times New Roman"/>
          <w:sz w:val="20"/>
        </w:rPr>
        <w:t xml:space="preserve">. This Agreement shall be subject to termination in the Representatives absolute discretion, without liability on the part of any Underwriter to any Issuer, by notice to the Issuers prior to delivery of and payment for the Notes, if at any time prior to such time (i) trading in the Partnerships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or with respect to Euroclear S.A./N.V. and Clearstream Banking, société anonyme,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 Successors</w:t>
      </w:r>
      <w:r>
        <w:rPr>
          <w:rFonts w:ascii="Times New Roman" w:hAnsi="Times New Roman"/>
          <w:sz w:val="20"/>
        </w:rPr>
        <w:t xml:space="preserve">. Except as otherwise provided in Sections 5, 9 and 10 hereof, all communications hereunder will be in writing and effective only on receipt, and, if sent to the Underwriters, will be mailed, delivered or telefaxed to the Representatives c/o J.P. Morgan Securities LLC, 383 Madison Avenue, New York, NY 10179, Attention: High Grade Syndicate Desk  3rd Floor, Facsimile: (212) 834-6081; or, if sent to either of the Issuers, will be mailed, delivered or telefaxed to (713) 646-4313 and confirmed to it at 333 Clay St., Suite 1600, Houston, Texas 77002, Attention: General Counsel. </w:t>
      </w:r>
    </w:p>
    <w:p>
      <w:pPr>
        <w:pStyle w:val="TextBody"/>
        <w:spacing w:before="180" w:after="0"/>
        <w:rPr>
          <w:rFonts w:ascii="Times New Roman" w:hAnsi="Times New Roman"/>
          <w:sz w:val="20"/>
        </w:rPr>
      </w:pPr>
      <w:r>
        <w:rPr>
          <w:rFonts w:ascii="Times New Roman" w:hAnsi="Times New Roman"/>
          <w:sz w:val="20"/>
        </w:rPr>
        <w:t xml:space="preserve">This Agreement has been and is made solely for the benefit of the several Underwriters and their directors, officers, employees, agents and other controlling persons referred to in Section 6 hereof and the Issuers and GP LLCs directors and officers who sign the Registration Statement, and other controlling persons referred to in Section 6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Information Furnished by the Underwriters</w:t>
      </w:r>
      <w:r>
        <w:rPr>
          <w:rFonts w:ascii="Times New Roman" w:hAnsi="Times New Roman"/>
          <w:sz w:val="20"/>
        </w:rPr>
        <w:t xml:space="preserve">. The Issuers acknowledge that the following statements set forth in the most recent Preliminary Prospectus and the Prospectus constitute the only information furnished by or on behalf of the Underwriters through the Representatives as such information is referred to in Sections 1(c), 1(d), 1(f), 1(g), 5(p), 6(a) and 6(c) hereof: (A) the names of the Underwriters, (B) the table under the first paragraph under the heading Underwriting, (C) the sentence in the first paragraph under the heading Underwriting  Underwriting Discounts related to concessions and (D) the paragraphs under the heading Underwriting  Stabilizations and Short Positions.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Research Analyst Independence</w:t>
      </w:r>
      <w:r>
        <w:rPr>
          <w:rFonts w:ascii="Times New Roman" w:hAnsi="Times New Roman"/>
          <w:sz w:val="20"/>
        </w:rPr>
        <w:t xml:space="preserve">. The Issuers acknowledge that the Underwriters research analysts and research departments are required to be independent from their respective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Integration</w:t>
      </w:r>
      <w:r>
        <w:rPr>
          <w:rFonts w:ascii="Times New Roman" w:hAnsi="Times New Roman"/>
          <w:sz w:val="20"/>
        </w:rPr>
        <w:t xml:space="preserve">. This Agreement supersedes all prior agreements and understandings (whether written or oral) between the Issuers and the Underwriters, or any of them, with respect to the subject matter hereof. </w:t>
      </w:r>
    </w:p>
    <w:p>
      <w:pPr>
        <w:pStyle w:val="TextBody"/>
        <w:spacing w:before="18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Headings</w:t>
      </w:r>
      <w:r>
        <w:rPr>
          <w:rFonts w:ascii="Times New Roman" w:hAnsi="Times New Roman"/>
          <w:sz w:val="20"/>
        </w:rPr>
        <w:t xml:space="preserve">. The Section headings used herein are for convenience only and shall not affect the construction hereof. </w:t>
      </w:r>
    </w:p>
    <w:p>
      <w:pPr>
        <w:pStyle w:val="TextBody"/>
        <w:spacing w:before="18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Effective Date of Agreement</w:t>
      </w:r>
      <w:r>
        <w:rPr>
          <w:rFonts w:ascii="Times New Roman" w:hAnsi="Times New Roman"/>
          <w:sz w:val="20"/>
        </w:rPr>
        <w:t xml:space="preserve">. This Agreement shall become effective upon the execution and delivery hereof by the parties hereto. </w:t>
      </w:r>
    </w:p>
    <w:p>
      <w:pPr>
        <w:pStyle w:val="TextBody"/>
        <w:spacing w:before="18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No Fiduciary Duty</w:t>
      </w:r>
      <w:r>
        <w:rPr>
          <w:rFonts w:ascii="Times New Roman" w:hAnsi="Times New Roman"/>
          <w:sz w:val="20"/>
        </w:rPr>
        <w:t xml:space="preserve">.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 </w:t>
      </w:r>
    </w:p>
    <w:p>
      <w:pPr>
        <w:pStyle w:val="TextBody"/>
        <w:spacing w:before="180" w:after="0"/>
        <w:rPr>
          <w:rFonts w:ascii="Times New Roman" w:hAnsi="Times New Roman"/>
          <w:sz w:val="20"/>
        </w:rPr>
      </w:pPr>
      <w:r>
        <w:rPr>
          <w:rFonts w:ascii="Times New Roman" w:hAnsi="Times New Roman"/>
          <w:sz w:val="20"/>
        </w:rPr>
        <w:t xml:space="preserve">18. </w:t>
      </w:r>
      <w:r>
        <w:rPr>
          <w:rFonts w:ascii="Times New Roman" w:hAnsi="Times New Roman"/>
          <w:sz w:val="20"/>
          <w:u w:val="single"/>
        </w:rPr>
        <w:t>Applicable Law; Counterparts</w:t>
      </w:r>
      <w:r>
        <w:rPr>
          <w:rFonts w:ascii="Times New Roman" w:hAnsi="Times New Roman"/>
          <w:sz w:val="20"/>
        </w:rPr>
        <w:t xml:space="preserve">.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 </w:t>
      </w:r>
    </w:p>
    <w:p>
      <w:pPr>
        <w:pStyle w:val="TextBody"/>
        <w:spacing w:before="18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Please confirm that the foregoing correctly sets forth the agreement among the Issuers and the Underwriters.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2"/>
        <w:gridCol w:w="93"/>
        <w:gridCol w:w="3667"/>
      </w:tblGrid>
      <w:tr>
        <w:trPr/>
        <w:tc>
          <w:tcPr>
            <w:tcW w:w="322"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6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Very truly yours,</w:t>
            </w:r>
          </w:p>
          <w:p>
            <w:pPr>
              <w:pStyle w:val="TableContents"/>
              <w:spacing w:before="0" w:after="0"/>
              <w:rPr/>
            </w:pPr>
            <w:r>
              <w:rPr/>
              <w:t> </w:t>
            </w:r>
          </w:p>
          <w:p>
            <w:pPr>
              <w:pStyle w:val="TableContents"/>
              <w:spacing w:before="0" w:after="15"/>
              <w:rPr>
                <w:rFonts w:ascii="Times New Roman" w:hAnsi="Times New Roman"/>
                <w:b/>
                <w:sz w:val="20"/>
              </w:rPr>
            </w:pPr>
            <w:r>
              <w:rPr>
                <w:rFonts w:ascii="Times New Roman" w:hAnsi="Times New Roman"/>
                <w:b/>
                <w:sz w:val="20"/>
              </w:rPr>
              <w:t>PLAINS ALL AMERICAN PIPELINE, L.P.</w:t>
            </w:r>
          </w:p>
        </w:tc>
      </w:tr>
      <w:tr>
        <w:trPr>
          <w:trHeight w:val="240" w:hRule="atLeast"/>
        </w:trPr>
        <w:tc>
          <w:tcPr>
            <w:tcW w:w="322" w:type="dxa"/>
            <w:tcBorders/>
            <w:shd w:fill="auto" w:val="clear"/>
            <w:vAlign w:val="center"/>
          </w:tcPr>
          <w:p>
            <w:pPr>
              <w:pStyle w:val="TableContents"/>
              <w:spacing w:before="0" w:after="283"/>
              <w:rPr>
                <w:sz w:val="4"/>
                <w:szCs w:val="4"/>
              </w:rPr>
            </w:pPr>
            <w:r>
              <w:rPr>
                <w:sz w:val="4"/>
                <w:szCs w:val="4"/>
              </w:rPr>
            </w:r>
          </w:p>
        </w:tc>
        <w:tc>
          <w:tcPr>
            <w:tcW w:w="3760" w:type="dxa"/>
            <w:gridSpan w:val="2"/>
            <w:tcBorders/>
            <w:shd w:fill="auto" w:val="clear"/>
            <w:vAlign w:val="center"/>
          </w:tcPr>
          <w:p>
            <w:pPr>
              <w:pStyle w:val="TableContents"/>
              <w:spacing w:before="0" w:after="283"/>
              <w:rPr>
                <w:sz w:val="4"/>
                <w:szCs w:val="4"/>
              </w:rPr>
            </w:pPr>
            <w:r>
              <w:rPr>
                <w:sz w:val="4"/>
                <w:szCs w:val="4"/>
              </w:rPr>
            </w:r>
          </w:p>
        </w:tc>
      </w:tr>
      <w:tr>
        <w:trPr/>
        <w:tc>
          <w:tcPr>
            <w:tcW w:w="3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shd w:fill="auto" w:val="clear"/>
            <w:vAlign w:val="bottom"/>
          </w:tcPr>
          <w:p>
            <w:pPr>
              <w:pStyle w:val="TableContents"/>
              <w:spacing w:before="0" w:after="283"/>
              <w:rPr/>
            </w:pPr>
            <w:r>
              <w:rPr/>
              <w:t> </w:t>
            </w:r>
          </w:p>
        </w:tc>
        <w:tc>
          <w:tcPr>
            <w:tcW w:w="3667"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c>
          <w:tcPr>
            <w:tcW w:w="322"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bl>
    <w:tbl>
      <w:tblPr>
        <w:tblW w:w="2000" w:type="pct"/>
        <w:jc w:val="right"/>
        <w:tblInd w:w="0" w:type="dxa"/>
        <w:tblCellMar>
          <w:top w:w="0" w:type="dxa"/>
          <w:left w:w="0" w:type="dxa"/>
          <w:bottom w:w="0" w:type="dxa"/>
          <w:right w:w="0" w:type="dxa"/>
        </w:tblCellMar>
      </w:tblPr>
      <w:tblGrid>
        <w:gridCol w:w="262"/>
        <w:gridCol w:w="85"/>
        <w:gridCol w:w="3735"/>
      </w:tblGrid>
      <w:tr>
        <w:trPr/>
        <w:tc>
          <w:tcPr>
            <w:tcW w:w="262"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3735"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62" w:type="dxa"/>
            <w:tcBorders/>
            <w:shd w:fill="auto" w:val="clear"/>
            <w:vAlign w:val="center"/>
          </w:tcPr>
          <w:p>
            <w:pPr>
              <w:pStyle w:val="TableContents"/>
              <w:spacing w:before="0" w:after="283"/>
              <w:rPr>
                <w:sz w:val="4"/>
                <w:szCs w:val="4"/>
              </w:rPr>
            </w:pPr>
            <w:r>
              <w:rPr>
                <w:sz w:val="4"/>
                <w:szCs w:val="4"/>
              </w:rPr>
            </w:r>
          </w:p>
        </w:tc>
        <w:tc>
          <w:tcPr>
            <w:tcW w:w="3820" w:type="dxa"/>
            <w:gridSpan w:val="2"/>
            <w:tcBorders/>
            <w:shd w:fill="auto" w:val="clear"/>
            <w:vAlign w:val="center"/>
          </w:tcPr>
          <w:p>
            <w:pPr>
              <w:pStyle w:val="TableContents"/>
              <w:spacing w:before="0" w:after="283"/>
              <w:rPr>
                <w:sz w:val="4"/>
                <w:szCs w:val="4"/>
              </w:rPr>
            </w:pPr>
            <w:r>
              <w:rPr>
                <w:sz w:val="4"/>
                <w:szCs w:val="4"/>
              </w:rPr>
            </w:r>
          </w:p>
        </w:tc>
      </w:tr>
      <w:tr>
        <w:trPr/>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5" w:type="dxa"/>
            <w:tcBorders/>
            <w:shd w:fill="auto" w:val="clear"/>
            <w:vAlign w:val="bottom"/>
          </w:tcPr>
          <w:p>
            <w:pPr>
              <w:pStyle w:val="TableContents"/>
              <w:spacing w:before="0" w:after="283"/>
              <w:rPr/>
            </w:pPr>
            <w:r>
              <w:rPr/>
              <w:t> </w:t>
            </w:r>
          </w:p>
        </w:tc>
        <w:tc>
          <w:tcPr>
            <w:tcW w:w="3735"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262"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37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Sole Member</w:t>
            </w:r>
          </w:p>
        </w:tc>
      </w:tr>
    </w:tbl>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bl>
    <w:tbl>
      <w:tblPr>
        <w:tblW w:w="2000" w:type="pct"/>
        <w:jc w:val="right"/>
        <w:tblInd w:w="0" w:type="dxa"/>
        <w:tblCellMar>
          <w:top w:w="0" w:type="dxa"/>
          <w:left w:w="0" w:type="dxa"/>
          <w:bottom w:w="0" w:type="dxa"/>
          <w:right w:w="0" w:type="dxa"/>
        </w:tblCellMar>
      </w:tblPr>
      <w:tblGrid>
        <w:gridCol w:w="741"/>
        <w:gridCol w:w="86"/>
        <w:gridCol w:w="3255"/>
      </w:tblGrid>
      <w:tr>
        <w:trPr/>
        <w:tc>
          <w:tcPr>
            <w:tcW w:w="741"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3255"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741" w:type="dxa"/>
            <w:tcBorders/>
            <w:shd w:fill="auto" w:val="clear"/>
            <w:vAlign w:val="center"/>
          </w:tcPr>
          <w:p>
            <w:pPr>
              <w:pStyle w:val="TableContents"/>
              <w:spacing w:before="0" w:after="283"/>
              <w:rPr>
                <w:sz w:val="4"/>
                <w:szCs w:val="4"/>
              </w:rPr>
            </w:pPr>
            <w:r>
              <w:rPr>
                <w:sz w:val="4"/>
                <w:szCs w:val="4"/>
              </w:rPr>
            </w:r>
          </w:p>
        </w:tc>
        <w:tc>
          <w:tcPr>
            <w:tcW w:w="3341" w:type="dxa"/>
            <w:gridSpan w:val="2"/>
            <w:tcBorders/>
            <w:shd w:fill="auto" w:val="clear"/>
            <w:vAlign w:val="center"/>
          </w:tcPr>
          <w:p>
            <w:pPr>
              <w:pStyle w:val="TableContents"/>
              <w:spacing w:before="0" w:after="283"/>
              <w:rPr>
                <w:sz w:val="4"/>
                <w:szCs w:val="4"/>
              </w:rPr>
            </w:pPr>
            <w:r>
              <w:rPr>
                <w:sz w:val="4"/>
                <w:szCs w:val="4"/>
              </w:rPr>
            </w:r>
          </w:p>
        </w:tc>
      </w:tr>
      <w:tr>
        <w:trPr/>
        <w:tc>
          <w:tcPr>
            <w:tcW w:w="741" w:type="dxa"/>
            <w:tcBorders/>
            <w:shd w:fill="auto" w:val="clear"/>
          </w:tcPr>
          <w:p>
            <w:pPr>
              <w:pStyle w:val="TableContents"/>
              <w:spacing w:before="0" w:after="283"/>
              <w:rPr/>
            </w:pPr>
            <w:r>
              <w:rPr/>
              <w:t>        </w:t>
            </w:r>
            <w:r>
              <w:rPr>
                <w:rFonts w:ascii="Times New Roman" w:hAnsi="Times New Roman"/>
                <w:sz w:val="20"/>
              </w:rPr>
              <w:t>By:</w:t>
            </w:r>
          </w:p>
        </w:tc>
        <w:tc>
          <w:tcPr>
            <w:tcW w:w="86" w:type="dxa"/>
            <w:tcBorders>
              <w:bottom w:val="single" w:sz="2" w:space="0" w:color="000000"/>
            </w:tcBorders>
            <w:shd w:fill="auto" w:val="clear"/>
            <w:tcMar>
              <w:bottom w:w="28" w:type="dxa"/>
            </w:tcMar>
            <w:vAlign w:val="bottom"/>
          </w:tcPr>
          <w:p>
            <w:pPr>
              <w:pStyle w:val="TableContents"/>
              <w:spacing w:before="0" w:after="283"/>
              <w:rPr/>
            </w:pPr>
            <w:r>
              <w:rPr/>
              <w:t> </w:t>
            </w:r>
          </w:p>
        </w:tc>
        <w:tc>
          <w:tcPr>
            <w:tcW w:w="325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Charles Kingswell-Smith</w:t>
            </w:r>
          </w:p>
        </w:tc>
      </w:tr>
      <w:tr>
        <w:trPr/>
        <w:tc>
          <w:tcPr>
            <w:tcW w:w="741"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325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Charles Kingswell-Smith</w:t>
            </w:r>
          </w:p>
          <w:p>
            <w:pPr>
              <w:pStyle w:val="TableContents"/>
              <w:spacing w:before="0" w:after="15"/>
              <w:rPr>
                <w:rFonts w:ascii="Times New Roman" w:hAnsi="Times New Roman"/>
                <w:sz w:val="20"/>
              </w:rPr>
            </w:pPr>
            <w:r>
              <w:rPr>
                <w:rFonts w:ascii="Times New Roman" w:hAnsi="Times New Roman"/>
                <w:sz w:val="20"/>
              </w:rPr>
              <w:t>Title: Vice President and Treasurer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741"/>
        <w:gridCol w:w="86"/>
        <w:gridCol w:w="3255"/>
      </w:tblGrid>
      <w:tr>
        <w:trPr/>
        <w:tc>
          <w:tcPr>
            <w:tcW w:w="741"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325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PAA FINANCE CORP.</w:t>
            </w:r>
          </w:p>
        </w:tc>
      </w:tr>
      <w:tr>
        <w:trPr>
          <w:trHeight w:val="240" w:hRule="atLeast"/>
        </w:trPr>
        <w:tc>
          <w:tcPr>
            <w:tcW w:w="741" w:type="dxa"/>
            <w:tcBorders/>
            <w:shd w:fill="auto" w:val="clear"/>
            <w:vAlign w:val="center"/>
          </w:tcPr>
          <w:p>
            <w:pPr>
              <w:pStyle w:val="TableContents"/>
              <w:spacing w:before="0" w:after="283"/>
              <w:rPr>
                <w:sz w:val="4"/>
                <w:szCs w:val="4"/>
              </w:rPr>
            </w:pPr>
            <w:r>
              <w:rPr>
                <w:sz w:val="4"/>
                <w:szCs w:val="4"/>
              </w:rPr>
            </w:r>
          </w:p>
        </w:tc>
        <w:tc>
          <w:tcPr>
            <w:tcW w:w="3341" w:type="dxa"/>
            <w:gridSpan w:val="2"/>
            <w:tcBorders/>
            <w:shd w:fill="auto" w:val="clear"/>
            <w:vAlign w:val="center"/>
          </w:tcPr>
          <w:p>
            <w:pPr>
              <w:pStyle w:val="TableContents"/>
              <w:spacing w:before="0" w:after="283"/>
              <w:rPr>
                <w:sz w:val="4"/>
                <w:szCs w:val="4"/>
              </w:rPr>
            </w:pPr>
            <w:r>
              <w:rPr>
                <w:sz w:val="4"/>
                <w:szCs w:val="4"/>
              </w:rPr>
            </w:r>
          </w:p>
        </w:tc>
      </w:tr>
      <w:tr>
        <w:trPr/>
        <w:tc>
          <w:tcPr>
            <w:tcW w:w="741" w:type="dxa"/>
            <w:tcBorders/>
            <w:shd w:fill="auto" w:val="clear"/>
          </w:tcPr>
          <w:p>
            <w:pPr>
              <w:pStyle w:val="TableContents"/>
              <w:spacing w:before="0" w:after="283"/>
              <w:rPr/>
            </w:pPr>
            <w:r>
              <w:rPr/>
              <w:t>        </w:t>
            </w:r>
            <w:r>
              <w:rPr>
                <w:rFonts w:ascii="Times New Roman" w:hAnsi="Times New Roman"/>
                <w:sz w:val="20"/>
              </w:rPr>
              <w:t>By:</w:t>
            </w:r>
          </w:p>
        </w:tc>
        <w:tc>
          <w:tcPr>
            <w:tcW w:w="86" w:type="dxa"/>
            <w:tcBorders>
              <w:bottom w:val="single" w:sz="2" w:space="0" w:color="000000"/>
            </w:tcBorders>
            <w:shd w:fill="auto" w:val="clear"/>
            <w:tcMar>
              <w:bottom w:w="28" w:type="dxa"/>
            </w:tcMar>
            <w:vAlign w:val="bottom"/>
          </w:tcPr>
          <w:p>
            <w:pPr>
              <w:pStyle w:val="TableContents"/>
              <w:spacing w:before="0" w:after="283"/>
              <w:rPr/>
            </w:pPr>
            <w:r>
              <w:rPr/>
              <w:t> </w:t>
            </w:r>
          </w:p>
        </w:tc>
        <w:tc>
          <w:tcPr>
            <w:tcW w:w="325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Charles Kingswell-Smith</w:t>
            </w:r>
          </w:p>
        </w:tc>
      </w:tr>
      <w:tr>
        <w:trPr/>
        <w:tc>
          <w:tcPr>
            <w:tcW w:w="741"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325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Charles Kingswell-Smith</w:t>
            </w:r>
          </w:p>
          <w:p>
            <w:pPr>
              <w:pStyle w:val="TableContents"/>
              <w:spacing w:before="0" w:after="15"/>
              <w:rPr>
                <w:rFonts w:ascii="Times New Roman" w:hAnsi="Times New Roman"/>
                <w:sz w:val="20"/>
              </w:rPr>
            </w:pPr>
            <w:r>
              <w:rPr>
                <w:rFonts w:ascii="Times New Roman" w:hAnsi="Times New Roman"/>
                <w:sz w:val="20"/>
              </w:rPr>
              <w:t>Title: Vice President and Treasurer</w:t>
            </w:r>
          </w:p>
        </w:tc>
      </w:tr>
    </w:tbl>
    <w:p>
      <w:pPr>
        <w:pStyle w:val="TextBody"/>
        <w:spacing w:before="180" w:after="0"/>
        <w:jc w:val="center"/>
        <w:rPr>
          <w:rFonts w:ascii="Times New Roman" w:hAnsi="Times New Roman"/>
          <w:i/>
          <w:sz w:val="20"/>
        </w:rPr>
      </w:pPr>
      <w:r>
        <w:rPr>
          <w:rFonts w:ascii="Times New Roman" w:hAnsi="Times New Roman"/>
          <w:i/>
          <w:sz w:val="20"/>
        </w:rPr>
        <w:t xml:space="preserve">PAA Signature Page to Underwriting Agreement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foregoing Agreement is hereby </w:t>
      </w:r>
    </w:p>
    <w:p>
      <w:pPr>
        <w:pStyle w:val="TextBody"/>
        <w:spacing w:before="0" w:after="0"/>
        <w:rPr>
          <w:rFonts w:ascii="Times New Roman" w:hAnsi="Times New Roman"/>
          <w:sz w:val="20"/>
        </w:rPr>
      </w:pPr>
      <w:r>
        <w:rPr>
          <w:rFonts w:ascii="Times New Roman" w:hAnsi="Times New Roman"/>
          <w:sz w:val="20"/>
        </w:rPr>
        <w:t xml:space="preserve">confirmed and accepted by the Underwriters </w:t>
      </w:r>
    </w:p>
    <w:p>
      <w:pPr>
        <w:pStyle w:val="TextBody"/>
        <w:spacing w:before="0" w:after="0"/>
        <w:rPr>
          <w:rFonts w:ascii="Times New Roman" w:hAnsi="Times New Roman"/>
          <w:sz w:val="20"/>
        </w:rPr>
      </w:pPr>
      <w:r>
        <w:rPr>
          <w:rFonts w:ascii="Times New Roman" w:hAnsi="Times New Roman"/>
          <w:sz w:val="20"/>
        </w:rPr>
        <w:t xml:space="preserve">as of the date first above written. </w:t>
      </w:r>
    </w:p>
    <w:p>
      <w:pPr>
        <w:pStyle w:val="TextBody"/>
        <w:spacing w:before="180" w:after="0"/>
        <w:rPr>
          <w:rFonts w:ascii="Times New Roman" w:hAnsi="Times New Roman"/>
          <w:sz w:val="20"/>
        </w:rPr>
      </w:pPr>
      <w:r>
        <w:rPr>
          <w:rFonts w:ascii="Times New Roman" w:hAnsi="Times New Roman"/>
          <w:sz w:val="20"/>
        </w:rPr>
        <w:t xml:space="preserve">J.P. Morgan Securities LLC </w:t>
      </w:r>
    </w:p>
    <w:p>
      <w:pPr>
        <w:pStyle w:val="TextBody"/>
        <w:spacing w:before="0" w:after="0"/>
        <w:rPr>
          <w:rFonts w:ascii="Times New Roman" w:hAnsi="Times New Roman"/>
          <w:sz w:val="20"/>
        </w:rPr>
      </w:pPr>
      <w:r>
        <w:rPr>
          <w:rFonts w:ascii="Times New Roman" w:hAnsi="Times New Roman"/>
          <w:sz w:val="20"/>
        </w:rPr>
        <w:t xml:space="preserve">Merrill Lynch, Pierce, Fenner &amp; Smith Incorporated </w:t>
      </w:r>
    </w:p>
    <w:p>
      <w:pPr>
        <w:pStyle w:val="TextBody"/>
        <w:spacing w:before="0" w:after="0"/>
        <w:rPr>
          <w:rFonts w:ascii="Times New Roman" w:hAnsi="Times New Roman"/>
          <w:sz w:val="20"/>
        </w:rPr>
      </w:pPr>
      <w:r>
        <w:rPr>
          <w:rFonts w:ascii="Times New Roman" w:hAnsi="Times New Roman"/>
          <w:sz w:val="20"/>
        </w:rPr>
        <w:t xml:space="preserve">UBS Securities LLC </w:t>
      </w:r>
    </w:p>
    <w:p>
      <w:pPr>
        <w:pStyle w:val="TextBody"/>
        <w:spacing w:before="0" w:after="0"/>
        <w:rPr>
          <w:rFonts w:ascii="Times New Roman" w:hAnsi="Times New Roman"/>
          <w:sz w:val="20"/>
        </w:rPr>
      </w:pPr>
      <w:r>
        <w:rPr>
          <w:rFonts w:ascii="Times New Roman" w:hAnsi="Times New Roman"/>
          <w:sz w:val="20"/>
        </w:rPr>
        <w:t xml:space="preserve">Wells Fargo Securities, LLC </w:t>
      </w:r>
    </w:p>
    <w:p>
      <w:pPr>
        <w:pStyle w:val="TextBody"/>
        <w:spacing w:before="0" w:after="0"/>
        <w:rPr>
          <w:rFonts w:ascii="Times New Roman" w:hAnsi="Times New Roman"/>
          <w:sz w:val="20"/>
        </w:rPr>
      </w:pPr>
      <w:r>
        <w:rPr>
          <w:rFonts w:ascii="Times New Roman" w:hAnsi="Times New Roman"/>
          <w:sz w:val="20"/>
        </w:rPr>
        <w:t xml:space="preserve">DNB Markets Inc. </w:t>
      </w:r>
    </w:p>
    <w:p>
      <w:pPr>
        <w:pStyle w:val="TextBody"/>
        <w:spacing w:before="0" w:after="0"/>
        <w:rPr>
          <w:rFonts w:ascii="Times New Roman" w:hAnsi="Times New Roman"/>
          <w:sz w:val="20"/>
        </w:rPr>
      </w:pPr>
      <w:r>
        <w:rPr>
          <w:rFonts w:ascii="Times New Roman" w:hAnsi="Times New Roman"/>
          <w:sz w:val="20"/>
        </w:rPr>
        <w:t xml:space="preserve">Mizuho Securities USA Inc. </w:t>
      </w:r>
    </w:p>
    <w:p>
      <w:pPr>
        <w:pStyle w:val="TextBody"/>
        <w:spacing w:before="180" w:after="0"/>
        <w:rPr>
          <w:rFonts w:ascii="Times New Roman" w:hAnsi="Times New Roman"/>
          <w:sz w:val="20"/>
        </w:rPr>
      </w:pPr>
      <w:r>
        <w:rPr>
          <w:rFonts w:ascii="Times New Roman" w:hAnsi="Times New Roman"/>
          <w:sz w:val="20"/>
        </w:rPr>
        <w:t xml:space="preserve">As Representatives of the several underwriters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54"/>
        <w:gridCol w:w="114"/>
        <w:gridCol w:w="4108"/>
        <w:gridCol w:w="114"/>
        <w:gridCol w:w="467"/>
        <w:gridCol w:w="114"/>
        <w:gridCol w:w="315"/>
        <w:gridCol w:w="114"/>
        <w:gridCol w:w="4005"/>
      </w:tblGrid>
      <w:tr>
        <w:trPr/>
        <w:tc>
          <w:tcPr>
            <w:tcW w:w="85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10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005" w:type="dxa"/>
            <w:tcBorders/>
            <w:shd w:fill="auto" w:val="clear"/>
            <w:vAlign w:val="center"/>
          </w:tcPr>
          <w:p>
            <w:pPr>
              <w:pStyle w:val="TableContents"/>
              <w:spacing w:before="0" w:after="283"/>
              <w:rPr>
                <w:sz w:val="4"/>
                <w:szCs w:val="4"/>
              </w:rPr>
            </w:pPr>
            <w:r>
              <w:rPr>
                <w:sz w:val="4"/>
                <w:szCs w:val="4"/>
              </w:rPr>
            </w:r>
          </w:p>
        </w:tc>
      </w:tr>
      <w:tr>
        <w:trPr/>
        <w:tc>
          <w:tcPr>
            <w:tcW w:w="507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J.P. Morgan Securities LLC</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43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Merrill Lynch, Pierce, Fenner &amp; Smith Incorporated</w:t>
            </w:r>
          </w:p>
        </w:tc>
      </w:tr>
      <w:tr>
        <w:trPr>
          <w:trHeight w:val="240" w:hRule="atLeast"/>
        </w:trPr>
        <w:tc>
          <w:tcPr>
            <w:tcW w:w="854" w:type="dxa"/>
            <w:tcBorders/>
            <w:shd w:fill="auto" w:val="clear"/>
            <w:vAlign w:val="center"/>
          </w:tcPr>
          <w:p>
            <w:pPr>
              <w:pStyle w:val="TableContents"/>
              <w:spacing w:before="0" w:after="283"/>
              <w:rPr>
                <w:sz w:val="4"/>
                <w:szCs w:val="4"/>
              </w:rPr>
            </w:pPr>
            <w:r>
              <w:rPr>
                <w:sz w:val="4"/>
                <w:szCs w:val="4"/>
              </w:rPr>
            </w:r>
          </w:p>
        </w:tc>
        <w:tc>
          <w:tcPr>
            <w:tcW w:w="4222" w:type="dxa"/>
            <w:gridSpan w:val="2"/>
            <w:tcBorders/>
            <w:shd w:fill="auto" w:val="clear"/>
            <w:vAlign w:val="center"/>
          </w:tcPr>
          <w:p>
            <w:pPr>
              <w:pStyle w:val="TableContents"/>
              <w:spacing w:before="0" w:after="283"/>
              <w:rPr>
                <w:sz w:val="4"/>
                <w:szCs w:val="4"/>
              </w:rPr>
            </w:pPr>
            <w:r>
              <w:rPr>
                <w:sz w:val="4"/>
                <w:szCs w:val="4"/>
              </w:rPr>
            </w:r>
          </w:p>
        </w:tc>
        <w:tc>
          <w:tcPr>
            <w:tcW w:w="581" w:type="dxa"/>
            <w:gridSpan w:val="2"/>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119" w:type="dxa"/>
            <w:gridSpan w:val="2"/>
            <w:tcBorders/>
            <w:shd w:fill="auto" w:val="clear"/>
            <w:vAlign w:val="center"/>
          </w:tcPr>
          <w:p>
            <w:pPr>
              <w:pStyle w:val="TableContents"/>
              <w:spacing w:before="0" w:after="283"/>
              <w:rPr>
                <w:sz w:val="4"/>
                <w:szCs w:val="4"/>
              </w:rPr>
            </w:pPr>
            <w:r>
              <w:rPr>
                <w:sz w:val="4"/>
                <w:szCs w:val="4"/>
              </w:rPr>
            </w:r>
          </w:p>
        </w:tc>
      </w:tr>
      <w:tr>
        <w:trPr/>
        <w:tc>
          <w:tcPr>
            <w:tcW w:w="854" w:type="dxa"/>
            <w:tcBorders/>
            <w:shd w:fill="auto" w:val="clear"/>
          </w:tcPr>
          <w:p>
            <w:pPr>
              <w:pStyle w:val="TableContents"/>
              <w:spacing w:before="0" w:after="283"/>
              <w:rPr/>
            </w:pPr>
            <w:r>
              <w:rPr/>
              <w:t>        </w:t>
            </w:r>
            <w:r>
              <w:rPr>
                <w:rFonts w:ascii="Times New Roman" w:hAnsi="Times New Roman"/>
                <w:sz w:val="20"/>
              </w:rPr>
              <w:t>By:</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c>
          <w:tcPr>
            <w:tcW w:w="410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Robert Bottamedi</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c>
          <w:tcPr>
            <w:tcW w:w="400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Keith Harman</w:t>
            </w:r>
          </w:p>
        </w:tc>
      </w:tr>
      <w:tr>
        <w:trPr/>
        <w:tc>
          <w:tcPr>
            <w:tcW w:w="85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08" w:type="dxa"/>
            <w:tcBorders/>
            <w:shd w:fill="auto" w:val="clear"/>
          </w:tcPr>
          <w:p>
            <w:pPr>
              <w:pStyle w:val="TableContents"/>
              <w:spacing w:before="0" w:after="0"/>
              <w:rPr>
                <w:rFonts w:ascii="Times New Roman" w:hAnsi="Times New Roman"/>
                <w:sz w:val="20"/>
              </w:rPr>
            </w:pPr>
            <w:r>
              <w:rPr>
                <w:rFonts w:ascii="Times New Roman" w:hAnsi="Times New Roman"/>
                <w:sz w:val="20"/>
              </w:rPr>
              <w:t>Name: Robert Bottamedi</w:t>
            </w:r>
          </w:p>
          <w:p>
            <w:pPr>
              <w:pStyle w:val="TableContents"/>
              <w:spacing w:before="0" w:after="15"/>
              <w:rPr>
                <w:rFonts w:ascii="Times New Roman" w:hAnsi="Times New Roman"/>
                <w:sz w:val="20"/>
              </w:rPr>
            </w:pPr>
            <w:r>
              <w:rPr>
                <w:rFonts w:ascii="Times New Roman" w:hAnsi="Times New Roman"/>
                <w:sz w:val="20"/>
              </w:rPr>
              <w:t>Title: Vice President</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0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Keith Harman</w:t>
            </w:r>
          </w:p>
          <w:p>
            <w:pPr>
              <w:pStyle w:val="TableContents"/>
              <w:spacing w:before="0" w:after="15"/>
              <w:rPr>
                <w:rFonts w:ascii="Times New Roman" w:hAnsi="Times New Roman"/>
                <w:sz w:val="20"/>
              </w:rPr>
            </w:pPr>
            <w:r>
              <w:rPr>
                <w:rFonts w:ascii="Times New Roman" w:hAnsi="Times New Roman"/>
                <w:sz w:val="20"/>
              </w:rPr>
              <w:t>Title: Managing Director</w:t>
            </w:r>
          </w:p>
        </w:tc>
      </w:tr>
      <w:tr>
        <w:trPr>
          <w:trHeight w:val="240" w:hRule="atLeast"/>
        </w:trPr>
        <w:tc>
          <w:tcPr>
            <w:tcW w:w="5076" w:type="dxa"/>
            <w:gridSpan w:val="3"/>
            <w:tcBorders/>
            <w:shd w:fill="auto" w:val="clear"/>
            <w:vAlign w:val="center"/>
          </w:tcPr>
          <w:p>
            <w:pPr>
              <w:pStyle w:val="TableContents"/>
              <w:spacing w:before="0" w:after="283"/>
              <w:rPr>
                <w:sz w:val="4"/>
                <w:szCs w:val="4"/>
              </w:rPr>
            </w:pPr>
            <w:r>
              <w:rPr>
                <w:sz w:val="4"/>
                <w:szCs w:val="4"/>
              </w:rPr>
            </w:r>
          </w:p>
        </w:tc>
        <w:tc>
          <w:tcPr>
            <w:tcW w:w="581" w:type="dxa"/>
            <w:gridSpan w:val="2"/>
            <w:tcBorders/>
            <w:shd w:fill="auto" w:val="clear"/>
            <w:vAlign w:val="center"/>
          </w:tcPr>
          <w:p>
            <w:pPr>
              <w:pStyle w:val="TableContents"/>
              <w:spacing w:before="0" w:after="283"/>
              <w:rPr>
                <w:sz w:val="4"/>
                <w:szCs w:val="4"/>
              </w:rPr>
            </w:pPr>
            <w:r>
              <w:rPr>
                <w:sz w:val="4"/>
                <w:szCs w:val="4"/>
              </w:rPr>
            </w:r>
          </w:p>
        </w:tc>
        <w:tc>
          <w:tcPr>
            <w:tcW w:w="4548" w:type="dxa"/>
            <w:gridSpan w:val="4"/>
            <w:tcBorders/>
            <w:shd w:fill="auto" w:val="clear"/>
            <w:vAlign w:val="center"/>
          </w:tcPr>
          <w:p>
            <w:pPr>
              <w:pStyle w:val="TableContents"/>
              <w:spacing w:before="0" w:after="283"/>
              <w:rPr>
                <w:sz w:val="4"/>
                <w:szCs w:val="4"/>
              </w:rPr>
            </w:pPr>
            <w:r>
              <w:rPr>
                <w:sz w:val="4"/>
                <w:szCs w:val="4"/>
              </w:rPr>
            </w:r>
          </w:p>
        </w:tc>
      </w:tr>
      <w:tr>
        <w:trPr/>
        <w:tc>
          <w:tcPr>
            <w:tcW w:w="507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UBS Securities LLC</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43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Wells Fargo Securities, LLC</w:t>
            </w:r>
          </w:p>
        </w:tc>
      </w:tr>
      <w:tr>
        <w:trPr>
          <w:trHeight w:val="240" w:hRule="atLeast"/>
        </w:trPr>
        <w:tc>
          <w:tcPr>
            <w:tcW w:w="854" w:type="dxa"/>
            <w:tcBorders/>
            <w:shd w:fill="auto" w:val="clear"/>
            <w:vAlign w:val="center"/>
          </w:tcPr>
          <w:p>
            <w:pPr>
              <w:pStyle w:val="TableContents"/>
              <w:spacing w:before="0" w:after="283"/>
              <w:rPr>
                <w:sz w:val="4"/>
                <w:szCs w:val="4"/>
              </w:rPr>
            </w:pPr>
            <w:r>
              <w:rPr>
                <w:sz w:val="4"/>
                <w:szCs w:val="4"/>
              </w:rPr>
            </w:r>
          </w:p>
        </w:tc>
        <w:tc>
          <w:tcPr>
            <w:tcW w:w="4222" w:type="dxa"/>
            <w:gridSpan w:val="2"/>
            <w:tcBorders/>
            <w:shd w:fill="auto" w:val="clear"/>
            <w:vAlign w:val="center"/>
          </w:tcPr>
          <w:p>
            <w:pPr>
              <w:pStyle w:val="TableContents"/>
              <w:spacing w:before="0" w:after="283"/>
              <w:rPr>
                <w:sz w:val="4"/>
                <w:szCs w:val="4"/>
              </w:rPr>
            </w:pPr>
            <w:r>
              <w:rPr>
                <w:sz w:val="4"/>
                <w:szCs w:val="4"/>
              </w:rPr>
            </w:r>
          </w:p>
        </w:tc>
        <w:tc>
          <w:tcPr>
            <w:tcW w:w="581" w:type="dxa"/>
            <w:gridSpan w:val="2"/>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119" w:type="dxa"/>
            <w:gridSpan w:val="2"/>
            <w:tcBorders/>
            <w:shd w:fill="auto" w:val="clear"/>
            <w:vAlign w:val="center"/>
          </w:tcPr>
          <w:p>
            <w:pPr>
              <w:pStyle w:val="TableContents"/>
              <w:spacing w:before="0" w:after="283"/>
              <w:rPr>
                <w:sz w:val="4"/>
                <w:szCs w:val="4"/>
              </w:rPr>
            </w:pPr>
            <w:r>
              <w:rPr>
                <w:sz w:val="4"/>
                <w:szCs w:val="4"/>
              </w:rPr>
            </w:r>
          </w:p>
        </w:tc>
      </w:tr>
      <w:tr>
        <w:trPr/>
        <w:tc>
          <w:tcPr>
            <w:tcW w:w="854" w:type="dxa"/>
            <w:tcBorders/>
            <w:shd w:fill="auto" w:val="clear"/>
          </w:tcPr>
          <w:p>
            <w:pPr>
              <w:pStyle w:val="TableContents"/>
              <w:spacing w:before="0" w:after="283"/>
              <w:rPr/>
            </w:pPr>
            <w:r>
              <w:rPr/>
              <w:t>        </w:t>
            </w:r>
            <w:r>
              <w:rPr>
                <w:rFonts w:ascii="Times New Roman" w:hAnsi="Times New Roman"/>
                <w:sz w:val="20"/>
              </w:rPr>
              <w:t>By:</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c>
          <w:tcPr>
            <w:tcW w:w="410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Scott Whitney</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c>
          <w:tcPr>
            <w:tcW w:w="400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Carolyn Hurley</w:t>
            </w:r>
          </w:p>
        </w:tc>
      </w:tr>
      <w:tr>
        <w:trPr/>
        <w:tc>
          <w:tcPr>
            <w:tcW w:w="85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08" w:type="dxa"/>
            <w:tcBorders/>
            <w:shd w:fill="auto" w:val="clear"/>
          </w:tcPr>
          <w:p>
            <w:pPr>
              <w:pStyle w:val="TableContents"/>
              <w:spacing w:before="0" w:after="0"/>
              <w:rPr>
                <w:rFonts w:ascii="Times New Roman" w:hAnsi="Times New Roman"/>
                <w:sz w:val="20"/>
              </w:rPr>
            </w:pPr>
            <w:r>
              <w:rPr>
                <w:rFonts w:ascii="Times New Roman" w:hAnsi="Times New Roman"/>
                <w:sz w:val="20"/>
              </w:rPr>
              <w:t>Name: Scott Whitney</w:t>
            </w:r>
          </w:p>
          <w:p>
            <w:pPr>
              <w:pStyle w:val="TableContents"/>
              <w:spacing w:before="0" w:after="15"/>
              <w:rPr>
                <w:rFonts w:ascii="Times New Roman" w:hAnsi="Times New Roman"/>
                <w:sz w:val="20"/>
              </w:rPr>
            </w:pPr>
            <w:r>
              <w:rPr>
                <w:rFonts w:ascii="Times New Roman" w:hAnsi="Times New Roman"/>
                <w:sz w:val="20"/>
              </w:rPr>
              <w:t>Title: Managing Director</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0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Carolyn Hurley</w:t>
            </w:r>
          </w:p>
          <w:p>
            <w:pPr>
              <w:pStyle w:val="TableContents"/>
              <w:spacing w:before="0" w:after="15"/>
              <w:rPr>
                <w:rFonts w:ascii="Times New Roman" w:hAnsi="Times New Roman"/>
                <w:sz w:val="20"/>
              </w:rPr>
            </w:pPr>
            <w:r>
              <w:rPr>
                <w:rFonts w:ascii="Times New Roman" w:hAnsi="Times New Roman"/>
                <w:sz w:val="20"/>
              </w:rPr>
              <w:t>Title: Director</w:t>
            </w:r>
          </w:p>
        </w:tc>
      </w:tr>
      <w:tr>
        <w:trPr>
          <w:trHeight w:val="240" w:hRule="atLeast"/>
        </w:trPr>
        <w:tc>
          <w:tcPr>
            <w:tcW w:w="854" w:type="dxa"/>
            <w:tcBorders/>
            <w:shd w:fill="auto" w:val="clear"/>
            <w:vAlign w:val="center"/>
          </w:tcPr>
          <w:p>
            <w:pPr>
              <w:pStyle w:val="TableContents"/>
              <w:spacing w:before="0" w:after="283"/>
              <w:rPr>
                <w:sz w:val="4"/>
                <w:szCs w:val="4"/>
              </w:rPr>
            </w:pPr>
            <w:r>
              <w:rPr>
                <w:sz w:val="4"/>
                <w:szCs w:val="4"/>
              </w:rPr>
            </w:r>
          </w:p>
        </w:tc>
        <w:tc>
          <w:tcPr>
            <w:tcW w:w="4222" w:type="dxa"/>
            <w:gridSpan w:val="2"/>
            <w:tcBorders/>
            <w:shd w:fill="auto" w:val="clear"/>
            <w:vAlign w:val="center"/>
          </w:tcPr>
          <w:p>
            <w:pPr>
              <w:pStyle w:val="TableContents"/>
              <w:spacing w:before="0" w:after="283"/>
              <w:rPr>
                <w:sz w:val="4"/>
                <w:szCs w:val="4"/>
              </w:rPr>
            </w:pPr>
            <w:r>
              <w:rPr>
                <w:sz w:val="4"/>
                <w:szCs w:val="4"/>
              </w:rPr>
            </w:r>
          </w:p>
        </w:tc>
        <w:tc>
          <w:tcPr>
            <w:tcW w:w="581" w:type="dxa"/>
            <w:gridSpan w:val="2"/>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119" w:type="dxa"/>
            <w:gridSpan w:val="2"/>
            <w:tcBorders/>
            <w:shd w:fill="auto" w:val="clear"/>
            <w:vAlign w:val="center"/>
          </w:tcPr>
          <w:p>
            <w:pPr>
              <w:pStyle w:val="TableContents"/>
              <w:spacing w:before="0" w:after="283"/>
              <w:rPr>
                <w:sz w:val="4"/>
                <w:szCs w:val="4"/>
              </w:rPr>
            </w:pPr>
            <w:r>
              <w:rPr>
                <w:sz w:val="4"/>
                <w:szCs w:val="4"/>
              </w:rPr>
            </w:r>
          </w:p>
        </w:tc>
      </w:tr>
      <w:tr>
        <w:trPr/>
        <w:tc>
          <w:tcPr>
            <w:tcW w:w="854" w:type="dxa"/>
            <w:tcBorders/>
            <w:shd w:fill="auto" w:val="clear"/>
          </w:tcPr>
          <w:p>
            <w:pPr>
              <w:pStyle w:val="TableContents"/>
              <w:spacing w:before="0" w:after="283"/>
              <w:rPr/>
            </w:pPr>
            <w:r>
              <w:rPr/>
              <w:t>        </w:t>
            </w:r>
            <w:r>
              <w:rPr>
                <w:rFonts w:ascii="Times New Roman" w:hAnsi="Times New Roman"/>
                <w:sz w:val="20"/>
              </w:rPr>
              <w:t>By:</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c>
          <w:tcPr>
            <w:tcW w:w="410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Mark Spadaccini</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05" w:type="dxa"/>
            <w:tcBorders/>
            <w:shd w:fill="auto" w:val="clear"/>
          </w:tcPr>
          <w:p>
            <w:pPr>
              <w:pStyle w:val="TableContents"/>
              <w:spacing w:before="0" w:after="283"/>
              <w:rPr>
                <w:sz w:val="4"/>
                <w:szCs w:val="4"/>
              </w:rPr>
            </w:pPr>
            <w:r>
              <w:rPr>
                <w:sz w:val="4"/>
                <w:szCs w:val="4"/>
              </w:rPr>
            </w:r>
          </w:p>
        </w:tc>
      </w:tr>
      <w:tr>
        <w:trPr/>
        <w:tc>
          <w:tcPr>
            <w:tcW w:w="85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08" w:type="dxa"/>
            <w:tcBorders/>
            <w:shd w:fill="auto" w:val="clear"/>
          </w:tcPr>
          <w:p>
            <w:pPr>
              <w:pStyle w:val="TableContents"/>
              <w:spacing w:before="0" w:after="0"/>
              <w:rPr>
                <w:rFonts w:ascii="Times New Roman" w:hAnsi="Times New Roman"/>
                <w:sz w:val="20"/>
              </w:rPr>
            </w:pPr>
            <w:r>
              <w:rPr>
                <w:rFonts w:ascii="Times New Roman" w:hAnsi="Times New Roman"/>
                <w:sz w:val="20"/>
              </w:rPr>
              <w:t>Name: Mark Spadaccini</w:t>
            </w:r>
          </w:p>
          <w:p>
            <w:pPr>
              <w:pStyle w:val="TableContents"/>
              <w:spacing w:before="0" w:after="15"/>
              <w:rPr>
                <w:rFonts w:ascii="Times New Roman" w:hAnsi="Times New Roman"/>
                <w:sz w:val="20"/>
              </w:rPr>
            </w:pPr>
            <w:r>
              <w:rPr>
                <w:rFonts w:ascii="Times New Roman" w:hAnsi="Times New Roman"/>
                <w:sz w:val="20"/>
              </w:rPr>
              <w:t>Title: Director</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05"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5076" w:type="dxa"/>
            <w:gridSpan w:val="3"/>
            <w:tcBorders/>
            <w:shd w:fill="auto" w:val="clear"/>
            <w:vAlign w:val="center"/>
          </w:tcPr>
          <w:p>
            <w:pPr>
              <w:pStyle w:val="TableContents"/>
              <w:spacing w:before="0" w:after="283"/>
              <w:rPr>
                <w:sz w:val="4"/>
                <w:szCs w:val="4"/>
              </w:rPr>
            </w:pPr>
            <w:r>
              <w:rPr>
                <w:sz w:val="4"/>
                <w:szCs w:val="4"/>
              </w:rPr>
            </w:r>
          </w:p>
        </w:tc>
        <w:tc>
          <w:tcPr>
            <w:tcW w:w="581" w:type="dxa"/>
            <w:gridSpan w:val="2"/>
            <w:tcBorders/>
            <w:shd w:fill="auto" w:val="clear"/>
            <w:vAlign w:val="center"/>
          </w:tcPr>
          <w:p>
            <w:pPr>
              <w:pStyle w:val="TableContents"/>
              <w:spacing w:before="0" w:after="283"/>
              <w:rPr>
                <w:sz w:val="4"/>
                <w:szCs w:val="4"/>
              </w:rPr>
            </w:pPr>
            <w:r>
              <w:rPr>
                <w:sz w:val="4"/>
                <w:szCs w:val="4"/>
              </w:rPr>
            </w:r>
          </w:p>
        </w:tc>
        <w:tc>
          <w:tcPr>
            <w:tcW w:w="4548" w:type="dxa"/>
            <w:gridSpan w:val="4"/>
            <w:tcBorders/>
            <w:shd w:fill="auto" w:val="clear"/>
            <w:vAlign w:val="center"/>
          </w:tcPr>
          <w:p>
            <w:pPr>
              <w:pStyle w:val="TableContents"/>
              <w:spacing w:before="0" w:after="283"/>
              <w:rPr>
                <w:sz w:val="4"/>
                <w:szCs w:val="4"/>
              </w:rPr>
            </w:pPr>
            <w:r>
              <w:rPr>
                <w:sz w:val="4"/>
                <w:szCs w:val="4"/>
              </w:rPr>
            </w:r>
          </w:p>
        </w:tc>
      </w:tr>
      <w:tr>
        <w:trPr/>
        <w:tc>
          <w:tcPr>
            <w:tcW w:w="507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DNB Markets Inc.</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43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Mizuho Securities USA Inc.</w:t>
            </w:r>
          </w:p>
        </w:tc>
      </w:tr>
      <w:tr>
        <w:trPr>
          <w:trHeight w:val="240" w:hRule="atLeast"/>
        </w:trPr>
        <w:tc>
          <w:tcPr>
            <w:tcW w:w="854" w:type="dxa"/>
            <w:tcBorders/>
            <w:shd w:fill="auto" w:val="clear"/>
            <w:vAlign w:val="center"/>
          </w:tcPr>
          <w:p>
            <w:pPr>
              <w:pStyle w:val="TableContents"/>
              <w:spacing w:before="0" w:after="283"/>
              <w:rPr>
                <w:sz w:val="4"/>
                <w:szCs w:val="4"/>
              </w:rPr>
            </w:pPr>
            <w:r>
              <w:rPr>
                <w:sz w:val="4"/>
                <w:szCs w:val="4"/>
              </w:rPr>
            </w:r>
          </w:p>
        </w:tc>
        <w:tc>
          <w:tcPr>
            <w:tcW w:w="4222" w:type="dxa"/>
            <w:gridSpan w:val="2"/>
            <w:tcBorders/>
            <w:shd w:fill="auto" w:val="clear"/>
            <w:vAlign w:val="center"/>
          </w:tcPr>
          <w:p>
            <w:pPr>
              <w:pStyle w:val="TableContents"/>
              <w:spacing w:before="0" w:after="283"/>
              <w:rPr>
                <w:sz w:val="4"/>
                <w:szCs w:val="4"/>
              </w:rPr>
            </w:pPr>
            <w:r>
              <w:rPr>
                <w:sz w:val="4"/>
                <w:szCs w:val="4"/>
              </w:rPr>
            </w:r>
          </w:p>
        </w:tc>
        <w:tc>
          <w:tcPr>
            <w:tcW w:w="581" w:type="dxa"/>
            <w:gridSpan w:val="2"/>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119" w:type="dxa"/>
            <w:gridSpan w:val="2"/>
            <w:tcBorders/>
            <w:shd w:fill="auto" w:val="clear"/>
            <w:vAlign w:val="center"/>
          </w:tcPr>
          <w:p>
            <w:pPr>
              <w:pStyle w:val="TableContents"/>
              <w:spacing w:before="0" w:after="283"/>
              <w:rPr>
                <w:sz w:val="4"/>
                <w:szCs w:val="4"/>
              </w:rPr>
            </w:pPr>
            <w:r>
              <w:rPr>
                <w:sz w:val="4"/>
                <w:szCs w:val="4"/>
              </w:rPr>
            </w:r>
          </w:p>
        </w:tc>
      </w:tr>
      <w:tr>
        <w:trPr/>
        <w:tc>
          <w:tcPr>
            <w:tcW w:w="854" w:type="dxa"/>
            <w:tcBorders/>
            <w:shd w:fill="auto" w:val="clear"/>
          </w:tcPr>
          <w:p>
            <w:pPr>
              <w:pStyle w:val="TableContents"/>
              <w:spacing w:before="0" w:after="283"/>
              <w:rPr/>
            </w:pPr>
            <w:r>
              <w:rPr/>
              <w:t>        </w:t>
            </w:r>
            <w:r>
              <w:rPr>
                <w:rFonts w:ascii="Times New Roman" w:hAnsi="Times New Roman"/>
                <w:sz w:val="20"/>
              </w:rPr>
              <w:t>By:</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c>
          <w:tcPr>
            <w:tcW w:w="410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David B. Lawrence, III</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c>
          <w:tcPr>
            <w:tcW w:w="400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James Shepard</w:t>
            </w:r>
          </w:p>
        </w:tc>
      </w:tr>
      <w:tr>
        <w:trPr/>
        <w:tc>
          <w:tcPr>
            <w:tcW w:w="85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08" w:type="dxa"/>
            <w:tcBorders/>
            <w:shd w:fill="auto" w:val="clear"/>
          </w:tcPr>
          <w:p>
            <w:pPr>
              <w:pStyle w:val="TableContents"/>
              <w:spacing w:before="0" w:after="0"/>
              <w:rPr>
                <w:rFonts w:ascii="Times New Roman" w:hAnsi="Times New Roman"/>
                <w:sz w:val="20"/>
              </w:rPr>
            </w:pPr>
            <w:r>
              <w:rPr>
                <w:rFonts w:ascii="Times New Roman" w:hAnsi="Times New Roman"/>
                <w:sz w:val="20"/>
              </w:rPr>
              <w:t>Name: David B. Lawrence, III</w:t>
            </w:r>
          </w:p>
          <w:p>
            <w:pPr>
              <w:pStyle w:val="TableContents"/>
              <w:spacing w:before="0" w:after="15"/>
              <w:rPr>
                <w:rFonts w:ascii="Times New Roman" w:hAnsi="Times New Roman"/>
                <w:sz w:val="20"/>
              </w:rPr>
            </w:pPr>
            <w:r>
              <w:rPr>
                <w:rFonts w:ascii="Times New Roman" w:hAnsi="Times New Roman"/>
                <w:sz w:val="20"/>
              </w:rPr>
              <w:t>Title: Managing Director</w:t>
            </w:r>
          </w:p>
        </w:tc>
        <w:tc>
          <w:tcPr>
            <w:tcW w:w="114" w:type="dxa"/>
            <w:tcBorders/>
            <w:shd w:fill="auto" w:val="clear"/>
            <w:vAlign w:val="bottom"/>
          </w:tcPr>
          <w:p>
            <w:pPr>
              <w:pStyle w:val="TableContents"/>
              <w:spacing w:before="0" w:after="283"/>
              <w:rPr/>
            </w:pPr>
            <w:r>
              <w:rPr/>
              <w:t> </w:t>
            </w:r>
          </w:p>
        </w:tc>
        <w:tc>
          <w:tcPr>
            <w:tcW w:w="467"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0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James Shepard</w:t>
            </w:r>
          </w:p>
          <w:p>
            <w:pPr>
              <w:pStyle w:val="TableContents"/>
              <w:spacing w:before="0" w:after="15"/>
              <w:rPr>
                <w:rFonts w:ascii="Times New Roman" w:hAnsi="Times New Roman"/>
                <w:sz w:val="20"/>
              </w:rPr>
            </w:pPr>
            <w:r>
              <w:rPr>
                <w:rFonts w:ascii="Times New Roman" w:hAnsi="Times New Roman"/>
                <w:sz w:val="20"/>
              </w:rPr>
              <w:t>Title: Managing Director</w:t>
            </w:r>
          </w:p>
        </w:tc>
      </w:tr>
    </w:tbl>
    <w:p>
      <w:pPr>
        <w:pStyle w:val="TextBody"/>
        <w:spacing w:before="180" w:after="0"/>
        <w:jc w:val="center"/>
        <w:rPr>
          <w:rFonts w:ascii="Times New Roman" w:hAnsi="Times New Roman"/>
          <w:i/>
          <w:sz w:val="20"/>
        </w:rPr>
      </w:pPr>
      <w:r>
        <w:rPr>
          <w:rFonts w:ascii="Times New Roman" w:hAnsi="Times New Roman"/>
          <w:i/>
          <w:sz w:val="20"/>
        </w:rPr>
        <w:t xml:space="preserve">Underwriters Signature Page to Underwriting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u w:val="single"/>
        </w:rPr>
      </w:pPr>
      <w:r>
        <w:rPr>
          <w:rFonts w:ascii="Times New Roman" w:hAnsi="Times New Roman"/>
          <w:b/>
          <w:sz w:val="20"/>
          <w:u w:val="single"/>
        </w:rPr>
        <w:t xml:space="preserve">SCHEDULE I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115"/>
        <w:gridCol w:w="464"/>
        <w:gridCol w:w="132"/>
        <w:gridCol w:w="1101"/>
        <w:gridCol w:w="120"/>
        <w:gridCol w:w="464"/>
        <w:gridCol w:w="132"/>
        <w:gridCol w:w="1101"/>
        <w:gridCol w:w="126"/>
      </w:tblGrid>
      <w:tr>
        <w:trPr/>
        <w:tc>
          <w:tcPr>
            <w:tcW w:w="4115"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11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Underwriters</w:t>
            </w:r>
          </w:p>
        </w:tc>
        <w:tc>
          <w:tcPr>
            <w:tcW w:w="464" w:type="dxa"/>
            <w:tcBorders/>
            <w:shd w:fill="auto" w:val="clear"/>
            <w:vAlign w:val="bottom"/>
          </w:tcPr>
          <w:p>
            <w:pPr>
              <w:pStyle w:val="TableContents"/>
              <w:spacing w:before="0" w:after="283"/>
              <w:rPr/>
            </w:pPr>
            <w:r>
              <w:rPr/>
              <w:t>  </w:t>
            </w:r>
          </w:p>
        </w:tc>
        <w:tc>
          <w:tcPr>
            <w:tcW w:w="12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Principal Amount of</w:t>
              <w:br/>
              <w:t>2022 Notes to be</w:t>
              <w:br/>
              <w:t>Purchased</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Principal Amount of</w:t>
              <w:br/>
              <w:t>2042 Notes to be</w:t>
              <w:br/>
              <w:t>Purchased</w:t>
            </w:r>
          </w:p>
        </w:tc>
        <w:tc>
          <w:tcPr>
            <w:tcW w:w="126" w:type="dxa"/>
            <w:tcBorders/>
            <w:shd w:fill="auto" w:val="clear"/>
            <w:vAlign w:val="bottom"/>
          </w:tcPr>
          <w:p>
            <w:pPr>
              <w:pStyle w:val="TableContents"/>
              <w:spacing w:before="0" w:after="283"/>
              <w:rPr/>
            </w:pPr>
            <w:r>
              <w:rPr/>
              <w:t> </w:t>
            </w:r>
          </w:p>
        </w:tc>
      </w:tr>
      <w:tr>
        <w:trPr/>
        <w:tc>
          <w:tcPr>
            <w:tcW w:w="4115" w:type="dxa"/>
            <w:tcBorders/>
            <w:shd w:fill="CCEEFF" w:val="clear"/>
          </w:tcPr>
          <w:p>
            <w:pPr>
              <w:pStyle w:val="TableContents"/>
              <w:spacing w:before="0" w:after="283"/>
              <w:rPr>
                <w:rFonts w:ascii="Times New Roman" w:hAnsi="Times New Roman"/>
                <w:sz w:val="20"/>
              </w:rPr>
            </w:pPr>
            <w:r>
              <w:rPr>
                <w:rFonts w:ascii="Times New Roman" w:hAnsi="Times New Roman"/>
                <w:sz w:val="20"/>
              </w:rPr>
              <w:t>J.P. Morgan Securities LLC</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6" w:type="dxa"/>
            <w:tcBorders/>
            <w:shd w:fill="CCEEFF" w:val="clear"/>
            <w:vAlign w:val="bottom"/>
          </w:tcPr>
          <w:p>
            <w:pPr>
              <w:pStyle w:val="TableContents"/>
              <w:spacing w:before="0" w:after="283"/>
              <w:rPr/>
            </w:pPr>
            <w:r>
              <w:rPr/>
              <w:t>  </w:t>
            </w:r>
          </w:p>
        </w:tc>
      </w:tr>
      <w:tr>
        <w:trPr/>
        <w:tc>
          <w:tcPr>
            <w:tcW w:w="4115" w:type="dxa"/>
            <w:tcBorders/>
            <w:shd w:fill="auto" w:val="clear"/>
          </w:tcPr>
          <w:p>
            <w:pPr>
              <w:pStyle w:val="TableContents"/>
              <w:spacing w:before="0" w:after="283"/>
              <w:rPr>
                <w:rFonts w:ascii="Times New Roman" w:hAnsi="Times New Roman"/>
                <w:sz w:val="20"/>
              </w:rPr>
            </w:pPr>
            <w:r>
              <w:rPr>
                <w:rFonts w:ascii="Times New Roman" w:hAnsi="Times New Roman"/>
                <w:sz w:val="20"/>
              </w:rPr>
              <w:t>Merrill Lynch, Pierce, Fenner &amp; Smith Incorporated</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6" w:type="dxa"/>
            <w:tcBorders/>
            <w:shd w:fill="auto" w:val="clear"/>
            <w:vAlign w:val="bottom"/>
          </w:tcPr>
          <w:p>
            <w:pPr>
              <w:pStyle w:val="TableContents"/>
              <w:spacing w:before="0" w:after="283"/>
              <w:rPr/>
            </w:pPr>
            <w:r>
              <w:rPr/>
              <w:t>  </w:t>
            </w:r>
          </w:p>
        </w:tc>
      </w:tr>
      <w:tr>
        <w:trPr/>
        <w:tc>
          <w:tcPr>
            <w:tcW w:w="4115" w:type="dxa"/>
            <w:tcBorders/>
            <w:shd w:fill="CCEEFF" w:val="clear"/>
          </w:tcPr>
          <w:p>
            <w:pPr>
              <w:pStyle w:val="TableContents"/>
              <w:spacing w:before="0" w:after="283"/>
              <w:rPr>
                <w:rFonts w:ascii="Times New Roman" w:hAnsi="Times New Roman"/>
                <w:sz w:val="20"/>
              </w:rPr>
            </w:pPr>
            <w:r>
              <w:rPr>
                <w:rFonts w:ascii="Times New Roman" w:hAnsi="Times New Roman"/>
                <w:sz w:val="20"/>
              </w:rPr>
              <w:t>UBS Securities LLC</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6" w:type="dxa"/>
            <w:tcBorders/>
            <w:shd w:fill="CCEEFF" w:val="clear"/>
            <w:vAlign w:val="bottom"/>
          </w:tcPr>
          <w:p>
            <w:pPr>
              <w:pStyle w:val="TableContents"/>
              <w:spacing w:before="0" w:after="283"/>
              <w:rPr/>
            </w:pPr>
            <w:r>
              <w:rPr/>
              <w:t>  </w:t>
            </w:r>
          </w:p>
        </w:tc>
      </w:tr>
      <w:tr>
        <w:trPr/>
        <w:tc>
          <w:tcPr>
            <w:tcW w:w="4115" w:type="dxa"/>
            <w:tcBorders/>
            <w:shd w:fill="auto" w:val="clear"/>
          </w:tcPr>
          <w:p>
            <w:pPr>
              <w:pStyle w:val="TableContents"/>
              <w:spacing w:before="0" w:after="283"/>
              <w:rPr>
                <w:rFonts w:ascii="Times New Roman" w:hAnsi="Times New Roman"/>
                <w:sz w:val="20"/>
              </w:rPr>
            </w:pPr>
            <w:r>
              <w:rPr>
                <w:rFonts w:ascii="Times New Roman" w:hAnsi="Times New Roman"/>
                <w:sz w:val="20"/>
              </w:rPr>
              <w:t>Wells Fargo Securities, LLC</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6" w:type="dxa"/>
            <w:tcBorders/>
            <w:shd w:fill="auto" w:val="clear"/>
            <w:vAlign w:val="bottom"/>
          </w:tcPr>
          <w:p>
            <w:pPr>
              <w:pStyle w:val="TableContents"/>
              <w:spacing w:before="0" w:after="283"/>
              <w:rPr/>
            </w:pPr>
            <w:r>
              <w:rPr/>
              <w:t>  </w:t>
            </w:r>
          </w:p>
        </w:tc>
      </w:tr>
      <w:tr>
        <w:trPr/>
        <w:tc>
          <w:tcPr>
            <w:tcW w:w="4115" w:type="dxa"/>
            <w:tcBorders/>
            <w:shd w:fill="CCEEFF" w:val="clear"/>
          </w:tcPr>
          <w:p>
            <w:pPr>
              <w:pStyle w:val="TableContents"/>
              <w:spacing w:before="0" w:after="283"/>
              <w:rPr>
                <w:rFonts w:ascii="Times New Roman" w:hAnsi="Times New Roman"/>
                <w:sz w:val="20"/>
              </w:rPr>
            </w:pPr>
            <w:r>
              <w:rPr>
                <w:rFonts w:ascii="Times New Roman" w:hAnsi="Times New Roman"/>
                <w:sz w:val="20"/>
              </w:rPr>
              <w:t>DNB Markets, Inc.</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6" w:type="dxa"/>
            <w:tcBorders/>
            <w:shd w:fill="CCEEFF" w:val="clear"/>
            <w:vAlign w:val="bottom"/>
          </w:tcPr>
          <w:p>
            <w:pPr>
              <w:pStyle w:val="TableContents"/>
              <w:spacing w:before="0" w:after="283"/>
              <w:rPr/>
            </w:pPr>
            <w:r>
              <w:rPr/>
              <w:t>  </w:t>
            </w:r>
          </w:p>
        </w:tc>
      </w:tr>
      <w:tr>
        <w:trPr/>
        <w:tc>
          <w:tcPr>
            <w:tcW w:w="4115" w:type="dxa"/>
            <w:tcBorders/>
            <w:shd w:fill="auto" w:val="clear"/>
          </w:tcPr>
          <w:p>
            <w:pPr>
              <w:pStyle w:val="TableContents"/>
              <w:spacing w:before="0" w:after="283"/>
              <w:rPr>
                <w:rFonts w:ascii="Times New Roman" w:hAnsi="Times New Roman"/>
                <w:sz w:val="20"/>
              </w:rPr>
            </w:pPr>
            <w:r>
              <w:rPr>
                <w:rFonts w:ascii="Times New Roman" w:hAnsi="Times New Roman"/>
                <w:sz w:val="20"/>
              </w:rPr>
              <w:t>Mizuho Securities USA Inc.</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6" w:type="dxa"/>
            <w:tcBorders/>
            <w:shd w:fill="auto" w:val="clear"/>
            <w:vAlign w:val="bottom"/>
          </w:tcPr>
          <w:p>
            <w:pPr>
              <w:pStyle w:val="TableContents"/>
              <w:spacing w:before="0" w:after="283"/>
              <w:rPr/>
            </w:pPr>
            <w:r>
              <w:rPr/>
              <w:t>  </w:t>
            </w:r>
          </w:p>
        </w:tc>
      </w:tr>
      <w:tr>
        <w:trPr/>
        <w:tc>
          <w:tcPr>
            <w:tcW w:w="4115" w:type="dxa"/>
            <w:tcBorders/>
            <w:shd w:fill="CCEEFF" w:val="clear"/>
          </w:tcPr>
          <w:p>
            <w:pPr>
              <w:pStyle w:val="TableContents"/>
              <w:spacing w:before="0" w:after="283"/>
              <w:rPr>
                <w:rFonts w:ascii="Times New Roman" w:hAnsi="Times New Roman"/>
                <w:sz w:val="20"/>
              </w:rPr>
            </w:pPr>
            <w:r>
              <w:rPr>
                <w:rFonts w:ascii="Times New Roman" w:hAnsi="Times New Roman"/>
                <w:sz w:val="20"/>
              </w:rPr>
              <w:t>BMO Capital Markets Corp.</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6" w:type="dxa"/>
            <w:tcBorders/>
            <w:shd w:fill="CCEEFF" w:val="clear"/>
            <w:vAlign w:val="bottom"/>
          </w:tcPr>
          <w:p>
            <w:pPr>
              <w:pStyle w:val="TableContents"/>
              <w:spacing w:before="0" w:after="283"/>
              <w:rPr/>
            </w:pPr>
            <w:r>
              <w:rPr/>
              <w:t>  </w:t>
            </w:r>
          </w:p>
        </w:tc>
      </w:tr>
      <w:tr>
        <w:trPr/>
        <w:tc>
          <w:tcPr>
            <w:tcW w:w="4115" w:type="dxa"/>
            <w:tcBorders/>
            <w:shd w:fill="auto" w:val="clear"/>
          </w:tcPr>
          <w:p>
            <w:pPr>
              <w:pStyle w:val="TableContents"/>
              <w:spacing w:before="0" w:after="283"/>
              <w:rPr>
                <w:rFonts w:ascii="Times New Roman" w:hAnsi="Times New Roman"/>
                <w:sz w:val="20"/>
              </w:rPr>
            </w:pPr>
            <w:r>
              <w:rPr>
                <w:rFonts w:ascii="Times New Roman" w:hAnsi="Times New Roman"/>
                <w:sz w:val="20"/>
              </w:rPr>
              <w:t>Comerica Securities, Inc.</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6" w:type="dxa"/>
            <w:tcBorders/>
            <w:shd w:fill="auto" w:val="clear"/>
            <w:vAlign w:val="bottom"/>
          </w:tcPr>
          <w:p>
            <w:pPr>
              <w:pStyle w:val="TableContents"/>
              <w:spacing w:before="0" w:after="283"/>
              <w:rPr/>
            </w:pPr>
            <w:r>
              <w:rPr/>
              <w:t>  </w:t>
            </w:r>
          </w:p>
        </w:tc>
      </w:tr>
      <w:tr>
        <w:trPr/>
        <w:tc>
          <w:tcPr>
            <w:tcW w:w="4115" w:type="dxa"/>
            <w:tcBorders/>
            <w:shd w:fill="CCEEFF" w:val="clear"/>
          </w:tcPr>
          <w:p>
            <w:pPr>
              <w:pStyle w:val="TableContents"/>
              <w:spacing w:before="0" w:after="283"/>
              <w:rPr>
                <w:rFonts w:ascii="Times New Roman" w:hAnsi="Times New Roman"/>
                <w:sz w:val="20"/>
              </w:rPr>
            </w:pPr>
            <w:r>
              <w:rPr>
                <w:rFonts w:ascii="Times New Roman" w:hAnsi="Times New Roman"/>
                <w:sz w:val="20"/>
              </w:rPr>
              <w:t>Fifth Third Securities, Inc.</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6" w:type="dxa"/>
            <w:tcBorders/>
            <w:shd w:fill="CCEEFF" w:val="clear"/>
            <w:vAlign w:val="bottom"/>
          </w:tcPr>
          <w:p>
            <w:pPr>
              <w:pStyle w:val="TableContents"/>
              <w:spacing w:before="0" w:after="283"/>
              <w:rPr/>
            </w:pPr>
            <w:r>
              <w:rPr/>
              <w:t>  </w:t>
            </w:r>
          </w:p>
        </w:tc>
      </w:tr>
      <w:tr>
        <w:trPr/>
        <w:tc>
          <w:tcPr>
            <w:tcW w:w="4115" w:type="dxa"/>
            <w:tcBorders/>
            <w:shd w:fill="auto" w:val="clear"/>
          </w:tcPr>
          <w:p>
            <w:pPr>
              <w:pStyle w:val="TableContents"/>
              <w:spacing w:before="0" w:after="283"/>
              <w:rPr>
                <w:rFonts w:ascii="Times New Roman" w:hAnsi="Times New Roman"/>
                <w:sz w:val="20"/>
              </w:rPr>
            </w:pPr>
            <w:r>
              <w:rPr>
                <w:rFonts w:ascii="Times New Roman" w:hAnsi="Times New Roman"/>
                <w:sz w:val="20"/>
              </w:rPr>
              <w:t>ING Financial Markets LLC</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6" w:type="dxa"/>
            <w:tcBorders/>
            <w:shd w:fill="auto" w:val="clear"/>
            <w:vAlign w:val="bottom"/>
          </w:tcPr>
          <w:p>
            <w:pPr>
              <w:pStyle w:val="TableContents"/>
              <w:spacing w:before="0" w:after="283"/>
              <w:rPr/>
            </w:pPr>
            <w:r>
              <w:rPr/>
              <w:t>  </w:t>
            </w:r>
          </w:p>
        </w:tc>
      </w:tr>
      <w:tr>
        <w:trPr/>
        <w:tc>
          <w:tcPr>
            <w:tcW w:w="4115" w:type="dxa"/>
            <w:tcBorders/>
            <w:shd w:fill="CCEEFF" w:val="clear"/>
          </w:tcPr>
          <w:p>
            <w:pPr>
              <w:pStyle w:val="TableContents"/>
              <w:spacing w:before="0" w:after="283"/>
              <w:rPr>
                <w:rFonts w:ascii="Times New Roman" w:hAnsi="Times New Roman"/>
                <w:sz w:val="20"/>
              </w:rPr>
            </w:pPr>
            <w:r>
              <w:rPr>
                <w:rFonts w:ascii="Times New Roman" w:hAnsi="Times New Roman"/>
                <w:sz w:val="20"/>
              </w:rPr>
              <w:t>Mitsubishi UFJ Securities (USA), Inc.</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6" w:type="dxa"/>
            <w:tcBorders/>
            <w:shd w:fill="CCEEFF" w:val="clear"/>
            <w:vAlign w:val="bottom"/>
          </w:tcPr>
          <w:p>
            <w:pPr>
              <w:pStyle w:val="TableContents"/>
              <w:spacing w:before="0" w:after="283"/>
              <w:rPr/>
            </w:pPr>
            <w:r>
              <w:rPr/>
              <w:t>  </w:t>
            </w:r>
          </w:p>
        </w:tc>
      </w:tr>
      <w:tr>
        <w:trPr/>
        <w:tc>
          <w:tcPr>
            <w:tcW w:w="4115" w:type="dxa"/>
            <w:tcBorders/>
            <w:shd w:fill="auto" w:val="clear"/>
          </w:tcPr>
          <w:p>
            <w:pPr>
              <w:pStyle w:val="TableContents"/>
              <w:spacing w:before="0" w:after="283"/>
              <w:rPr>
                <w:rFonts w:ascii="Times New Roman" w:hAnsi="Times New Roman"/>
                <w:sz w:val="20"/>
              </w:rPr>
            </w:pPr>
            <w:r>
              <w:rPr>
                <w:rFonts w:ascii="Times New Roman" w:hAnsi="Times New Roman"/>
                <w:sz w:val="20"/>
              </w:rPr>
              <w:t>Morgan Keegan &amp; Company, Inc.</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6" w:type="dxa"/>
            <w:tcBorders/>
            <w:shd w:fill="auto" w:val="clear"/>
            <w:vAlign w:val="bottom"/>
          </w:tcPr>
          <w:p>
            <w:pPr>
              <w:pStyle w:val="TableContents"/>
              <w:spacing w:before="0" w:after="283"/>
              <w:rPr/>
            </w:pPr>
            <w:r>
              <w:rPr/>
              <w:t>  </w:t>
            </w:r>
          </w:p>
        </w:tc>
      </w:tr>
      <w:tr>
        <w:trPr/>
        <w:tc>
          <w:tcPr>
            <w:tcW w:w="4115" w:type="dxa"/>
            <w:tcBorders/>
            <w:shd w:fill="CCEEFF" w:val="clear"/>
          </w:tcPr>
          <w:p>
            <w:pPr>
              <w:pStyle w:val="TableContents"/>
              <w:spacing w:before="0" w:after="283"/>
              <w:rPr>
                <w:rFonts w:ascii="Times New Roman" w:hAnsi="Times New Roman"/>
                <w:sz w:val="20"/>
              </w:rPr>
            </w:pPr>
            <w:r>
              <w:rPr>
                <w:rFonts w:ascii="Times New Roman" w:hAnsi="Times New Roman"/>
                <w:sz w:val="20"/>
              </w:rPr>
              <w:t>PNC Capital Markets LLC</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6" w:type="dxa"/>
            <w:tcBorders/>
            <w:shd w:fill="CCEEFF" w:val="clear"/>
            <w:vAlign w:val="bottom"/>
          </w:tcPr>
          <w:p>
            <w:pPr>
              <w:pStyle w:val="TableContents"/>
              <w:spacing w:before="0" w:after="283"/>
              <w:rPr/>
            </w:pPr>
            <w:r>
              <w:rPr/>
              <w:t>  </w:t>
            </w:r>
          </w:p>
        </w:tc>
      </w:tr>
      <w:tr>
        <w:trPr/>
        <w:tc>
          <w:tcPr>
            <w:tcW w:w="4115" w:type="dxa"/>
            <w:tcBorders/>
            <w:shd w:fill="auto" w:val="clear"/>
          </w:tcPr>
          <w:p>
            <w:pPr>
              <w:pStyle w:val="TableContents"/>
              <w:spacing w:before="0" w:after="283"/>
              <w:rPr>
                <w:rFonts w:ascii="Times New Roman" w:hAnsi="Times New Roman"/>
                <w:sz w:val="20"/>
              </w:rPr>
            </w:pPr>
            <w:r>
              <w:rPr>
                <w:rFonts w:ascii="Times New Roman" w:hAnsi="Times New Roman"/>
                <w:sz w:val="20"/>
              </w:rPr>
              <w:t>Scotia Capital (USA) Inc.</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6" w:type="dxa"/>
            <w:tcBorders/>
            <w:shd w:fill="auto" w:val="clear"/>
            <w:vAlign w:val="bottom"/>
          </w:tcPr>
          <w:p>
            <w:pPr>
              <w:pStyle w:val="TableContents"/>
              <w:spacing w:before="0" w:after="283"/>
              <w:rPr/>
            </w:pPr>
            <w:r>
              <w:rPr/>
              <w:t>  </w:t>
            </w:r>
          </w:p>
        </w:tc>
      </w:tr>
      <w:tr>
        <w:trPr/>
        <w:tc>
          <w:tcPr>
            <w:tcW w:w="4115" w:type="dxa"/>
            <w:tcBorders/>
            <w:shd w:fill="CCEEFF" w:val="clear"/>
          </w:tcPr>
          <w:p>
            <w:pPr>
              <w:pStyle w:val="TableContents"/>
              <w:spacing w:before="0" w:after="283"/>
              <w:rPr>
                <w:rFonts w:ascii="Times New Roman" w:hAnsi="Times New Roman"/>
                <w:sz w:val="20"/>
              </w:rPr>
            </w:pPr>
            <w:r>
              <w:rPr>
                <w:rFonts w:ascii="Times New Roman" w:hAnsi="Times New Roman"/>
                <w:sz w:val="20"/>
              </w:rPr>
              <w:t>SG Americas Securities, LLC</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6" w:type="dxa"/>
            <w:tcBorders/>
            <w:shd w:fill="CCEEFF" w:val="clear"/>
            <w:vAlign w:val="bottom"/>
          </w:tcPr>
          <w:p>
            <w:pPr>
              <w:pStyle w:val="TableContents"/>
              <w:spacing w:before="0" w:after="283"/>
              <w:rPr/>
            </w:pPr>
            <w:r>
              <w:rPr/>
              <w:t>  </w:t>
            </w:r>
          </w:p>
        </w:tc>
      </w:tr>
      <w:tr>
        <w:trPr/>
        <w:tc>
          <w:tcPr>
            <w:tcW w:w="4115" w:type="dxa"/>
            <w:tcBorders/>
            <w:shd w:fill="auto" w:val="clear"/>
          </w:tcPr>
          <w:p>
            <w:pPr>
              <w:pStyle w:val="TableContents"/>
              <w:spacing w:before="0" w:after="283"/>
              <w:rPr>
                <w:rFonts w:ascii="Times New Roman" w:hAnsi="Times New Roman"/>
                <w:sz w:val="20"/>
              </w:rPr>
            </w:pPr>
            <w:r>
              <w:rPr>
                <w:rFonts w:ascii="Times New Roman" w:hAnsi="Times New Roman"/>
                <w:sz w:val="20"/>
              </w:rPr>
              <w:t>U.S. Bancorp Investments, Inc.</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6" w:type="dxa"/>
            <w:tcBorders/>
            <w:shd w:fill="auto" w:val="clear"/>
            <w:vAlign w:val="bottom"/>
          </w:tcPr>
          <w:p>
            <w:pPr>
              <w:pStyle w:val="TableContents"/>
              <w:spacing w:before="0" w:after="283"/>
              <w:rPr/>
            </w:pPr>
            <w:r>
              <w:rPr/>
              <w:t>  </w:t>
            </w:r>
          </w:p>
        </w:tc>
      </w:tr>
      <w:tr>
        <w:trPr/>
        <w:tc>
          <w:tcPr>
            <w:tcW w:w="4115"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pBdr>
                <w:top w:val="single" w:sz="2" w:space="1" w:color="000000"/>
              </w:pBdr>
              <w:spacing w:before="0" w:after="283"/>
              <w:rPr/>
            </w:pPr>
            <w:r>
              <w:rPr/>
              <w:t> </w:t>
            </w:r>
          </w:p>
        </w:tc>
        <w:tc>
          <w:tcPr>
            <w:tcW w:w="11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pBdr>
                <w:top w:val="single" w:sz="2" w:space="1" w:color="000000"/>
              </w:pBdr>
              <w:spacing w:before="0" w:after="283"/>
              <w:rPr/>
            </w:pPr>
            <w:r>
              <w:rPr/>
              <w:t> </w:t>
            </w:r>
          </w:p>
        </w:tc>
        <w:tc>
          <w:tcPr>
            <w:tcW w:w="1101"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4115"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750,000,000</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500,000,000</w:t>
            </w:r>
          </w:p>
        </w:tc>
        <w:tc>
          <w:tcPr>
            <w:tcW w:w="126"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Schedule I to Underwriting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u w:val="single"/>
        </w:rPr>
      </w:pPr>
      <w:r>
        <w:rPr>
          <w:rFonts w:ascii="Times New Roman" w:hAnsi="Times New Roman"/>
          <w:b/>
          <w:sz w:val="20"/>
          <w:u w:val="single"/>
        </w:rPr>
        <w:t xml:space="preserve">SCHEDULE II </w:t>
      </w:r>
    </w:p>
    <w:p>
      <w:pPr>
        <w:pStyle w:val="TextBody"/>
        <w:spacing w:before="180" w:after="0"/>
        <w:jc w:val="right"/>
        <w:rPr>
          <w:rFonts w:ascii="Times New Roman" w:hAnsi="Times New Roman"/>
          <w:sz w:val="20"/>
        </w:rPr>
      </w:pPr>
      <w:r>
        <w:rPr>
          <w:rFonts w:ascii="Times New Roman" w:hAnsi="Times New Roman"/>
          <w:sz w:val="20"/>
        </w:rPr>
        <w:t xml:space="preserve">Filed Pursuant to Rule 433 </w:t>
      </w:r>
    </w:p>
    <w:p>
      <w:pPr>
        <w:pStyle w:val="TextBody"/>
        <w:spacing w:before="0" w:after="0"/>
        <w:jc w:val="right"/>
        <w:rPr>
          <w:rFonts w:ascii="Times New Roman" w:hAnsi="Times New Roman"/>
          <w:sz w:val="20"/>
        </w:rPr>
      </w:pPr>
      <w:r>
        <w:rPr>
          <w:rFonts w:ascii="Times New Roman" w:hAnsi="Times New Roman"/>
          <w:sz w:val="20"/>
        </w:rPr>
        <w:t xml:space="preserve">Registration No. 333-162475 </w:t>
      </w:r>
    </w:p>
    <w:p>
      <w:pPr>
        <w:pStyle w:val="TextBody"/>
        <w:spacing w:before="0" w:after="0"/>
        <w:jc w:val="right"/>
        <w:rPr>
          <w:rFonts w:ascii="Times New Roman" w:hAnsi="Times New Roman"/>
          <w:sz w:val="20"/>
        </w:rPr>
      </w:pPr>
      <w:r>
        <w:rPr>
          <w:rFonts w:ascii="Times New Roman" w:hAnsi="Times New Roman"/>
          <w:sz w:val="20"/>
        </w:rPr>
        <w:t xml:space="preserve">March 13, 2012 </w:t>
      </w:r>
    </w:p>
    <w:p>
      <w:pPr>
        <w:pStyle w:val="TextBody"/>
        <w:spacing w:before="180" w:after="0"/>
        <w:jc w:val="center"/>
        <w:rPr>
          <w:rFonts w:ascii="Times New Roman" w:hAnsi="Times New Roman"/>
          <w:b/>
          <w:sz w:val="20"/>
        </w:rPr>
      </w:pPr>
      <w:r>
        <w:rPr>
          <w:rFonts w:ascii="Times New Roman" w:hAnsi="Times New Roman"/>
          <w:b/>
          <w:sz w:val="20"/>
        </w:rPr>
        <w:t xml:space="preserve">Final Term Sheet </w:t>
      </w:r>
    </w:p>
    <w:p>
      <w:pPr>
        <w:pStyle w:val="TextBody"/>
        <w:spacing w:before="0" w:after="0"/>
        <w:jc w:val="center"/>
        <w:rPr>
          <w:rFonts w:ascii="Times New Roman" w:hAnsi="Times New Roman"/>
          <w:b/>
          <w:sz w:val="20"/>
        </w:rPr>
      </w:pPr>
      <w:r>
        <w:rPr>
          <w:rFonts w:ascii="Times New Roman" w:hAnsi="Times New Roman"/>
          <w:b/>
          <w:sz w:val="20"/>
        </w:rPr>
        <w:t xml:space="preserve">$750,000,000 3.65% Senior Notes due 2022 </w:t>
      </w:r>
    </w:p>
    <w:p>
      <w:pPr>
        <w:pStyle w:val="TextBody"/>
        <w:spacing w:before="0" w:after="0"/>
        <w:jc w:val="center"/>
        <w:rPr>
          <w:rFonts w:ascii="Times New Roman" w:hAnsi="Times New Roman"/>
          <w:b/>
          <w:sz w:val="20"/>
        </w:rPr>
      </w:pPr>
      <w:r>
        <w:rPr>
          <w:rFonts w:ascii="Times New Roman" w:hAnsi="Times New Roman"/>
          <w:b/>
          <w:sz w:val="20"/>
        </w:rPr>
        <w:t xml:space="preserve">$500,000,000 5.15% Senior Notes due 2042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Issuers:</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 and PAA Finance Corp.</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Security Type: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Unsecured Notes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Legal Format:</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 Registered Notes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Pricing Date: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March 13, 2012</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Settlement Date (T+7):</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March 22, 2012</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Maturity Date: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June 1, 2022</w:t>
            </w:r>
          </w:p>
          <w:p>
            <w:pPr>
              <w:pStyle w:val="TableContents"/>
              <w:spacing w:before="0" w:after="15"/>
              <w:rPr>
                <w:rFonts w:ascii="Times New Roman" w:hAnsi="Times New Roman"/>
                <w:sz w:val="20"/>
              </w:rPr>
            </w:pPr>
            <w:r>
              <w:rPr>
                <w:rFonts w:ascii="Times New Roman" w:hAnsi="Times New Roman"/>
                <w:sz w:val="20"/>
              </w:rPr>
              <w:t>2042 Notes: June 1, 2042</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Amount:</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$750,000,000</w:t>
            </w:r>
          </w:p>
          <w:p>
            <w:pPr>
              <w:pStyle w:val="TableContents"/>
              <w:spacing w:before="0" w:after="15"/>
              <w:rPr>
                <w:rFonts w:ascii="Times New Roman" w:hAnsi="Times New Roman"/>
                <w:sz w:val="20"/>
              </w:rPr>
            </w:pPr>
            <w:r>
              <w:rPr>
                <w:rFonts w:ascii="Times New Roman" w:hAnsi="Times New Roman"/>
                <w:sz w:val="20"/>
              </w:rPr>
              <w:t>2042 Notes: $500,000,000</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Benchmark:</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UST 2.000% due February 15, 2022</w:t>
            </w:r>
          </w:p>
          <w:p>
            <w:pPr>
              <w:pStyle w:val="TableContents"/>
              <w:spacing w:before="0" w:after="15"/>
              <w:rPr>
                <w:rFonts w:ascii="Times New Roman" w:hAnsi="Times New Roman"/>
                <w:sz w:val="20"/>
              </w:rPr>
            </w:pPr>
            <w:r>
              <w:rPr>
                <w:rFonts w:ascii="Times New Roman" w:hAnsi="Times New Roman"/>
                <w:sz w:val="20"/>
              </w:rPr>
              <w:t>2042 Notes: UST 3.125% due November 15, 2041</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Benchmark Yield:</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2.070%</w:t>
            </w:r>
          </w:p>
          <w:p>
            <w:pPr>
              <w:pStyle w:val="TableContents"/>
              <w:spacing w:before="0" w:after="15"/>
              <w:rPr>
                <w:rFonts w:ascii="Times New Roman" w:hAnsi="Times New Roman"/>
                <w:sz w:val="20"/>
              </w:rPr>
            </w:pPr>
            <w:r>
              <w:rPr>
                <w:rFonts w:ascii="Times New Roman" w:hAnsi="Times New Roman"/>
                <w:sz w:val="20"/>
              </w:rPr>
              <w:t>2042 Notes: 3.215%</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Spread to Benchmark:</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+160 bps</w:t>
            </w:r>
          </w:p>
          <w:p>
            <w:pPr>
              <w:pStyle w:val="TableContents"/>
              <w:spacing w:before="0" w:after="15"/>
              <w:rPr>
                <w:rFonts w:ascii="Times New Roman" w:hAnsi="Times New Roman"/>
                <w:sz w:val="20"/>
              </w:rPr>
            </w:pPr>
            <w:r>
              <w:rPr>
                <w:rFonts w:ascii="Times New Roman" w:hAnsi="Times New Roman"/>
                <w:sz w:val="20"/>
              </w:rPr>
              <w:t>2042 Notes: +195 bps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Yield to Maturity: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3.670%</w:t>
            </w:r>
          </w:p>
          <w:p>
            <w:pPr>
              <w:pStyle w:val="TableContents"/>
              <w:spacing w:before="0" w:after="15"/>
              <w:rPr>
                <w:rFonts w:ascii="Times New Roman" w:hAnsi="Times New Roman"/>
                <w:sz w:val="20"/>
              </w:rPr>
            </w:pPr>
            <w:r>
              <w:rPr>
                <w:rFonts w:ascii="Times New Roman" w:hAnsi="Times New Roman"/>
                <w:sz w:val="20"/>
              </w:rPr>
              <w:t>2042 Notes: 5.165%</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Coupon:</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3.65%</w:t>
            </w:r>
          </w:p>
          <w:p>
            <w:pPr>
              <w:pStyle w:val="TableContents"/>
              <w:spacing w:before="0" w:after="15"/>
              <w:rPr>
                <w:rFonts w:ascii="Times New Roman" w:hAnsi="Times New Roman"/>
                <w:sz w:val="20"/>
              </w:rPr>
            </w:pPr>
            <w:r>
              <w:rPr>
                <w:rFonts w:ascii="Times New Roman" w:hAnsi="Times New Roman"/>
                <w:sz w:val="20"/>
              </w:rPr>
              <w:t>2042 Notes: 5.15%</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Public Offering Price: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99.823%</w:t>
            </w:r>
          </w:p>
          <w:p>
            <w:pPr>
              <w:pStyle w:val="TableContents"/>
              <w:spacing w:before="0" w:after="15"/>
              <w:rPr>
                <w:rFonts w:ascii="Times New Roman" w:hAnsi="Times New Roman"/>
                <w:sz w:val="20"/>
              </w:rPr>
            </w:pPr>
            <w:r>
              <w:rPr>
                <w:rFonts w:ascii="Times New Roman" w:hAnsi="Times New Roman"/>
                <w:sz w:val="20"/>
              </w:rPr>
              <w:t>2042 Notes: 99.755%</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Net Proceeds (after estimated expenses) to the Partnership: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$1,236.5 million</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Make-Whole Call:</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T+25 bps</w:t>
            </w:r>
          </w:p>
          <w:p>
            <w:pPr>
              <w:pStyle w:val="TableContents"/>
              <w:spacing w:before="0" w:after="15"/>
              <w:rPr>
                <w:rFonts w:ascii="Times New Roman" w:hAnsi="Times New Roman"/>
                <w:sz w:val="20"/>
              </w:rPr>
            </w:pPr>
            <w:r>
              <w:rPr>
                <w:rFonts w:ascii="Times New Roman" w:hAnsi="Times New Roman"/>
                <w:sz w:val="20"/>
              </w:rPr>
              <w:t>2042 Notes: T+30 bps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Call at Par:</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On or after March 1, 2022</w:t>
            </w:r>
          </w:p>
          <w:p>
            <w:pPr>
              <w:pStyle w:val="TableContents"/>
              <w:spacing w:before="0" w:after="15"/>
              <w:rPr>
                <w:rFonts w:ascii="Times New Roman" w:hAnsi="Times New Roman"/>
                <w:sz w:val="20"/>
              </w:rPr>
            </w:pPr>
            <w:r>
              <w:rPr>
                <w:rFonts w:ascii="Times New Roman" w:hAnsi="Times New Roman"/>
                <w:sz w:val="20"/>
              </w:rPr>
              <w:t>2042 Notes: On or after December 1, 2041</w:t>
            </w:r>
          </w:p>
        </w:tc>
      </w:tr>
    </w:tbl>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Schedule II to Underwriting Agreement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Special Optional Redemption</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If the BP NGL Acquisition (as defined in the prospectus supplement) is not closed on or prior to June 1, 2012 or the acquisition agreement relating to the acquisition is terminated earlier, the issuers may redeem all, but not less than all, of either or both series of Notes at a redemption price equal to 101% of the aggregate principal amount of such series of Notes, plus accrued and unpaid interest to the date of redemption.</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Payment Dates:</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June 1 and December 1, beginning December 1, 2012</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CUSIP / ISIN:</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72650RAZ5 / US72650RAZ55</w:t>
            </w:r>
          </w:p>
          <w:p>
            <w:pPr>
              <w:pStyle w:val="TableContents"/>
              <w:spacing w:before="0" w:after="15"/>
              <w:rPr>
                <w:rFonts w:ascii="Times New Roman" w:hAnsi="Times New Roman"/>
                <w:sz w:val="20"/>
              </w:rPr>
            </w:pPr>
            <w:r>
              <w:rPr>
                <w:rFonts w:ascii="Times New Roman" w:hAnsi="Times New Roman"/>
                <w:sz w:val="20"/>
              </w:rPr>
              <w:t>2042 Notes: 72650RBA9 / US72650RBA95</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Joint Book-Running Managers:</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Merrill Lynch, Pierce, Fenner &amp; Smith Incorporated</w:t>
            </w:r>
          </w:p>
          <w:p>
            <w:pPr>
              <w:pStyle w:val="TableContents"/>
              <w:spacing w:before="0" w:after="0"/>
              <w:rPr>
                <w:rFonts w:ascii="Times New Roman" w:hAnsi="Times New Roman"/>
                <w:sz w:val="20"/>
              </w:rPr>
            </w:pPr>
            <w:r>
              <w:rPr>
                <w:rFonts w:ascii="Times New Roman" w:hAnsi="Times New Roman"/>
                <w:sz w:val="20"/>
              </w:rPr>
              <w:t>UBS Securities LLC</w:t>
            </w:r>
          </w:p>
          <w:p>
            <w:pPr>
              <w:pStyle w:val="TableContents"/>
              <w:spacing w:before="0" w:after="0"/>
              <w:rPr>
                <w:rFonts w:ascii="Times New Roman" w:hAnsi="Times New Roman"/>
                <w:sz w:val="20"/>
              </w:rPr>
            </w:pPr>
            <w:r>
              <w:rPr>
                <w:rFonts w:ascii="Times New Roman" w:hAnsi="Times New Roman"/>
                <w:sz w:val="20"/>
              </w:rPr>
              <w:t>Wells Fargo Securities, LLC</w:t>
            </w:r>
          </w:p>
          <w:p>
            <w:pPr>
              <w:pStyle w:val="TableContents"/>
              <w:spacing w:before="0" w:after="0"/>
              <w:rPr>
                <w:rFonts w:ascii="Times New Roman" w:hAnsi="Times New Roman"/>
                <w:sz w:val="20"/>
              </w:rPr>
            </w:pPr>
            <w:r>
              <w:rPr>
                <w:rFonts w:ascii="Times New Roman" w:hAnsi="Times New Roman"/>
                <w:sz w:val="20"/>
              </w:rPr>
              <w:t>DNB Markets, Inc.</w:t>
            </w:r>
          </w:p>
          <w:p>
            <w:pPr>
              <w:pStyle w:val="TableContents"/>
              <w:spacing w:before="0" w:after="15"/>
              <w:rPr>
                <w:rFonts w:ascii="Times New Roman" w:hAnsi="Times New Roman"/>
                <w:sz w:val="20"/>
              </w:rPr>
            </w:pPr>
            <w:r>
              <w:rPr>
                <w:rFonts w:ascii="Times New Roman" w:hAnsi="Times New Roman"/>
                <w:sz w:val="20"/>
              </w:rPr>
              <w:t>Mizuho Securities USA Inc.</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Co-Managers:</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BMO Capital Markets Corp.</w:t>
            </w:r>
          </w:p>
          <w:p>
            <w:pPr>
              <w:pStyle w:val="TableContents"/>
              <w:spacing w:before="0" w:after="0"/>
              <w:rPr>
                <w:rFonts w:ascii="Times New Roman" w:hAnsi="Times New Roman"/>
                <w:sz w:val="20"/>
              </w:rPr>
            </w:pPr>
            <w:r>
              <w:rPr>
                <w:rFonts w:ascii="Times New Roman" w:hAnsi="Times New Roman"/>
                <w:sz w:val="20"/>
              </w:rPr>
              <w:t>Comerica Securities, Inc.</w:t>
            </w:r>
          </w:p>
          <w:p>
            <w:pPr>
              <w:pStyle w:val="TableContents"/>
              <w:spacing w:before="0" w:after="0"/>
              <w:rPr>
                <w:rFonts w:ascii="Times New Roman" w:hAnsi="Times New Roman"/>
                <w:sz w:val="20"/>
              </w:rPr>
            </w:pPr>
            <w:r>
              <w:rPr>
                <w:rFonts w:ascii="Times New Roman" w:hAnsi="Times New Roman"/>
                <w:sz w:val="20"/>
              </w:rPr>
              <w:t>Fifth Third Securities, Inc.</w:t>
            </w:r>
          </w:p>
          <w:p>
            <w:pPr>
              <w:pStyle w:val="TableContents"/>
              <w:spacing w:before="0" w:after="0"/>
              <w:rPr>
                <w:rFonts w:ascii="Times New Roman" w:hAnsi="Times New Roman"/>
                <w:sz w:val="20"/>
              </w:rPr>
            </w:pPr>
            <w:r>
              <w:rPr>
                <w:rFonts w:ascii="Times New Roman" w:hAnsi="Times New Roman"/>
                <w:sz w:val="20"/>
              </w:rPr>
              <w:t>ING Financial Markets LLC</w:t>
            </w:r>
          </w:p>
          <w:p>
            <w:pPr>
              <w:pStyle w:val="TableContents"/>
              <w:spacing w:before="0" w:after="0"/>
              <w:rPr>
                <w:rFonts w:ascii="Times New Roman" w:hAnsi="Times New Roman"/>
                <w:sz w:val="20"/>
              </w:rPr>
            </w:pPr>
            <w:r>
              <w:rPr>
                <w:rFonts w:ascii="Times New Roman" w:hAnsi="Times New Roman"/>
                <w:sz w:val="20"/>
              </w:rPr>
              <w:t>Mitsubishi UFJ Securities (USA), Inc.</w:t>
            </w:r>
          </w:p>
          <w:p>
            <w:pPr>
              <w:pStyle w:val="TableContents"/>
              <w:spacing w:before="0" w:after="0"/>
              <w:rPr>
                <w:rFonts w:ascii="Times New Roman" w:hAnsi="Times New Roman"/>
                <w:sz w:val="20"/>
              </w:rPr>
            </w:pPr>
            <w:r>
              <w:rPr>
                <w:rFonts w:ascii="Times New Roman" w:hAnsi="Times New Roman"/>
                <w:sz w:val="20"/>
              </w:rPr>
              <w:t>Morgan Keegan &amp; Company, Inc.</w:t>
            </w:r>
          </w:p>
          <w:p>
            <w:pPr>
              <w:pStyle w:val="TableContents"/>
              <w:spacing w:before="0" w:after="0"/>
              <w:rPr>
                <w:rFonts w:ascii="Times New Roman" w:hAnsi="Times New Roman"/>
                <w:sz w:val="20"/>
              </w:rPr>
            </w:pPr>
            <w:r>
              <w:rPr>
                <w:rFonts w:ascii="Times New Roman" w:hAnsi="Times New Roman"/>
                <w:sz w:val="20"/>
              </w:rPr>
              <w:t>PNC Capital Markets LLC</w:t>
            </w:r>
          </w:p>
          <w:p>
            <w:pPr>
              <w:pStyle w:val="TableContents"/>
              <w:spacing w:before="0" w:after="0"/>
              <w:rPr>
                <w:rFonts w:ascii="Times New Roman" w:hAnsi="Times New Roman"/>
                <w:sz w:val="20"/>
              </w:rPr>
            </w:pPr>
            <w:r>
              <w:rPr>
                <w:rFonts w:ascii="Times New Roman" w:hAnsi="Times New Roman"/>
                <w:sz w:val="20"/>
              </w:rPr>
              <w:t>Scotia Capital (USA) Inc.</w:t>
            </w:r>
          </w:p>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15"/>
              <w:rPr>
                <w:rFonts w:ascii="Times New Roman" w:hAnsi="Times New Roman"/>
                <w:sz w:val="20"/>
              </w:rPr>
            </w:pPr>
            <w:r>
              <w:rPr>
                <w:rFonts w:ascii="Times New Roman" w:hAnsi="Times New Roman"/>
                <w:sz w:val="20"/>
              </w:rPr>
              <w:t>U.S. Bancorp Investments, Inc.</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Note: A securities rating is not a recommendation to buy, sell or hold securities and may be revised or withdrawn at any time. </w:t>
            </w:r>
          </w:p>
        </w:tc>
      </w:tr>
    </w:tbl>
    <w:p>
      <w:pPr>
        <w:pStyle w:val="TextBody"/>
        <w:spacing w:before="180" w:after="0"/>
        <w:rPr>
          <w:rFonts w:ascii="Times New Roman" w:hAnsi="Times New Roman"/>
          <w:sz w:val="20"/>
        </w:rPr>
      </w:pPr>
      <w:r>
        <w:rPr>
          <w:rFonts w:ascii="Times New Roman" w:hAnsi="Times New Roman"/>
          <w:sz w:val="20"/>
        </w:rPr>
        <w:t xml:space="preserve">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 at (212) 834-4533, Merrill Lynch, Pierce, Fenner &amp; Smith Incorporated toll free at (800) 294-1322, UBS Securities LLC at 877-827-6444, ext. 561 3884 or Wells Fargo Securities, LLC at 1-800-326-5897. </w:t>
      </w:r>
    </w:p>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Schedule II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III </w:t>
      </w:r>
    </w:p>
    <w:p>
      <w:pPr>
        <w:pStyle w:val="TextBody"/>
        <w:spacing w:before="180" w:after="0"/>
        <w:jc w:val="center"/>
        <w:rPr>
          <w:rFonts w:ascii="Times New Roman" w:hAnsi="Times New Roman"/>
          <w:b/>
          <w:sz w:val="20"/>
        </w:rPr>
      </w:pPr>
      <w:r>
        <w:rPr>
          <w:rFonts w:ascii="Times New Roman" w:hAnsi="Times New Roman"/>
          <w:b/>
          <w:sz w:val="20"/>
        </w:rPr>
        <w:t xml:space="preserve">Material Subsidiaries </w:t>
      </w:r>
    </w:p>
    <w:p>
      <w:pPr>
        <w:pStyle w:val="TextBody"/>
        <w:spacing w:before="180" w:after="0"/>
        <w:rPr>
          <w:rFonts w:ascii="Times New Roman" w:hAnsi="Times New Roman"/>
          <w:sz w:val="20"/>
        </w:rPr>
      </w:pPr>
      <w:r>
        <w:rPr>
          <w:rFonts w:ascii="Times New Roman" w:hAnsi="Times New Roman"/>
          <w:sz w:val="20"/>
        </w:rPr>
        <w:t xml:space="preserve">Plains Marketing, L.P. </w:t>
      </w:r>
    </w:p>
    <w:p>
      <w:pPr>
        <w:pStyle w:val="TextBody"/>
        <w:spacing w:before="180" w:after="0"/>
        <w:rPr>
          <w:rFonts w:ascii="Times New Roman" w:hAnsi="Times New Roman"/>
          <w:sz w:val="20"/>
        </w:rPr>
      </w:pPr>
      <w:r>
        <w:rPr>
          <w:rFonts w:ascii="Times New Roman" w:hAnsi="Times New Roman"/>
          <w:sz w:val="20"/>
        </w:rPr>
        <w:t xml:space="preserve">Plains Pipeline, L.P. </w:t>
      </w:r>
    </w:p>
    <w:p>
      <w:pPr>
        <w:pStyle w:val="TextBody"/>
        <w:spacing w:before="180" w:after="0"/>
        <w:rPr>
          <w:rFonts w:ascii="Times New Roman" w:hAnsi="Times New Roman"/>
          <w:sz w:val="20"/>
        </w:rPr>
      </w:pPr>
      <w:r>
        <w:rPr>
          <w:rFonts w:ascii="Times New Roman" w:hAnsi="Times New Roman"/>
          <w:sz w:val="20"/>
        </w:rPr>
        <w:t xml:space="preserve">Pacific Pipeline System LLC </w:t>
      </w:r>
    </w:p>
    <w:p>
      <w:pPr>
        <w:pStyle w:val="TextBody"/>
        <w:spacing w:before="180" w:after="0"/>
        <w:rPr>
          <w:rFonts w:ascii="Times New Roman" w:hAnsi="Times New Roman"/>
          <w:sz w:val="20"/>
        </w:rPr>
      </w:pPr>
      <w:r>
        <w:rPr>
          <w:rFonts w:ascii="Times New Roman" w:hAnsi="Times New Roman"/>
          <w:sz w:val="20"/>
        </w:rPr>
        <w:t xml:space="preserve">Plains Products Terminals LLC </w:t>
      </w:r>
    </w:p>
    <w:p>
      <w:pPr>
        <w:pStyle w:val="TextBody"/>
        <w:spacing w:before="180" w:after="0"/>
        <w:rPr>
          <w:rFonts w:ascii="Times New Roman" w:hAnsi="Times New Roman"/>
          <w:sz w:val="20"/>
        </w:rPr>
      </w:pPr>
      <w:r>
        <w:rPr>
          <w:rFonts w:ascii="Times New Roman" w:hAnsi="Times New Roman"/>
          <w:sz w:val="20"/>
        </w:rPr>
        <w:t xml:space="preserve">Plains Midstream Canada ULC </w:t>
      </w:r>
    </w:p>
    <w:p>
      <w:pPr>
        <w:pStyle w:val="TextBody"/>
        <w:spacing w:before="180" w:after="0"/>
        <w:rPr>
          <w:rFonts w:ascii="Times New Roman" w:hAnsi="Times New Roman"/>
          <w:sz w:val="20"/>
        </w:rPr>
      </w:pPr>
      <w:r>
        <w:rPr>
          <w:rFonts w:ascii="Times New Roman" w:hAnsi="Times New Roman"/>
          <w:sz w:val="20"/>
        </w:rPr>
        <w:t xml:space="preserve">Plains West Coast Terminals LLC </w:t>
      </w:r>
    </w:p>
    <w:p>
      <w:pPr>
        <w:pStyle w:val="TextBody"/>
        <w:spacing w:before="180" w:after="0"/>
        <w:rPr>
          <w:rFonts w:ascii="Times New Roman" w:hAnsi="Times New Roman"/>
          <w:sz w:val="20"/>
        </w:rPr>
      </w:pPr>
      <w:r>
        <w:rPr>
          <w:rFonts w:ascii="Times New Roman" w:hAnsi="Times New Roman"/>
          <w:sz w:val="20"/>
        </w:rPr>
        <w:t xml:space="preserve">Rocky Mountain Pipeline System LLC </w:t>
      </w:r>
    </w:p>
    <w:p>
      <w:pPr>
        <w:pStyle w:val="TextBody"/>
        <w:spacing w:before="180" w:after="0"/>
        <w:rPr>
          <w:rFonts w:ascii="Times New Roman" w:hAnsi="Times New Roman"/>
          <w:sz w:val="20"/>
        </w:rPr>
      </w:pPr>
      <w:r>
        <w:rPr>
          <w:rFonts w:ascii="Times New Roman" w:hAnsi="Times New Roman"/>
          <w:sz w:val="20"/>
        </w:rPr>
        <w:t xml:space="preserve">Pine Prairie Energy Center, LLC </w:t>
      </w:r>
    </w:p>
    <w:p>
      <w:pPr>
        <w:pStyle w:val="TextBody"/>
        <w:spacing w:before="180" w:after="0"/>
        <w:rPr>
          <w:rFonts w:ascii="Times New Roman" w:hAnsi="Times New Roman"/>
          <w:sz w:val="20"/>
        </w:rPr>
      </w:pPr>
      <w:r>
        <w:rPr>
          <w:rFonts w:ascii="Times New Roman" w:hAnsi="Times New Roman"/>
          <w:sz w:val="20"/>
        </w:rPr>
        <w:t xml:space="preserve">SG Resources Mississippi LLC </w:t>
      </w:r>
    </w:p>
    <w:p>
      <w:pPr>
        <w:pStyle w:val="TextBody"/>
        <w:spacing w:before="180" w:after="0"/>
        <w:rPr>
          <w:rFonts w:ascii="Times New Roman" w:hAnsi="Times New Roman"/>
          <w:sz w:val="20"/>
        </w:rPr>
      </w:pPr>
      <w:r>
        <w:rPr>
          <w:rFonts w:ascii="Times New Roman" w:hAnsi="Times New Roman"/>
          <w:sz w:val="20"/>
        </w:rPr>
        <w:t xml:space="preserve">Plains LPG Services LP </w:t>
      </w:r>
    </w:p>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Schedule III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IV </w:t>
      </w:r>
    </w:p>
    <w:p>
      <w:pPr>
        <w:pStyle w:val="TextBody"/>
        <w:spacing w:before="180" w:after="0"/>
        <w:jc w:val="center"/>
        <w:rPr>
          <w:rFonts w:ascii="Times New Roman" w:hAnsi="Times New Roman"/>
          <w:b/>
          <w:sz w:val="20"/>
        </w:rPr>
      </w:pPr>
      <w:r>
        <w:rPr>
          <w:rFonts w:ascii="Times New Roman" w:hAnsi="Times New Roman"/>
          <w:b/>
          <w:sz w:val="20"/>
        </w:rPr>
        <w:t xml:space="preserve">Domestic Subsidiaries </w:t>
      </w:r>
    </w:p>
    <w:p>
      <w:pPr>
        <w:pStyle w:val="TextBody"/>
        <w:spacing w:before="180" w:after="0"/>
        <w:rPr>
          <w:rFonts w:ascii="Times New Roman" w:hAnsi="Times New Roman"/>
          <w:sz w:val="20"/>
        </w:rPr>
      </w:pPr>
      <w:r>
        <w:rPr>
          <w:rFonts w:ascii="Times New Roman" w:hAnsi="Times New Roman"/>
          <w:sz w:val="20"/>
        </w:rPr>
        <w:t xml:space="preserve">Plains Marketing, L.P. </w:t>
      </w:r>
    </w:p>
    <w:p>
      <w:pPr>
        <w:pStyle w:val="TextBody"/>
        <w:spacing w:before="180" w:after="0"/>
        <w:rPr>
          <w:rFonts w:ascii="Times New Roman" w:hAnsi="Times New Roman"/>
          <w:sz w:val="20"/>
        </w:rPr>
      </w:pPr>
      <w:r>
        <w:rPr>
          <w:rFonts w:ascii="Times New Roman" w:hAnsi="Times New Roman"/>
          <w:sz w:val="20"/>
        </w:rPr>
        <w:t xml:space="preserve">Plains Pipeline, L.P. </w:t>
      </w:r>
    </w:p>
    <w:p>
      <w:pPr>
        <w:pStyle w:val="TextBody"/>
        <w:spacing w:before="180" w:after="0"/>
        <w:rPr>
          <w:rFonts w:ascii="Times New Roman" w:hAnsi="Times New Roman"/>
          <w:sz w:val="20"/>
        </w:rPr>
      </w:pPr>
      <w:r>
        <w:rPr>
          <w:rFonts w:ascii="Times New Roman" w:hAnsi="Times New Roman"/>
          <w:sz w:val="20"/>
        </w:rPr>
        <w:t xml:space="preserve">Pacific Pipeline System LLC </w:t>
      </w:r>
    </w:p>
    <w:p>
      <w:pPr>
        <w:pStyle w:val="TextBody"/>
        <w:spacing w:before="180" w:after="0"/>
        <w:rPr>
          <w:rFonts w:ascii="Times New Roman" w:hAnsi="Times New Roman"/>
          <w:sz w:val="20"/>
        </w:rPr>
      </w:pPr>
      <w:r>
        <w:rPr>
          <w:rFonts w:ascii="Times New Roman" w:hAnsi="Times New Roman"/>
          <w:sz w:val="20"/>
        </w:rPr>
        <w:t xml:space="preserve">Plains Products Terminals LLC </w:t>
      </w:r>
    </w:p>
    <w:p>
      <w:pPr>
        <w:pStyle w:val="TextBody"/>
        <w:spacing w:before="180" w:after="0"/>
        <w:rPr>
          <w:rFonts w:ascii="Times New Roman" w:hAnsi="Times New Roman"/>
          <w:sz w:val="20"/>
        </w:rPr>
      </w:pPr>
      <w:r>
        <w:rPr>
          <w:rFonts w:ascii="Times New Roman" w:hAnsi="Times New Roman"/>
          <w:sz w:val="20"/>
        </w:rPr>
        <w:t xml:space="preserve">Plains West Coast Terminals LLC </w:t>
      </w:r>
    </w:p>
    <w:p>
      <w:pPr>
        <w:pStyle w:val="TextBody"/>
        <w:spacing w:before="180" w:after="0"/>
        <w:rPr>
          <w:rFonts w:ascii="Times New Roman" w:hAnsi="Times New Roman"/>
          <w:sz w:val="20"/>
        </w:rPr>
      </w:pPr>
      <w:r>
        <w:rPr>
          <w:rFonts w:ascii="Times New Roman" w:hAnsi="Times New Roman"/>
          <w:sz w:val="20"/>
        </w:rPr>
        <w:t xml:space="preserve">Rocky Mountain Pipeline System LLC </w:t>
      </w:r>
    </w:p>
    <w:p>
      <w:pPr>
        <w:pStyle w:val="TextBody"/>
        <w:spacing w:before="180" w:after="0"/>
        <w:rPr>
          <w:rFonts w:ascii="Times New Roman" w:hAnsi="Times New Roman"/>
          <w:sz w:val="20"/>
        </w:rPr>
      </w:pPr>
      <w:r>
        <w:rPr>
          <w:rFonts w:ascii="Times New Roman" w:hAnsi="Times New Roman"/>
          <w:sz w:val="20"/>
        </w:rPr>
        <w:t xml:space="preserve">Pine Prairie Energy Center, LLC </w:t>
      </w:r>
    </w:p>
    <w:p>
      <w:pPr>
        <w:pStyle w:val="TextBody"/>
        <w:spacing w:before="180" w:after="0"/>
        <w:rPr>
          <w:rFonts w:ascii="Times New Roman" w:hAnsi="Times New Roman"/>
          <w:sz w:val="20"/>
        </w:rPr>
      </w:pPr>
      <w:r>
        <w:rPr>
          <w:rFonts w:ascii="Times New Roman" w:hAnsi="Times New Roman"/>
          <w:sz w:val="20"/>
        </w:rPr>
        <w:t xml:space="preserve">SG Resources Mississippi LLC </w:t>
      </w:r>
    </w:p>
    <w:p>
      <w:pPr>
        <w:pStyle w:val="TextBody"/>
        <w:spacing w:before="180" w:after="0"/>
        <w:rPr>
          <w:rFonts w:ascii="Times New Roman" w:hAnsi="Times New Roman"/>
          <w:sz w:val="20"/>
        </w:rPr>
      </w:pPr>
      <w:r>
        <w:rPr>
          <w:rFonts w:ascii="Times New Roman" w:hAnsi="Times New Roman"/>
          <w:sz w:val="20"/>
        </w:rPr>
        <w:t xml:space="preserve">Plains LPG Services LP </w:t>
      </w:r>
    </w:p>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Schedule IV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Entity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Jurisdiction in which registered or qualified</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 Illinois, Louisiana, Oklahoma,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Marketing,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 Illinois, Louisiana, Oklahoma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Pipeline,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 Illinois, Louisiana, Oklahoma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Products Terminals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Midstream Canada ULC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British Columbia, Manitoba, Quebec, New Brunswick, Nova Scotia, Ontario and Saskatchewan</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Pacific Pipeline System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West Coast Terminals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Rocky Mountain Pipeline System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Utah</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Pine Prairie Energy Center,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Louisiana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SG Resources Mississippi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Mississippi</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LPG Services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 Illinois, Oklahoma, Texas</w:t>
            </w:r>
          </w:p>
        </w:tc>
      </w:tr>
    </w:tbl>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Exhibit A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spacing w:before="180" w:after="0"/>
        <w:jc w:val="center"/>
        <w:rPr>
          <w:rFonts w:ascii="Times New Roman" w:hAnsi="Times New Roman"/>
          <w:b/>
          <w:sz w:val="20"/>
        </w:rPr>
      </w:pPr>
      <w:r>
        <w:rPr>
          <w:rFonts w:ascii="Times New Roman" w:hAnsi="Times New Roman"/>
          <w:b/>
          <w:sz w:val="20"/>
        </w:rPr>
        <w:t xml:space="preserve">CHIEF FINANCIAL OFFICERS CERTIFICATE </w:t>
      </w:r>
    </w:p>
    <w:p>
      <w:pPr>
        <w:pStyle w:val="TextBody"/>
        <w:spacing w:before="90" w:after="0"/>
        <w:jc w:val="center"/>
        <w:rPr>
          <w:rFonts w:ascii="Times New Roman" w:hAnsi="Times New Roman"/>
          <w:sz w:val="20"/>
        </w:rPr>
      </w:pPr>
      <w:r>
        <w:rPr>
          <w:rFonts w:ascii="Times New Roman" w:hAnsi="Times New Roman"/>
          <w:sz w:val="20"/>
        </w:rPr>
        <w:t xml:space="preserve">March 13, 2012 </w:t>
      </w:r>
    </w:p>
    <w:p>
      <w:pPr>
        <w:pStyle w:val="TextBody"/>
        <w:spacing w:before="180" w:after="0"/>
        <w:rPr>
          <w:rFonts w:ascii="Times New Roman" w:hAnsi="Times New Roman"/>
          <w:sz w:val="20"/>
        </w:rPr>
      </w:pPr>
      <w:r>
        <w:rPr>
          <w:rFonts w:ascii="Times New Roman" w:hAnsi="Times New Roman"/>
          <w:sz w:val="20"/>
        </w:rPr>
        <w:t xml:space="preserve">The undersigned, in his capacity as the Chief Financial Officer of PAA GP LLC, a Delaware limited liability company and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December 31, 2011. In addition, as of the date of this certificate, the total debt of the Partnership is approximately $5.1 billion. </w:t>
      </w:r>
    </w:p>
    <w:p>
      <w:pPr>
        <w:pStyle w:val="TextBody"/>
        <w:spacing w:before="180" w:after="0"/>
        <w:rPr>
          <w:rFonts w:ascii="Times New Roman" w:hAnsi="Times New Roman"/>
          <w:sz w:val="20"/>
        </w:rPr>
      </w:pPr>
      <w:r>
        <w:rPr>
          <w:rFonts w:ascii="Times New Roman" w:hAnsi="Times New Roman"/>
          <w:sz w:val="20"/>
        </w:rPr>
        <w:t xml:space="preserve">Capitalized terms used but not defined herein have the meanings assigned to them in the Underwriting Agreement dated as of the date hereof by and among the Partnership, PAA Finance Corp. and J.P. Morgan Securities LLC, Merrill Lynch, Pierce, Fenner &amp; Smith Incorporated, UBS Securities LLC, Wells Fargo Securities, LLC, DNB Markets, Inc. and Mizuho Securities USA Inc., as the representatives of the several Underwriters. </w:t>
      </w:r>
    </w:p>
    <w:p>
      <w:pPr>
        <w:pStyle w:val="TextBody"/>
        <w:spacing w:before="180" w:after="0"/>
        <w:rPr>
          <w:rFonts w:ascii="Times New Roman" w:hAnsi="Times New Roman"/>
          <w:sz w:val="20"/>
        </w:rPr>
      </w:pPr>
      <w:r>
        <w:rPr>
          <w:rFonts w:ascii="Times New Roman" w:hAnsi="Times New Roman"/>
          <w:sz w:val="20"/>
        </w:rPr>
        <w:t xml:space="preserve">This certificate is to assist the Underwriters in conducting and documenting their investigation of the affairs of the Partnership in connection with the offering of the Notes covered by the Registration Statement, the Pricing Disclosure Package and the Prospectus. </w:t>
      </w:r>
    </w:p>
    <w:p>
      <w:pPr>
        <w:pStyle w:val="TextBody"/>
        <w:spacing w:before="18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Exhibit B to Underwriting Agreement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undersigned has hereunto affixed his signature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  </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Al Swanson</w:t>
            </w:r>
          </w:p>
        </w:tc>
      </w:tr>
      <w:tr>
        <w:trPr/>
        <w:tc>
          <w:tcPr>
            <w:tcW w:w="4082" w:type="dxa"/>
            <w:tcBorders/>
            <w:shd w:fill="auto" w:val="clear"/>
            <w:vAlign w:val="bottom"/>
          </w:tcPr>
          <w:p>
            <w:pPr>
              <w:pStyle w:val="TableContents"/>
              <w:spacing w:before="0" w:after="0"/>
              <w:rPr>
                <w:rFonts w:ascii="Times New Roman" w:hAnsi="Times New Roman"/>
                <w:i/>
                <w:sz w:val="20"/>
              </w:rPr>
            </w:pPr>
            <w:r>
              <w:rPr>
                <w:rFonts w:ascii="Times New Roman" w:hAnsi="Times New Roman"/>
                <w:i/>
                <w:sz w:val="20"/>
              </w:rPr>
              <w:t>Executive Vice President and</w:t>
            </w:r>
          </w:p>
          <w:p>
            <w:pPr>
              <w:pStyle w:val="TableContents"/>
              <w:spacing w:before="0" w:after="15"/>
              <w:rPr>
                <w:rFonts w:ascii="Times New Roman" w:hAnsi="Times New Roman"/>
                <w:i/>
                <w:sz w:val="20"/>
              </w:rPr>
            </w:pPr>
            <w:r>
              <w:rPr>
                <w:rFonts w:ascii="Times New Roman" w:hAnsi="Times New Roman"/>
                <w:i/>
                <w:sz w:val="20"/>
              </w:rPr>
              <w:t>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B-2 </w:t>
      </w:r>
      <w:r>
        <w:br w:type="page"/>
      </w:r>
    </w:p>
    <w:p>
      <w:pPr>
        <w:pStyle w:val="TextBody"/>
        <w:spacing w:before="0" w:after="0"/>
        <w:jc w:val="right"/>
        <w:rPr>
          <w:rFonts w:ascii="Times New Roman" w:hAnsi="Times New Roman"/>
          <w:b/>
          <w:sz w:val="20"/>
        </w:rPr>
      </w:pPr>
      <w:bookmarkStart w:id="4" w:name="d316585dex51.htm"/>
      <w:bookmarkStart w:id="5" w:name="ksd316585dex51"/>
      <w:bookmarkEnd w:id="4"/>
      <w:bookmarkEnd w:id="5"/>
      <w:r>
        <w:rPr>
          <w:rFonts w:ascii="Times New Roman" w:hAnsi="Times New Roman"/>
          <w:b/>
          <w:sz w:val="20"/>
        </w:rPr>
        <w:t xml:space="preserve">Exhibit 5.1 </w:t>
      </w:r>
    </w:p>
    <w:p>
      <w:pPr>
        <w:pStyle w:val="TextBody"/>
        <w:spacing w:before="0" w:after="0"/>
        <w:rPr/>
      </w:pPr>
      <w:r>
        <w:rPr/>
        <w:t> </w:t>
      </w:r>
    </w:p>
    <w:p>
      <w:pPr>
        <w:pStyle w:val="TextBody"/>
        <w:spacing w:before="180" w:after="0"/>
        <w:rPr/>
      </w:pPr>
      <w:r>
        <w:rPr/>
        <w:drawing>
          <wp:inline distT="0" distB="0" distL="0" distR="0">
            <wp:extent cx="518160" cy="609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8160" cy="6096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March 19, 2012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We have acted as counsel to Plains All American Pipeline, L.P., a Delaware limited partnership (the </w:t>
      </w:r>
      <w:r>
        <w:rPr>
          <w:rFonts w:ascii="Times New Roman" w:hAnsi="Times New Roman"/>
          <w:b/>
          <w:sz w:val="20"/>
        </w:rPr>
        <w:t>Partnership</w:t>
      </w:r>
      <w:r>
        <w:rPr>
          <w:rFonts w:ascii="Times New Roman" w:hAnsi="Times New Roman"/>
          <w:sz w:val="20"/>
        </w:rPr>
        <w:t>), with respect to certain legal matters in connection with the registration by the Partnership and PAA Finance Corp., a Delaware corporation and wholly owned subsidiary of the Partnership (</w:t>
      </w:r>
      <w:r>
        <w:rPr>
          <w:rFonts w:ascii="Times New Roman" w:hAnsi="Times New Roman"/>
          <w:b/>
          <w:sz w:val="20"/>
        </w:rPr>
        <w:t>PAA Finance</w:t>
      </w:r>
      <w:r>
        <w:rPr>
          <w:rFonts w:ascii="Times New Roman" w:hAnsi="Times New Roman"/>
          <w:sz w:val="20"/>
        </w:rPr>
        <w:t>, and together with the Partnership, the </w:t>
      </w:r>
      <w:r>
        <w:rPr>
          <w:rFonts w:ascii="Times New Roman" w:hAnsi="Times New Roman"/>
          <w:b/>
          <w:sz w:val="20"/>
        </w:rPr>
        <w:t>Issuers</w:t>
      </w:r>
      <w:r>
        <w:rPr>
          <w:rFonts w:ascii="Times New Roman" w:hAnsi="Times New Roman"/>
          <w:sz w:val="20"/>
        </w:rPr>
        <w:t>) under the Securities Act of 1933, as amended (the </w:t>
      </w:r>
      <w:r>
        <w:rPr>
          <w:rFonts w:ascii="Times New Roman" w:hAnsi="Times New Roman"/>
          <w:b/>
          <w:sz w:val="20"/>
        </w:rPr>
        <w:t>Securities Act</w:t>
      </w:r>
      <w:r>
        <w:rPr>
          <w:rFonts w:ascii="Times New Roman" w:hAnsi="Times New Roman"/>
          <w:sz w:val="20"/>
        </w:rPr>
        <w:t>), of the offer and sale by the Issuers of $750,000,000 aggregate principal amount of 3.65% Senior Notes due 2022 and $500,000,000 aggregate principal amount of 5.15% Senior Notes due 2042 (collectively the </w:t>
      </w:r>
      <w:r>
        <w:rPr>
          <w:rFonts w:ascii="Times New Roman" w:hAnsi="Times New Roman"/>
          <w:b/>
          <w:sz w:val="20"/>
        </w:rPr>
        <w:t>Notes</w:t>
      </w:r>
      <w:r>
        <w:rPr>
          <w:rFonts w:ascii="Times New Roman" w:hAnsi="Times New Roman"/>
          <w:sz w:val="20"/>
        </w:rPr>
        <w:t>), to be issued and sold pursuant to the Underwriting Agreement dated March 13, 2012, by and among the Issuers and the Underwriters named therein (the </w:t>
      </w:r>
      <w:r>
        <w:rPr>
          <w:rFonts w:ascii="Times New Roman" w:hAnsi="Times New Roman"/>
          <w:b/>
          <w:sz w:val="20"/>
        </w:rPr>
        <w:t>Underwriting Agreement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The Notes are being offered and sold pursuant to a prospectus supplement dated March 13, 2012 (the </w:t>
      </w:r>
      <w:r>
        <w:rPr>
          <w:rFonts w:ascii="Times New Roman" w:hAnsi="Times New Roman"/>
          <w:b/>
          <w:sz w:val="20"/>
        </w:rPr>
        <w:t>Prospectus Supplement</w:t>
      </w:r>
      <w:r>
        <w:rPr>
          <w:rFonts w:ascii="Times New Roman" w:hAnsi="Times New Roman"/>
          <w:sz w:val="20"/>
        </w:rPr>
        <w:t>) filed with the Securities and Exchange Commission (the </w:t>
      </w:r>
      <w:r>
        <w:rPr>
          <w:rFonts w:ascii="Times New Roman" w:hAnsi="Times New Roman"/>
          <w:b/>
          <w:sz w:val="20"/>
        </w:rPr>
        <w:t>Commission</w:t>
      </w:r>
      <w:r>
        <w:rPr>
          <w:rFonts w:ascii="Times New Roman" w:hAnsi="Times New Roman"/>
          <w:sz w:val="20"/>
        </w:rPr>
        <w:t>) pursuant to Rule 424(b)(5) on March 14, 2012, to the prospectus dated October 14, 2009, (such prospectus, as amended and supplemented by the Prospectus Supplement, the </w:t>
      </w:r>
      <w:r>
        <w:rPr>
          <w:rFonts w:ascii="Times New Roman" w:hAnsi="Times New Roman"/>
          <w:b/>
          <w:sz w:val="20"/>
        </w:rPr>
        <w:t>Prospectus</w:t>
      </w:r>
      <w:r>
        <w:rPr>
          <w:rFonts w:ascii="Times New Roman" w:hAnsi="Times New Roman"/>
          <w:sz w:val="20"/>
        </w:rPr>
        <w:t>), included in and forming part of the Registration Statement on Form S-3 (Registration No. 333-162475) (the </w:t>
      </w:r>
      <w:r>
        <w:rPr>
          <w:rFonts w:ascii="Times New Roman" w:hAnsi="Times New Roman"/>
          <w:b/>
          <w:sz w:val="20"/>
        </w:rPr>
        <w:t>Registration Statement</w:t>
      </w:r>
      <w:r>
        <w:rPr>
          <w:rFonts w:ascii="Times New Roman" w:hAnsi="Times New Roman"/>
          <w:sz w:val="20"/>
        </w:rPr>
        <w:t xml:space="preserve">). Capitalized terms used but not defined herein shall have the meanings given such terms in the Underwriting Agreement. </w:t>
      </w:r>
    </w:p>
    <w:p>
      <w:pPr>
        <w:pStyle w:val="TextBody"/>
        <w:spacing w:before="180" w:after="0"/>
        <w:rPr>
          <w:rFonts w:ascii="Times New Roman" w:hAnsi="Times New Roman"/>
          <w:sz w:val="20"/>
        </w:rPr>
      </w:pPr>
      <w:r>
        <w:rPr>
          <w:rFonts w:ascii="Times New Roman" w:hAnsi="Times New Roman"/>
          <w:sz w:val="20"/>
        </w:rPr>
        <w:t>The Notes are to be issued as securities pursuant to that certain Indenture, dated as of September 25, 2002 (the </w:t>
      </w:r>
      <w:r>
        <w:rPr>
          <w:rFonts w:ascii="Times New Roman" w:hAnsi="Times New Roman"/>
          <w:b/>
          <w:sz w:val="20"/>
        </w:rPr>
        <w:t>Base Indenture</w:t>
      </w:r>
      <w:r>
        <w:rPr>
          <w:rFonts w:ascii="Times New Roman" w:hAnsi="Times New Roman"/>
          <w:sz w:val="20"/>
        </w:rPr>
        <w:t>), by and among the Issuers, and U.S. Bank National Association, as successor to Wachovia Bank, National Association, as trustee (the </w:t>
      </w:r>
      <w:r>
        <w:rPr>
          <w:rFonts w:ascii="Times New Roman" w:hAnsi="Times New Roman"/>
          <w:b/>
          <w:sz w:val="20"/>
        </w:rPr>
        <w:t>Trustee</w:t>
      </w:r>
      <w:r>
        <w:rPr>
          <w:rFonts w:ascii="Times New Roman" w:hAnsi="Times New Roman"/>
          <w:sz w:val="20"/>
        </w:rPr>
        <w:t>), as amended and supplemented by the Twentieth Supplemental Indenture and the Twenty-First Supplemental Indenture thereto, each to be dated as of March 22, 2012 (collectively, the </w:t>
      </w:r>
      <w:r>
        <w:rPr>
          <w:rFonts w:ascii="Times New Roman" w:hAnsi="Times New Roman"/>
          <w:b/>
          <w:sz w:val="20"/>
        </w:rPr>
        <w:t>Supplemental Indentures</w:t>
      </w:r>
      <w:r>
        <w:rPr>
          <w:rFonts w:ascii="Times New Roman" w:hAnsi="Times New Roman"/>
          <w:sz w:val="20"/>
        </w:rPr>
        <w:t>), by and among the Issuers and the Trustee (the Base Indenture, as so amended and supplemented by the Supplemental Indentures, the </w:t>
      </w:r>
      <w:r>
        <w:rPr>
          <w:rFonts w:ascii="Times New Roman" w:hAnsi="Times New Roman"/>
          <w:b/>
          <w:sz w:val="20"/>
        </w:rPr>
        <w:t>Indenture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In rendering the opinions set forth below, we have examined and relied upon (i) the Registration Statement, the Prospectus Supplement and the Prospectus; (ii) the Third Amended and Restated Agreement of Limited Partnership of the Partnership, dated as of June 27, 2001, as amended; (iii) the organizational certificates and the limited partnership or limited liability company agreements (as the case may be) of PAA GP LLC, a Delaware limited liability company (</w:t>
      </w:r>
      <w:r>
        <w:rPr>
          <w:rFonts w:ascii="Times New Roman" w:hAnsi="Times New Roman"/>
          <w:b/>
          <w:sz w:val="20"/>
        </w:rPr>
        <w:t>General Partner</w:t>
      </w:r>
      <w:r>
        <w:rPr>
          <w:rFonts w:ascii="Times New Roman" w:hAnsi="Times New Roman"/>
          <w:sz w:val="20"/>
        </w:rPr>
        <w:t>), which is the general partner of the Partnership, of Plains AAP, L.P., a Delaware limited partnership (</w:t>
      </w:r>
      <w:r>
        <w:rPr>
          <w:rFonts w:ascii="Times New Roman" w:hAnsi="Times New Roman"/>
          <w:b/>
          <w:sz w:val="20"/>
        </w:rPr>
        <w:t>Plains AAP</w:t>
      </w:r>
      <w:r>
        <w:rPr>
          <w:rFonts w:ascii="Times New Roman" w:hAnsi="Times New Roman"/>
          <w:sz w:val="20"/>
        </w:rPr>
        <w:t xml:space="preserve">), which owns a 100% membership interest in the General Partner, and of Plains All American GP LLC, a Delaware limited liability company, which is the general partner of Plains AAP; (iv) the bylaws and certificate of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incorporation of PAA Finance; (v) the Underwriting Agreement, a copy of which is being filed with the Securities and Exchange Commission, together with this Exhibit 5.1, as an exhibit to the Partnerships Current Report on Form 8-K prior to the closing of the sale of the Notes; (vi) the Base Indenture and the Supplemental Indentures and (vii) such other certificates, statutes and other instruments and documents as we consider appropriate for purposes of the opinions hereafter expressed. In addition, we reviewed such questions of law as we considered appropriate. </w:t>
      </w:r>
    </w:p>
    <w:p>
      <w:pPr>
        <w:pStyle w:val="TextBody"/>
        <w:spacing w:before="180" w:after="0"/>
        <w:rPr>
          <w:rFonts w:ascii="Times New Roman" w:hAnsi="Times New Roman"/>
          <w:sz w:val="20"/>
        </w:rPr>
      </w:pPr>
      <w:r>
        <w:rPr>
          <w:rFonts w:ascii="Times New Roman" w:hAnsi="Times New Roman"/>
          <w:sz w:val="20"/>
        </w:rPr>
        <w:t xml:space="preserve">Based upon and subject to the foregoing and the assumptions, limitations and qualifications set forth herein, we are of the opinion that when (a) each of the Base Indenture and Supplemental Indentures has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constitute valid and legally binding obligations of the Issuers, enforceable against the Issuers in accordance with their terms. </w:t>
      </w:r>
    </w:p>
    <w:p>
      <w:pPr>
        <w:pStyle w:val="TextBody"/>
        <w:spacing w:before="180" w:after="0"/>
        <w:rPr>
          <w:rFonts w:ascii="Times New Roman" w:hAnsi="Times New Roman"/>
          <w:sz w:val="20"/>
        </w:rPr>
      </w:pPr>
      <w:r>
        <w:rPr>
          <w:rFonts w:ascii="Times New Roman" w:hAnsi="Times New Roman"/>
          <w:sz w:val="20"/>
        </w:rPr>
        <w:t xml:space="preserve">The opinions expressed herein are qualified in the following respects: </w:t>
      </w:r>
    </w:p>
    <w:p>
      <w:pPr>
        <w:pStyle w:val="TextBody"/>
        <w:spacing w:before="180" w:after="0"/>
        <w:rPr>
          <w:rFonts w:ascii="Times New Roman" w:hAnsi="Times New Roman"/>
          <w:sz w:val="20"/>
        </w:rPr>
      </w:pPr>
      <w:r>
        <w:rPr>
          <w:rFonts w:ascii="Times New Roman" w:hAnsi="Times New Roman"/>
          <w:sz w:val="20"/>
        </w:rPr>
        <w:t xml:space="preserve">A. As to any facts material to the opinion contained herein, we have made no independent investigation of such facts and have relied, to the extent that we deem such reliance proper, upon certificates of public officials and officers or other representatives of the Partnership. </w:t>
      </w:r>
    </w:p>
    <w:p>
      <w:pPr>
        <w:pStyle w:val="TextBody"/>
        <w:spacing w:before="180" w:after="0"/>
        <w:rPr>
          <w:rFonts w:ascii="Times New Roman" w:hAnsi="Times New Roman"/>
          <w:sz w:val="20"/>
        </w:rPr>
      </w:pPr>
      <w:r>
        <w:rPr>
          <w:rFonts w:ascii="Times New Roman" w:hAnsi="Times New Roman"/>
          <w:sz w:val="20"/>
        </w:rPr>
        <w:t xml:space="preserve">B. 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(iv) each certificate from governmental officials reviewed by us is accurate, complete and authentic, and all official public records are accurate and complete and (v) each natural person signing any document reviewed by us had the legal capacity to do so and each person signing in a representative capacity any document reviewed by us had authority to sign in such capacity. </w:t>
      </w:r>
    </w:p>
    <w:p>
      <w:pPr>
        <w:pStyle w:val="TextBody"/>
        <w:spacing w:before="180" w:after="0"/>
        <w:rPr>
          <w:rFonts w:ascii="Times New Roman" w:hAnsi="Times New Roman"/>
          <w:sz w:val="20"/>
        </w:rPr>
      </w:pPr>
      <w:r>
        <w:rPr>
          <w:rFonts w:ascii="Times New Roman" w:hAnsi="Times New Roman"/>
          <w:sz w:val="20"/>
        </w:rPr>
        <w:t xml:space="preserve">C. This opinion is limited in all respects to the laws of the State of New York. We do not express any opinions as to the laws of any other jurisdiction. </w:t>
      </w:r>
    </w:p>
    <w:p>
      <w:pPr>
        <w:pStyle w:val="TextBody"/>
        <w:spacing w:before="180" w:after="0"/>
        <w:rPr>
          <w:rFonts w:ascii="Times New Roman" w:hAnsi="Times New Roman"/>
          <w:sz w:val="20"/>
        </w:rPr>
      </w:pPr>
      <w:r>
        <w:rPr>
          <w:rFonts w:ascii="Times New Roman" w:hAnsi="Times New Roman"/>
          <w:sz w:val="20"/>
        </w:rPr>
        <w:t xml:space="preserve">D. 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 </w:t>
      </w:r>
    </w:p>
    <w:p>
      <w:pPr>
        <w:pStyle w:val="TextBody"/>
        <w:spacing w:before="180" w:after="0"/>
        <w:rPr>
          <w:rFonts w:ascii="Times New Roman" w:hAnsi="Times New Roman"/>
          <w:sz w:val="20"/>
        </w:rPr>
      </w:pPr>
      <w:r>
        <w:rPr>
          <w:rFonts w:ascii="Times New Roman" w:hAnsi="Times New Roman"/>
          <w:sz w:val="20"/>
        </w:rPr>
        <w:t xml:space="preserve">E. 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 </w:t>
      </w:r>
    </w:p>
    <w:p>
      <w:pPr>
        <w:pStyle w:val="TextBody"/>
        <w:spacing w:before="180" w:after="0"/>
        <w:rPr>
          <w:rFonts w:ascii="Times New Roman" w:hAnsi="Times New Roman"/>
          <w:sz w:val="20"/>
        </w:rPr>
      </w:pPr>
      <w:r>
        <w:rPr>
          <w:rFonts w:ascii="Times New Roman" w:hAnsi="Times New Roman"/>
          <w:sz w:val="20"/>
        </w:rPr>
        <w:t xml:space="preserve">Very truly yours, </w:t>
      </w:r>
    </w:p>
    <w:p>
      <w:pPr>
        <w:pStyle w:val="TextBody"/>
        <w:spacing w:before="180" w:after="0"/>
        <w:rPr>
          <w:rFonts w:ascii="Times New Roman" w:hAnsi="Times New Roman"/>
          <w:sz w:val="20"/>
        </w:rPr>
      </w:pPr>
      <w:r>
        <w:rPr>
          <w:rFonts w:ascii="Times New Roman" w:hAnsi="Times New Roman"/>
          <w:sz w:val="20"/>
        </w:rPr>
        <w:t xml:space="preserve">/s/ Vinson &amp; Elkins L.L.P.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54</Pages>
  <Words>23934</Words>
  <CharactersWithSpaces>149029</CharactersWithSpaces>
  <Paragraphs>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&lt;![CDATA[Opinion of Vinson &amp; Elkins L.L.P]]&gt;</dc:title>
</cp:coreProperties>
</file>