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32225d8k.htm"/>
      <w:bookmarkStart w:id="1" w:name="ksd632225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21,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7.01. Regulation FD Disclosure </w:t>
      </w:r>
    </w:p>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meet with members of the financial community and participate in a panel discussion on the crude oil by rail market at the RBC Capital Markets 2013 MLP Conference to be held in Dallas, Texas on Friday, November 22, 2013. Presentation materials for the investor meetings will provide an overview of PAA and PAGP, including strategic positioning, organic growth activities, financial growth strategy and related matters (similar presentation materials are available on the investor relations section of our website </w:t>
      </w:r>
      <w:r>
        <w:rPr>
          <w:rFonts w:ascii="Times New Roman" w:hAnsi="Times New Roman"/>
          <w:sz w:val="17"/>
          <w:u w:val="single"/>
        </w:rPr>
        <w:t>www.plainsallamerican.com</w:t>
      </w:r>
      <w:r>
        <w:rPr>
          <w:rFonts w:ascii="Times New Roman" w:hAnsi="Times New Roman"/>
          <w:sz w:val="17"/>
        </w:rPr>
        <w:t>). The crude oil by rail panel discussion will be webcast live beginning at approximately 9:15 a.m. CST and will be available for a period of approximately 90 days following the event at the following weblink: http://www.veracast.com/</w:t>
      </w:r>
      <w:r>
        <w:rPr>
          <w:rFonts w:ascii="Times New Roman" w:hAnsi="Times New Roman"/>
          <w:sz w:val="17"/>
          <w:u w:val="single"/>
        </w:rPr>
        <w:t>webcasts/rbc/mlp2013/45202120782.cfm</w:t>
      </w:r>
      <w:r>
        <w:rPr>
          <w:rFonts w:ascii="Times New Roman" w:hAnsi="Times New Roman"/>
          <w:sz w:val="17"/>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85"/>
        <w:gridCol w:w="120"/>
        <w:gridCol w:w="385"/>
        <w:gridCol w:w="120"/>
        <w:gridCol w:w="326"/>
        <w:gridCol w:w="120"/>
        <w:gridCol w:w="4649"/>
      </w:tblGrid>
      <w:tr>
        <w:trPr/>
        <w:tc>
          <w:tcPr>
            <w:tcW w:w="4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649" w:type="dxa"/>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95" w:type="dxa"/>
            <w:gridSpan w:val="3"/>
            <w:tcBorders/>
            <w:shd w:fill="auto" w:val="clear"/>
          </w:tcPr>
          <w:p>
            <w:pPr>
              <w:pStyle w:val="TableContents"/>
              <w:spacing w:before="0" w:after="283"/>
              <w:rPr/>
            </w:pPr>
            <w:r>
              <w:rPr/>
              <w:t>PLAINS ALL AMERICAN PIPELINE, L.P.</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auto" w:val="clear"/>
            <w:vAlign w:val="center"/>
          </w:tcPr>
          <w:p>
            <w:pPr>
              <w:pStyle w:val="TableContents"/>
              <w:spacing w:before="0" w:after="283"/>
              <w:rPr>
                <w:sz w:val="4"/>
                <w:szCs w:val="4"/>
              </w:rPr>
            </w:pPr>
            <w:r>
              <w:rPr>
                <w:sz w:val="4"/>
                <w:szCs w:val="4"/>
              </w:rPr>
            </w:r>
          </w:p>
        </w:tc>
        <w:tc>
          <w:tcPr>
            <w:tcW w:w="446" w:type="dxa"/>
            <w:gridSpan w:val="2"/>
            <w:tcBorders/>
            <w:shd w:fill="auto" w:val="clear"/>
            <w:vAlign w:val="center"/>
          </w:tcPr>
          <w:p>
            <w:pPr>
              <w:pStyle w:val="TableContents"/>
              <w:spacing w:before="0" w:after="283"/>
              <w:rPr>
                <w:sz w:val="4"/>
                <w:szCs w:val="4"/>
              </w:rPr>
            </w:pPr>
            <w:r>
              <w:rPr>
                <w:sz w:val="4"/>
                <w:szCs w:val="4"/>
              </w:rPr>
            </w:r>
          </w:p>
        </w:tc>
        <w:tc>
          <w:tcPr>
            <w:tcW w:w="4769"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rFonts w:ascii="Times New Roman" w:hAnsi="Times New Roman"/>
                <w:sz w:val="17"/>
              </w:rPr>
            </w:pPr>
            <w:r>
              <w:rPr>
                <w:rFonts w:ascii="Times New Roman" w:hAnsi="Times New Roman"/>
                <w:sz w:val="17"/>
              </w:rPr>
              <w:t>Date: November 21, 2013</w:t>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By:</w:t>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PAA GP LLC, its general partner</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auto" w:val="clear"/>
            <w:vAlign w:val="center"/>
          </w:tcPr>
          <w:p>
            <w:pPr>
              <w:pStyle w:val="TableContents"/>
              <w:spacing w:before="0" w:after="283"/>
              <w:rPr>
                <w:sz w:val="4"/>
                <w:szCs w:val="4"/>
              </w:rPr>
            </w:pPr>
            <w:r>
              <w:rPr>
                <w:sz w:val="4"/>
                <w:szCs w:val="4"/>
              </w:rPr>
            </w:r>
          </w:p>
        </w:tc>
        <w:tc>
          <w:tcPr>
            <w:tcW w:w="446" w:type="dxa"/>
            <w:gridSpan w:val="2"/>
            <w:tcBorders/>
            <w:shd w:fill="auto" w:val="clear"/>
            <w:vAlign w:val="center"/>
          </w:tcPr>
          <w:p>
            <w:pPr>
              <w:pStyle w:val="TableContents"/>
              <w:spacing w:before="0" w:after="283"/>
              <w:rPr>
                <w:sz w:val="4"/>
                <w:szCs w:val="4"/>
              </w:rPr>
            </w:pPr>
            <w:r>
              <w:rPr>
                <w:sz w:val="4"/>
                <w:szCs w:val="4"/>
              </w:rPr>
            </w:r>
          </w:p>
        </w:tc>
        <w:tc>
          <w:tcPr>
            <w:tcW w:w="4769"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By:</w:t>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Plains AAP, L.P., its sole member</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auto" w:val="clear"/>
            <w:vAlign w:val="center"/>
          </w:tcPr>
          <w:p>
            <w:pPr>
              <w:pStyle w:val="TableContents"/>
              <w:spacing w:before="0" w:after="283"/>
              <w:rPr>
                <w:sz w:val="4"/>
                <w:szCs w:val="4"/>
              </w:rPr>
            </w:pPr>
            <w:r>
              <w:rPr>
                <w:sz w:val="4"/>
                <w:szCs w:val="4"/>
              </w:rPr>
            </w:r>
          </w:p>
        </w:tc>
        <w:tc>
          <w:tcPr>
            <w:tcW w:w="446" w:type="dxa"/>
            <w:gridSpan w:val="2"/>
            <w:tcBorders/>
            <w:shd w:fill="auto" w:val="clear"/>
            <w:vAlign w:val="center"/>
          </w:tcPr>
          <w:p>
            <w:pPr>
              <w:pStyle w:val="TableContents"/>
              <w:spacing w:before="0" w:after="283"/>
              <w:rPr>
                <w:sz w:val="4"/>
                <w:szCs w:val="4"/>
              </w:rPr>
            </w:pPr>
            <w:r>
              <w:rPr>
                <w:sz w:val="4"/>
                <w:szCs w:val="4"/>
              </w:rPr>
            </w:r>
          </w:p>
        </w:tc>
        <w:tc>
          <w:tcPr>
            <w:tcW w:w="4769"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By:</w:t>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Plains All American GP LLC, its general partner</w:t>
            </w:r>
          </w:p>
        </w:tc>
      </w:tr>
      <w:tr>
        <w:trPr>
          <w:trHeight w:val="240" w:hRule="atLeast"/>
        </w:trPr>
        <w:tc>
          <w:tcPr>
            <w:tcW w:w="4485" w:type="dxa"/>
            <w:tcBorders/>
            <w:shd w:fill="auto" w:val="clear"/>
            <w:vAlign w:val="center"/>
          </w:tcPr>
          <w:p>
            <w:pPr>
              <w:pStyle w:val="TableContents"/>
              <w:spacing w:before="0" w:after="283"/>
              <w:rPr>
                <w:sz w:val="4"/>
                <w:szCs w:val="4"/>
              </w:rPr>
            </w:pPr>
            <w:r>
              <w:rPr>
                <w:sz w:val="4"/>
                <w:szCs w:val="4"/>
              </w:rPr>
            </w:r>
          </w:p>
        </w:tc>
        <w:tc>
          <w:tcPr>
            <w:tcW w:w="505" w:type="dxa"/>
            <w:gridSpan w:val="2"/>
            <w:tcBorders/>
            <w:shd w:fill="auto" w:val="clear"/>
            <w:vAlign w:val="center"/>
          </w:tcPr>
          <w:p>
            <w:pPr>
              <w:pStyle w:val="TableContents"/>
              <w:spacing w:before="0" w:after="283"/>
              <w:rPr>
                <w:sz w:val="4"/>
                <w:szCs w:val="4"/>
              </w:rPr>
            </w:pPr>
            <w:r>
              <w:rPr>
                <w:sz w:val="4"/>
                <w:szCs w:val="4"/>
              </w:rPr>
            </w:r>
          </w:p>
        </w:tc>
        <w:tc>
          <w:tcPr>
            <w:tcW w:w="446" w:type="dxa"/>
            <w:gridSpan w:val="2"/>
            <w:tcBorders/>
            <w:shd w:fill="auto" w:val="clear"/>
            <w:vAlign w:val="center"/>
          </w:tcPr>
          <w:p>
            <w:pPr>
              <w:pStyle w:val="TableContents"/>
              <w:spacing w:before="0" w:after="283"/>
              <w:rPr>
                <w:sz w:val="4"/>
                <w:szCs w:val="4"/>
              </w:rPr>
            </w:pPr>
            <w:r>
              <w:rPr>
                <w:sz w:val="4"/>
                <w:szCs w:val="4"/>
              </w:rPr>
            </w:r>
          </w:p>
        </w:tc>
        <w:tc>
          <w:tcPr>
            <w:tcW w:w="4769" w:type="dxa"/>
            <w:gridSpan w:val="2"/>
            <w:tcBorders/>
            <w:shd w:fill="auto" w:val="clear"/>
            <w:vAlign w:val="center"/>
          </w:tcPr>
          <w:p>
            <w:pPr>
              <w:pStyle w:val="TableContents"/>
              <w:spacing w:before="0" w:after="283"/>
              <w:rPr>
                <w:sz w:val="4"/>
                <w:szCs w:val="4"/>
              </w:rPr>
            </w:pPr>
            <w:r>
              <w:rPr>
                <w:sz w:val="4"/>
                <w:szCs w:val="4"/>
              </w:rPr>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By:</w:t>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Richard McGee</w:t>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Name: Richard McGee</w:t>
            </w:r>
          </w:p>
        </w:tc>
      </w:tr>
      <w:tr>
        <w:trPr/>
        <w:tc>
          <w:tcPr>
            <w:tcW w:w="44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473</Words>
  <CharactersWithSpaces>3077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