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ind w:left="720" w:right="300" w:hanging="388"/>
        <w:spacing w:after="0" w:line="256" w:lineRule="auto"/>
        <w:tabs>
          <w:tab w:leader="none" w:pos="588"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30, 2014</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720" w:right="240" w:hanging="388"/>
        <w:spacing w:after="0" w:line="256" w:lineRule="auto"/>
        <w:tabs>
          <w:tab w:leader="none" w:pos="628"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1-14569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tbl>
      <w:tblPr>
        <w:tblLayout w:type="fixed"/>
        <w:tblInd w:w="1140" w:type="dxa"/>
        <w:tblCellMar>
          <w:top w:w="0" w:type="dxa"/>
          <w:left w:w="0" w:type="dxa"/>
          <w:bottom w:w="0" w:type="dxa"/>
          <w:right w:w="0" w:type="dxa"/>
        </w:tblCellMar>
      </w:tblPr>
      <w:tr>
        <w:trPr>
          <w:trHeight w:val="230"/>
        </w:trPr>
        <w:tc>
          <w:tcPr>
            <w:tcW w:w="6640" w:type="dxa"/>
            <w:vAlign w:val="bottom"/>
          </w:tcPr>
          <w:p>
            <w:pPr>
              <w:jc w:val="center"/>
              <w:ind w:left="2430"/>
              <w:spacing w:after="0"/>
              <w:rPr>
                <w:sz w:val="20"/>
                <w:szCs w:val="20"/>
                <w:color w:val="auto"/>
              </w:rPr>
            </w:pPr>
            <w:r>
              <w:rPr>
                <w:rFonts w:ascii="Arial" w:cs="Arial" w:eastAsia="Arial" w:hAnsi="Arial"/>
                <w:sz w:val="18"/>
                <w:szCs w:val="18"/>
                <w:color w:val="auto"/>
                <w:w w:val="90"/>
              </w:rPr>
              <w:t>(Exact name of registrant as specified in its charter)</w:t>
            </w:r>
          </w:p>
        </w:tc>
        <w:tc>
          <w:tcPr>
            <w:tcW w:w="1520" w:type="dxa"/>
            <w:vAlign w:val="bottom"/>
          </w:tcPr>
          <w:p>
            <w:pPr>
              <w:spacing w:after="0"/>
              <w:rPr>
                <w:sz w:val="20"/>
                <w:szCs w:val="20"/>
                <w:color w:val="auto"/>
              </w:rPr>
            </w:pPr>
          </w:p>
        </w:tc>
      </w:tr>
      <w:tr>
        <w:trPr>
          <w:trHeight w:val="402"/>
        </w:trPr>
        <w:tc>
          <w:tcPr>
            <w:tcW w:w="6640" w:type="dxa"/>
            <w:vAlign w:val="bottom"/>
          </w:tcPr>
          <w:p>
            <w:pPr>
              <w:jc w:val="center"/>
              <w:ind w:right="3210"/>
              <w:spacing w:after="0"/>
              <w:rPr>
                <w:sz w:val="20"/>
                <w:szCs w:val="20"/>
                <w:color w:val="auto"/>
              </w:rPr>
            </w:pPr>
            <w:r>
              <w:rPr>
                <w:rFonts w:ascii="Arial" w:cs="Arial" w:eastAsia="Arial" w:hAnsi="Arial"/>
                <w:sz w:val="18"/>
                <w:szCs w:val="18"/>
                <w:b w:val="1"/>
                <w:bCs w:val="1"/>
                <w:color w:val="auto"/>
                <w:w w:val="93"/>
              </w:rPr>
              <w:t>Delaware</w:t>
            </w: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rPr>
              <w:t>76-0582150</w:t>
            </w:r>
          </w:p>
        </w:tc>
      </w:tr>
      <w:tr>
        <w:trPr>
          <w:trHeight w:val="216"/>
        </w:trPr>
        <w:tc>
          <w:tcPr>
            <w:tcW w:w="6640" w:type="dxa"/>
            <w:vAlign w:val="bottom"/>
          </w:tcPr>
          <w:p>
            <w:pPr>
              <w:jc w:val="center"/>
              <w:ind w:right="3210"/>
              <w:spacing w:after="0"/>
              <w:rPr>
                <w:sz w:val="20"/>
                <w:szCs w:val="20"/>
                <w:color w:val="auto"/>
              </w:rPr>
            </w:pPr>
            <w:r>
              <w:rPr>
                <w:rFonts w:ascii="Arial" w:cs="Arial" w:eastAsia="Arial" w:hAnsi="Arial"/>
                <w:sz w:val="18"/>
                <w:szCs w:val="18"/>
                <w:color w:val="auto"/>
                <w:w w:val="93"/>
              </w:rPr>
              <w:t>(State or other jurisdiction of</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3"/>
              </w:rPr>
              <w:t>(I.R.S. Employer</w:t>
            </w:r>
          </w:p>
        </w:tc>
      </w:tr>
      <w:tr>
        <w:trPr>
          <w:trHeight w:val="230"/>
        </w:trPr>
        <w:tc>
          <w:tcPr>
            <w:tcW w:w="6640" w:type="dxa"/>
            <w:vAlign w:val="bottom"/>
          </w:tcPr>
          <w:p>
            <w:pPr>
              <w:jc w:val="center"/>
              <w:ind w:right="3210"/>
              <w:spacing w:after="0"/>
              <w:rPr>
                <w:sz w:val="20"/>
                <w:szCs w:val="20"/>
                <w:color w:val="auto"/>
              </w:rPr>
            </w:pPr>
            <w:r>
              <w:rPr>
                <w:rFonts w:ascii="Arial" w:cs="Arial" w:eastAsia="Arial" w:hAnsi="Arial"/>
                <w:sz w:val="18"/>
                <w:szCs w:val="18"/>
                <w:color w:val="auto"/>
                <w:w w:val="93"/>
              </w:rPr>
              <w:t>incorporation or organization)</w:t>
            </w:r>
          </w:p>
        </w:tc>
        <w:tc>
          <w:tcPr>
            <w:tcW w:w="1520" w:type="dxa"/>
            <w:vAlign w:val="bottom"/>
          </w:tcPr>
          <w:p>
            <w:pPr>
              <w:jc w:val="center"/>
              <w:ind w:left="9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6640" w:type="dxa"/>
            <w:vAlign w:val="bottom"/>
          </w:tcPr>
          <w:p>
            <w:pPr>
              <w:jc w:val="center"/>
              <w:ind w:right="3210"/>
              <w:spacing w:after="0"/>
              <w:rPr>
                <w:sz w:val="20"/>
                <w:szCs w:val="20"/>
                <w:color w:val="auto"/>
              </w:rPr>
            </w:pPr>
            <w:r>
              <w:rPr>
                <w:rFonts w:ascii="Arial" w:cs="Arial" w:eastAsia="Arial" w:hAnsi="Arial"/>
                <w:sz w:val="18"/>
                <w:szCs w:val="18"/>
                <w:b w:val="1"/>
                <w:bCs w:val="1"/>
                <w:color w:val="auto"/>
                <w:w w:val="89"/>
              </w:rPr>
              <w:t>333 Clay Street, Suite 1600, Houston, Texas</w:t>
            </w:r>
          </w:p>
        </w:tc>
        <w:tc>
          <w:tcPr>
            <w:tcW w:w="1520" w:type="dxa"/>
            <w:vAlign w:val="bottom"/>
          </w:tcPr>
          <w:p>
            <w:pPr>
              <w:jc w:val="right"/>
              <w:ind w:right="370"/>
              <w:spacing w:after="0"/>
              <w:rPr>
                <w:sz w:val="20"/>
                <w:szCs w:val="20"/>
                <w:color w:val="auto"/>
              </w:rPr>
            </w:pPr>
            <w:r>
              <w:rPr>
                <w:rFonts w:ascii="Arial" w:cs="Arial" w:eastAsia="Arial" w:hAnsi="Arial"/>
                <w:sz w:val="18"/>
                <w:szCs w:val="18"/>
                <w:b w:val="1"/>
                <w:bCs w:val="1"/>
                <w:color w:val="auto"/>
              </w:rPr>
              <w:t>77002</w:t>
            </w:r>
          </w:p>
        </w:tc>
      </w:tr>
      <w:tr>
        <w:trPr>
          <w:trHeight w:val="230"/>
        </w:trPr>
        <w:tc>
          <w:tcPr>
            <w:tcW w:w="6640" w:type="dxa"/>
            <w:vAlign w:val="bottom"/>
          </w:tcPr>
          <w:p>
            <w:pPr>
              <w:jc w:val="center"/>
              <w:ind w:right="3210"/>
              <w:spacing w:after="0"/>
              <w:rPr>
                <w:sz w:val="20"/>
                <w:szCs w:val="20"/>
                <w:color w:val="auto"/>
              </w:rPr>
            </w:pPr>
            <w:r>
              <w:rPr>
                <w:rFonts w:ascii="Arial" w:cs="Arial" w:eastAsia="Arial" w:hAnsi="Arial"/>
                <w:sz w:val="18"/>
                <w:szCs w:val="18"/>
                <w:color w:val="auto"/>
                <w:w w:val="92"/>
              </w:rPr>
              <w:t>(Address of principal executive offices)</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4"/>
              </w:rPr>
              <w:t>(Zip Code)</w:t>
            </w:r>
          </w:p>
        </w:tc>
      </w:tr>
      <w:tr>
        <w:trPr>
          <w:trHeight w:val="418"/>
        </w:trPr>
        <w:tc>
          <w:tcPr>
            <w:tcW w:w="6640" w:type="dxa"/>
            <w:vAlign w:val="bottom"/>
          </w:tcPr>
          <w:p>
            <w:pPr>
              <w:jc w:val="center"/>
              <w:ind w:left="2430"/>
              <w:spacing w:after="0"/>
              <w:rPr>
                <w:sz w:val="20"/>
                <w:szCs w:val="20"/>
                <w:color w:val="auto"/>
              </w:rPr>
            </w:pPr>
            <w:r>
              <w:rPr>
                <w:rFonts w:ascii="Arial" w:cs="Arial" w:eastAsia="Arial" w:hAnsi="Arial"/>
                <w:sz w:val="18"/>
                <w:szCs w:val="18"/>
                <w:b w:val="1"/>
                <w:bCs w:val="1"/>
                <w:color w:val="auto"/>
                <w:w w:val="90"/>
              </w:rPr>
              <w:t>(713) 646-4100</w:t>
            </w:r>
          </w:p>
        </w:tc>
        <w:tc>
          <w:tcPr>
            <w:tcW w:w="1520" w:type="dxa"/>
            <w:vAlign w:val="bottom"/>
          </w:tcPr>
          <w:p>
            <w:pPr>
              <w:spacing w:after="0"/>
              <w:rPr>
                <w:sz w:val="24"/>
                <w:szCs w:val="24"/>
                <w:color w:val="auto"/>
              </w:rPr>
            </w:pPr>
          </w:p>
        </w:tc>
      </w:tr>
      <w:tr>
        <w:trPr>
          <w:trHeight w:val="230"/>
        </w:trPr>
        <w:tc>
          <w:tcPr>
            <w:tcW w:w="6640" w:type="dxa"/>
            <w:vAlign w:val="bottom"/>
          </w:tcPr>
          <w:p>
            <w:pPr>
              <w:jc w:val="center"/>
              <w:ind w:left="2410"/>
              <w:spacing w:after="0"/>
              <w:rPr>
                <w:sz w:val="20"/>
                <w:szCs w:val="20"/>
                <w:color w:val="auto"/>
              </w:rPr>
            </w:pPr>
            <w:r>
              <w:rPr>
                <w:rFonts w:ascii="Arial" w:cs="Arial" w:eastAsia="Arial" w:hAnsi="Arial"/>
                <w:sz w:val="18"/>
                <w:szCs w:val="18"/>
                <w:color w:val="auto"/>
                <w:w w:val="90"/>
              </w:rPr>
              <w:t>(Registrant’s telephone number, including area code)</w:t>
            </w:r>
          </w:p>
        </w:tc>
        <w:tc>
          <w:tcPr>
            <w:tcW w:w="15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205740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ind w:right="6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181" w:lineRule="exact"/>
        <w:rPr>
          <w:sz w:val="24"/>
          <w:szCs w:val="24"/>
          <w:color w:val="auto"/>
        </w:rPr>
      </w:pPr>
    </w:p>
    <w:p>
      <w:pPr>
        <w:ind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x Yes o No</w:t>
      </w:r>
    </w:p>
    <w:p>
      <w:pPr>
        <w:spacing w:after="0" w:line="181" w:lineRule="exact"/>
        <w:rPr>
          <w:sz w:val="24"/>
          <w:szCs w:val="24"/>
          <w:color w:val="auto"/>
        </w:rPr>
      </w:pPr>
    </w:p>
    <w:p>
      <w:pPr>
        <w:ind w:right="40"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7" w:lineRule="exact"/>
        <w:rPr>
          <w:sz w:val="24"/>
          <w:szCs w:val="24"/>
          <w:color w:val="auto"/>
        </w:rPr>
      </w:pPr>
    </w:p>
    <w:p>
      <w:pPr>
        <w:ind w:left="1920"/>
        <w:spacing w:after="0"/>
        <w:tabs>
          <w:tab w:leader="none" w:pos="7920" w:val="left"/>
        </w:tabs>
        <w:rPr>
          <w:sz w:val="20"/>
          <w:szCs w:val="20"/>
          <w:color w:val="auto"/>
        </w:rPr>
      </w:pPr>
      <w:r>
        <w:rPr>
          <w:rFonts w:ascii="Arial" w:cs="Arial" w:eastAsia="Arial" w:hAnsi="Arial"/>
          <w:sz w:val="18"/>
          <w:szCs w:val="18"/>
          <w:color w:val="auto"/>
        </w:rPr>
        <w:t>Large accelerated filer x</w:t>
      </w:r>
      <w:r>
        <w:rPr>
          <w:sz w:val="20"/>
          <w:szCs w:val="20"/>
          <w:color w:val="auto"/>
        </w:rPr>
        <w:tab/>
      </w:r>
      <w:r>
        <w:rPr>
          <w:rFonts w:ascii="Arial" w:cs="Arial" w:eastAsia="Arial" w:hAnsi="Arial"/>
          <w:sz w:val="17"/>
          <w:szCs w:val="17"/>
          <w:color w:val="auto"/>
        </w:rPr>
        <w:t>Accelerated filer o</w:t>
      </w:r>
    </w:p>
    <w:p>
      <w:pPr>
        <w:spacing w:after="0" w:line="225" w:lineRule="exact"/>
        <w:rPr>
          <w:sz w:val="24"/>
          <w:szCs w:val="24"/>
          <w:color w:val="auto"/>
        </w:rPr>
      </w:pPr>
    </w:p>
    <w:p>
      <w:pPr>
        <w:ind w:left="1960"/>
        <w:spacing w:after="0"/>
        <w:tabs>
          <w:tab w:leader="none" w:pos="7520" w:val="left"/>
        </w:tabs>
        <w:rPr>
          <w:sz w:val="20"/>
          <w:szCs w:val="20"/>
          <w:color w:val="auto"/>
        </w:rPr>
      </w:pP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23"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(Do not check if a smaller reporting company)</w:t>
      </w:r>
    </w:p>
    <w:p>
      <w:pPr>
        <w:spacing w:after="0" w:line="21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o Yes x No</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October 31, 2014, there were 372,033,831 Common Units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ectPr>
          <w:pgSz w:w="11900" w:h="16838" w:orient="portrait"/>
          <w:cols w:equalWidth="0" w:num="1">
            <w:col w:w="11380"/>
          </w:cols>
          <w:pgMar w:left="240" w:top="233" w:right="279" w:bottom="0" w:gutter="0" w:footer="0" w:header="0"/>
        </w:sectPr>
      </w:pPr>
    </w:p>
    <w:p>
      <w:pPr>
        <w:spacing w:after="0" w:line="202" w:lineRule="exact"/>
        <w:rPr>
          <w:sz w:val="24"/>
          <w:szCs w:val="24"/>
          <w:color w:val="auto"/>
        </w:rPr>
      </w:pPr>
    </w:p>
    <w:p>
      <w:pPr>
        <w:ind w:left="10900"/>
        <w:spacing w:after="0"/>
        <w:rPr>
          <w:sz w:val="20"/>
          <w:szCs w:val="20"/>
          <w:color w:val="auto"/>
        </w:rPr>
      </w:pPr>
      <w:r>
        <w:rPr>
          <w:rFonts w:ascii="Arial" w:cs="Arial" w:eastAsia="Arial" w:hAnsi="Arial"/>
          <w:sz w:val="12"/>
          <w:szCs w:val="12"/>
          <w:b w:val="1"/>
          <w:bCs w:val="1"/>
          <w:color w:val="auto"/>
        </w:rPr>
        <w:t>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6779895</wp:posOffset>
            </wp:positionH>
            <wp:positionV relativeFrom="paragraph">
              <wp:posOffset>20955</wp:posOffset>
            </wp:positionV>
            <wp:extent cx="4718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ectPr>
          <w:pgSz w:w="11900" w:h="16838" w:orient="portrait"/>
          <w:cols w:equalWidth="0" w:num="1">
            <w:col w:w="11380"/>
          </w:cols>
          <w:pgMar w:left="240" w:top="233" w:right="2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3080" w:type="dxa"/>
            <w:vAlign w:val="bottom"/>
            <w:tcBorders>
              <w:bottom w:val="single" w:sz="8" w:color="0000EE"/>
            </w:tcBorders>
            <w:gridSpan w:val="17"/>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7420" w:type="dxa"/>
            <w:vAlign w:val="bottom"/>
            <w:gridSpan w:val="18"/>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6420" w:type="dxa"/>
            <w:vAlign w:val="bottom"/>
            <w:tcBorders>
              <w:bottom w:val="single" w:sz="8" w:color="0000EE"/>
            </w:tcBorders>
            <w:gridSpan w:val="25"/>
          </w:tcPr>
          <w:p>
            <w:pPr>
              <w:spacing w:after="0" w:line="196" w:lineRule="exact"/>
              <w:rPr>
                <w:rFonts w:ascii="Arial" w:cs="Arial" w:eastAsia="Arial" w:hAnsi="Arial"/>
                <w:sz w:val="18"/>
                <w:szCs w:val="18"/>
                <w:color w:val="0000EE"/>
                <w:w w:val="96"/>
              </w:rPr>
            </w:pPr>
            <w:hyperlink w:anchor="page2">
              <w:r>
                <w:rPr>
                  <w:rFonts w:ascii="Arial" w:cs="Arial" w:eastAsia="Arial" w:hAnsi="Arial"/>
                  <w:sz w:val="18"/>
                  <w:szCs w:val="18"/>
                  <w:color w:val="0000EE"/>
                  <w:w w:val="96"/>
                </w:rPr>
                <w:t>Item 1. UNAUDITED CONDENSED CONSOLIDATED FINANCIAL STATEMENTS:</w:t>
              </w:r>
            </w:hyperlink>
          </w:p>
        </w:tc>
        <w:tc>
          <w:tcPr>
            <w:tcW w:w="4080" w:type="dxa"/>
            <w:vAlign w:val="bottom"/>
            <w:gridSpan w:val="10"/>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200" w:type="dxa"/>
            <w:vAlign w:val="bottom"/>
          </w:tcPr>
          <w:p>
            <w:pPr>
              <w:spacing w:after="0"/>
              <w:rPr>
                <w:sz w:val="17"/>
                <w:szCs w:val="17"/>
                <w:color w:val="auto"/>
              </w:rPr>
            </w:pPr>
          </w:p>
        </w:tc>
        <w:tc>
          <w:tcPr>
            <w:tcW w:w="10300" w:type="dxa"/>
            <w:vAlign w:val="bottom"/>
            <w:gridSpan w:val="34"/>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Condensed Consolidated Balance Sheets: As of September 30, 2014 and December 31, 2013</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2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8580" w:type="dxa"/>
            <w:vAlign w:val="bottom"/>
            <w:tcBorders>
              <w:bottom w:val="single" w:sz="8" w:color="0000EE"/>
            </w:tcBorders>
            <w:gridSpan w:val="30"/>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Statements of Operations: For the three and nine months ended September 30, 2014 and 2013</w:t>
              </w:r>
            </w:hyperlink>
          </w:p>
        </w:tc>
        <w:tc>
          <w:tcPr>
            <w:tcW w:w="1720" w:type="dxa"/>
            <w:vAlign w:val="bottom"/>
            <w:gridSpan w:val="4"/>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00" w:type="dxa"/>
            <w:vAlign w:val="bottom"/>
          </w:tcPr>
          <w:p>
            <w:pPr>
              <w:spacing w:after="0"/>
              <w:rPr>
                <w:sz w:val="17"/>
                <w:szCs w:val="17"/>
                <w:color w:val="auto"/>
              </w:rPr>
            </w:pPr>
          </w:p>
        </w:tc>
        <w:tc>
          <w:tcPr>
            <w:tcW w:w="10300" w:type="dxa"/>
            <w:vAlign w:val="bottom"/>
            <w:gridSpan w:val="34"/>
          </w:tcPr>
          <w:p>
            <w:pPr>
              <w:spacing w:after="0" w:line="196" w:lineRule="exact"/>
              <w:rPr>
                <w:rFonts w:ascii="Arial" w:cs="Arial" w:eastAsia="Arial" w:hAnsi="Arial"/>
                <w:sz w:val="18"/>
                <w:szCs w:val="18"/>
                <w:color w:val="0000EE"/>
                <w:w w:val="96"/>
              </w:rPr>
            </w:pPr>
            <w:hyperlink w:anchor="page4">
              <w:r>
                <w:rPr>
                  <w:rFonts w:ascii="Arial" w:cs="Arial" w:eastAsia="Arial" w:hAnsi="Arial"/>
                  <w:sz w:val="18"/>
                  <w:szCs w:val="18"/>
                  <w:color w:val="0000EE"/>
                  <w:w w:val="96"/>
                </w:rPr>
                <w:t>Condensed Consolidated Statements of Comprehensive Income: For the three and nine months ended September 30, 2014 and 2013</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00" w:type="dxa"/>
            <w:vAlign w:val="bottom"/>
          </w:tcPr>
          <w:p>
            <w:pPr>
              <w:spacing w:after="0"/>
              <w:rPr>
                <w:sz w:val="17"/>
                <w:szCs w:val="17"/>
                <w:color w:val="auto"/>
              </w:rPr>
            </w:pPr>
          </w:p>
        </w:tc>
        <w:tc>
          <w:tcPr>
            <w:tcW w:w="9540" w:type="dxa"/>
            <w:vAlign w:val="bottom"/>
            <w:tcBorders>
              <w:top w:val="single" w:sz="8" w:color="0000EE"/>
            </w:tcBorders>
            <w:gridSpan w:val="3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Changes in Accumulated Other Comprehensive Income / (Loss): For the nine</w:t>
              </w:r>
            </w:hyperlink>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20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22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months ended September 30, 2014 and 2013</w:t>
              </w:r>
            </w:hyperlink>
          </w:p>
        </w:tc>
        <w:tc>
          <w:tcPr>
            <w:tcW w:w="5060" w:type="dxa"/>
            <w:vAlign w:val="bottom"/>
            <w:tcBorders>
              <w:top w:val="single" w:sz="8" w:color="0000EE"/>
            </w:tcBorders>
            <w:gridSpan w:val="11"/>
          </w:tcPr>
          <w:p>
            <w:pPr>
              <w:spacing w:after="0"/>
              <w:rPr>
                <w:sz w:val="17"/>
                <w:szCs w:val="17"/>
                <w:color w:val="auto"/>
              </w:rPr>
            </w:pPr>
          </w:p>
        </w:tc>
        <w:tc>
          <w:tcPr>
            <w:tcW w:w="1860" w:type="dxa"/>
            <w:vAlign w:val="bottom"/>
            <w:gridSpan w:val="5"/>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00" w:type="dxa"/>
            <w:vAlign w:val="bottom"/>
          </w:tcPr>
          <w:p>
            <w:pPr>
              <w:spacing w:after="0"/>
              <w:rPr>
                <w:sz w:val="17"/>
                <w:szCs w:val="17"/>
                <w:color w:val="auto"/>
              </w:rPr>
            </w:pPr>
          </w:p>
        </w:tc>
        <w:tc>
          <w:tcPr>
            <w:tcW w:w="7920" w:type="dxa"/>
            <w:vAlign w:val="bottom"/>
            <w:tcBorders>
              <w:bottom w:val="single" w:sz="8" w:color="0000EE"/>
            </w:tcBorders>
            <w:gridSpan w:val="28"/>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Cash Flows: For the nine months ended September 30, 2014 and 2013</w:t>
              </w:r>
            </w:hyperlink>
          </w:p>
        </w:tc>
        <w:tc>
          <w:tcPr>
            <w:tcW w:w="2380" w:type="dxa"/>
            <w:vAlign w:val="bottom"/>
            <w:gridSpan w:val="6"/>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200" w:type="dxa"/>
            <w:vAlign w:val="bottom"/>
          </w:tcPr>
          <w:p>
            <w:pPr>
              <w:spacing w:after="0"/>
              <w:rPr>
                <w:sz w:val="17"/>
                <w:szCs w:val="17"/>
                <w:color w:val="auto"/>
              </w:rPr>
            </w:pPr>
          </w:p>
        </w:tc>
        <w:tc>
          <w:tcPr>
            <w:tcW w:w="9140" w:type="dxa"/>
            <w:vAlign w:val="bottom"/>
            <w:tcBorders>
              <w:bottom w:val="single" w:sz="8" w:color="0000EE"/>
            </w:tcBorders>
            <w:gridSpan w:val="31"/>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Changes in Partners’ Capital: For the nine months ended September 30, 2014 and 2013</w:t>
              </w:r>
            </w:hyperlink>
          </w:p>
        </w:tc>
        <w:tc>
          <w:tcPr>
            <w:tcW w:w="1160" w:type="dxa"/>
            <w:vAlign w:val="bottom"/>
            <w:gridSpan w:val="3"/>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200" w:type="dxa"/>
            <w:vAlign w:val="bottom"/>
          </w:tcPr>
          <w:p>
            <w:pPr>
              <w:spacing w:after="0"/>
              <w:rPr>
                <w:sz w:val="17"/>
                <w:szCs w:val="17"/>
                <w:color w:val="auto"/>
              </w:rPr>
            </w:pPr>
          </w:p>
        </w:tc>
        <w:tc>
          <w:tcPr>
            <w:tcW w:w="10300" w:type="dxa"/>
            <w:vAlign w:val="bottom"/>
            <w:gridSpan w:val="3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the Condensed Consolidated Financial Statements:</w:t>
              </w:r>
            </w:hyperlink>
          </w:p>
        </w:tc>
        <w:tc>
          <w:tcPr>
            <w:tcW w:w="960" w:type="dxa"/>
            <w:vAlign w:val="bottom"/>
          </w:tcPr>
          <w:p>
            <w:pPr>
              <w:spacing w:after="0"/>
              <w:rPr>
                <w:sz w:val="17"/>
                <w:szCs w:val="17"/>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20" w:type="dxa"/>
            <w:vAlign w:val="bottom"/>
            <w:gridSpan w:val="3"/>
          </w:tcPr>
          <w:p>
            <w:pPr>
              <w:ind w:left="160"/>
              <w:spacing w:after="0" w:line="196"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1.</w:t>
              </w:r>
            </w:hyperlink>
          </w:p>
        </w:tc>
        <w:tc>
          <w:tcPr>
            <w:tcW w:w="9980" w:type="dxa"/>
            <w:vAlign w:val="bottom"/>
            <w:gridSpan w:val="31"/>
          </w:tcPr>
          <w:p>
            <w:pPr>
              <w:ind w:left="2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Organization and Basis of Consolidation and Presentation</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400" w:type="dxa"/>
            <w:vAlign w:val="bottom"/>
            <w:tcBorders>
              <w:right w:val="single" w:sz="8" w:color="0000EE"/>
            </w:tcBorders>
            <w:gridSpan w:val="3"/>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520" w:type="dxa"/>
            <w:vAlign w:val="bottom"/>
            <w:gridSpan w:val="4"/>
          </w:tcPr>
          <w:p>
            <w:pPr>
              <w:ind w:left="360"/>
              <w:spacing w:after="0" w:line="196" w:lineRule="exact"/>
              <w:rPr>
                <w:rFonts w:ascii="Arial" w:cs="Arial" w:eastAsia="Arial" w:hAnsi="Arial"/>
                <w:sz w:val="18"/>
                <w:szCs w:val="18"/>
                <w:color w:val="0000EE"/>
                <w:w w:val="92"/>
              </w:rPr>
            </w:pPr>
            <w:hyperlink w:anchor="page7">
              <w:r>
                <w:rPr>
                  <w:rFonts w:ascii="Arial" w:cs="Arial" w:eastAsia="Arial" w:hAnsi="Arial"/>
                  <w:sz w:val="18"/>
                  <w:szCs w:val="18"/>
                  <w:color w:val="0000EE"/>
                  <w:w w:val="92"/>
                </w:rPr>
                <w:t>2.</w:t>
              </w:r>
            </w:hyperlink>
          </w:p>
        </w:tc>
        <w:tc>
          <w:tcPr>
            <w:tcW w:w="9980" w:type="dxa"/>
            <w:vAlign w:val="bottom"/>
            <w:gridSpan w:val="31"/>
          </w:tcPr>
          <w:p>
            <w:pPr>
              <w:ind w:left="20"/>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Recent Accounting Pronouncements</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400" w:type="dxa"/>
            <w:vAlign w:val="bottom"/>
            <w:tcBorders>
              <w:right w:val="single" w:sz="8" w:color="0000EE"/>
            </w:tcBorders>
            <w:gridSpan w:val="3"/>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520" w:type="dxa"/>
            <w:vAlign w:val="bottom"/>
            <w:gridSpan w:val="4"/>
          </w:tcPr>
          <w:p>
            <w:pPr>
              <w:ind w:left="360"/>
              <w:spacing w:after="0" w:line="196" w:lineRule="exact"/>
              <w:rPr>
                <w:rFonts w:ascii="Arial" w:cs="Arial" w:eastAsia="Arial" w:hAnsi="Arial"/>
                <w:sz w:val="18"/>
                <w:szCs w:val="18"/>
                <w:color w:val="0000EE"/>
                <w:w w:val="92"/>
              </w:rPr>
            </w:pPr>
            <w:hyperlink w:anchor="page7">
              <w:r>
                <w:rPr>
                  <w:rFonts w:ascii="Arial" w:cs="Arial" w:eastAsia="Arial" w:hAnsi="Arial"/>
                  <w:sz w:val="18"/>
                  <w:szCs w:val="18"/>
                  <w:color w:val="0000EE"/>
                  <w:w w:val="92"/>
                </w:rPr>
                <w:t>3.</w:t>
              </w:r>
            </w:hyperlink>
          </w:p>
        </w:tc>
        <w:tc>
          <w:tcPr>
            <w:tcW w:w="9980" w:type="dxa"/>
            <w:vAlign w:val="bottom"/>
            <w:gridSpan w:val="31"/>
          </w:tcPr>
          <w:p>
            <w:pPr>
              <w:ind w:left="20"/>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Accounts Receivable</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400" w:type="dxa"/>
            <w:vAlign w:val="bottom"/>
            <w:tcBorders>
              <w:right w:val="single" w:sz="8" w:color="0000EE"/>
            </w:tcBorders>
            <w:gridSpan w:val="3"/>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520" w:type="dxa"/>
            <w:vAlign w:val="bottom"/>
            <w:gridSpan w:val="4"/>
          </w:tcPr>
          <w:p>
            <w:pPr>
              <w:ind w:left="360"/>
              <w:spacing w:after="0" w:line="196" w:lineRule="exact"/>
              <w:rPr>
                <w:rFonts w:ascii="Arial" w:cs="Arial" w:eastAsia="Arial" w:hAnsi="Arial"/>
                <w:sz w:val="18"/>
                <w:szCs w:val="18"/>
                <w:color w:val="0000EE"/>
                <w:w w:val="92"/>
              </w:rPr>
            </w:pPr>
            <w:hyperlink w:anchor="page7">
              <w:r>
                <w:rPr>
                  <w:rFonts w:ascii="Arial" w:cs="Arial" w:eastAsia="Arial" w:hAnsi="Arial"/>
                  <w:sz w:val="18"/>
                  <w:szCs w:val="18"/>
                  <w:color w:val="0000EE"/>
                  <w:w w:val="92"/>
                </w:rPr>
                <w:t>4.</w:t>
              </w:r>
            </w:hyperlink>
          </w:p>
        </w:tc>
        <w:tc>
          <w:tcPr>
            <w:tcW w:w="9980" w:type="dxa"/>
            <w:vAlign w:val="bottom"/>
            <w:gridSpan w:val="31"/>
          </w:tcPr>
          <w:p>
            <w:pPr>
              <w:ind w:left="20"/>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Inventory, Linefill and Base Gas and Long-term Inventory</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400" w:type="dxa"/>
            <w:vAlign w:val="bottom"/>
            <w:tcBorders>
              <w:right w:val="single" w:sz="8" w:color="0000EE"/>
            </w:tcBorders>
            <w:gridSpan w:val="3"/>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520" w:type="dxa"/>
            <w:vAlign w:val="bottom"/>
            <w:gridSpan w:val="4"/>
          </w:tcPr>
          <w:p>
            <w:pPr>
              <w:ind w:left="360"/>
              <w:spacing w:after="0" w:line="196" w:lineRule="exact"/>
              <w:rPr>
                <w:rFonts w:ascii="Arial" w:cs="Arial" w:eastAsia="Arial" w:hAnsi="Arial"/>
                <w:sz w:val="18"/>
                <w:szCs w:val="18"/>
                <w:color w:val="0000EE"/>
                <w:w w:val="92"/>
              </w:rPr>
            </w:pPr>
            <w:hyperlink w:anchor="page8">
              <w:r>
                <w:rPr>
                  <w:rFonts w:ascii="Arial" w:cs="Arial" w:eastAsia="Arial" w:hAnsi="Arial"/>
                  <w:sz w:val="18"/>
                  <w:szCs w:val="18"/>
                  <w:color w:val="0000EE"/>
                  <w:w w:val="92"/>
                </w:rPr>
                <w:t>5.</w:t>
              </w:r>
            </w:hyperlink>
          </w:p>
        </w:tc>
        <w:tc>
          <w:tcPr>
            <w:tcW w:w="9980" w:type="dxa"/>
            <w:vAlign w:val="bottom"/>
            <w:gridSpan w:val="31"/>
          </w:tcPr>
          <w:p>
            <w:pPr>
              <w:ind w:left="20"/>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Goodwill</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400" w:type="dxa"/>
            <w:vAlign w:val="bottom"/>
            <w:tcBorders>
              <w:right w:val="single" w:sz="8" w:color="0000EE"/>
            </w:tcBorders>
            <w:gridSpan w:val="3"/>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520" w:type="dxa"/>
            <w:vAlign w:val="bottom"/>
            <w:gridSpan w:val="4"/>
          </w:tcPr>
          <w:p>
            <w:pPr>
              <w:ind w:left="360"/>
              <w:spacing w:after="0" w:line="196" w:lineRule="exact"/>
              <w:rPr>
                <w:rFonts w:ascii="Arial" w:cs="Arial" w:eastAsia="Arial" w:hAnsi="Arial"/>
                <w:sz w:val="18"/>
                <w:szCs w:val="18"/>
                <w:color w:val="0000EE"/>
                <w:w w:val="92"/>
              </w:rPr>
            </w:pPr>
            <w:hyperlink w:anchor="page8">
              <w:r>
                <w:rPr>
                  <w:rFonts w:ascii="Arial" w:cs="Arial" w:eastAsia="Arial" w:hAnsi="Arial"/>
                  <w:sz w:val="18"/>
                  <w:szCs w:val="18"/>
                  <w:color w:val="0000EE"/>
                  <w:w w:val="92"/>
                </w:rPr>
                <w:t>6.</w:t>
              </w:r>
            </w:hyperlink>
          </w:p>
        </w:tc>
        <w:tc>
          <w:tcPr>
            <w:tcW w:w="9980" w:type="dxa"/>
            <w:vAlign w:val="bottom"/>
            <w:gridSpan w:val="31"/>
          </w:tcPr>
          <w:p>
            <w:pPr>
              <w:ind w:left="20"/>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Debt</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400" w:type="dxa"/>
            <w:vAlign w:val="bottom"/>
            <w:tcBorders>
              <w:right w:val="single" w:sz="8" w:color="0000EE"/>
            </w:tcBorders>
            <w:gridSpan w:val="3"/>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520" w:type="dxa"/>
            <w:vAlign w:val="bottom"/>
            <w:gridSpan w:val="4"/>
          </w:tcPr>
          <w:p>
            <w:pPr>
              <w:ind w:left="360"/>
              <w:spacing w:after="0" w:line="196" w:lineRule="exact"/>
              <w:rPr>
                <w:rFonts w:ascii="Arial" w:cs="Arial" w:eastAsia="Arial" w:hAnsi="Arial"/>
                <w:sz w:val="18"/>
                <w:szCs w:val="18"/>
                <w:color w:val="0000EE"/>
                <w:w w:val="92"/>
              </w:rPr>
            </w:pPr>
            <w:hyperlink w:anchor="page9">
              <w:r>
                <w:rPr>
                  <w:rFonts w:ascii="Arial" w:cs="Arial" w:eastAsia="Arial" w:hAnsi="Arial"/>
                  <w:sz w:val="18"/>
                  <w:szCs w:val="18"/>
                  <w:color w:val="0000EE"/>
                  <w:w w:val="92"/>
                </w:rPr>
                <w:t>7.</w:t>
              </w:r>
            </w:hyperlink>
          </w:p>
        </w:tc>
        <w:tc>
          <w:tcPr>
            <w:tcW w:w="9980" w:type="dxa"/>
            <w:vAlign w:val="bottom"/>
            <w:gridSpan w:val="31"/>
          </w:tcPr>
          <w:p>
            <w:pPr>
              <w:ind w:left="20"/>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Net Income Per Limited Partner Unit</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400" w:type="dxa"/>
            <w:vAlign w:val="bottom"/>
            <w:tcBorders>
              <w:right w:val="single" w:sz="8" w:color="0000EE"/>
            </w:tcBorders>
            <w:gridSpan w:val="3"/>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520" w:type="dxa"/>
            <w:vAlign w:val="bottom"/>
            <w:gridSpan w:val="4"/>
          </w:tcPr>
          <w:p>
            <w:pPr>
              <w:ind w:left="360"/>
              <w:spacing w:after="0" w:line="196" w:lineRule="exact"/>
              <w:rPr>
                <w:rFonts w:ascii="Arial" w:cs="Arial" w:eastAsia="Arial" w:hAnsi="Arial"/>
                <w:sz w:val="18"/>
                <w:szCs w:val="18"/>
                <w:color w:val="0000EE"/>
                <w:w w:val="92"/>
              </w:rPr>
            </w:pPr>
            <w:hyperlink w:anchor="page11">
              <w:r>
                <w:rPr>
                  <w:rFonts w:ascii="Arial" w:cs="Arial" w:eastAsia="Arial" w:hAnsi="Arial"/>
                  <w:sz w:val="18"/>
                  <w:szCs w:val="18"/>
                  <w:color w:val="0000EE"/>
                  <w:w w:val="92"/>
                </w:rPr>
                <w:t>8.</w:t>
              </w:r>
            </w:hyperlink>
          </w:p>
        </w:tc>
        <w:tc>
          <w:tcPr>
            <w:tcW w:w="9980" w:type="dxa"/>
            <w:vAlign w:val="bottom"/>
            <w:gridSpan w:val="31"/>
          </w:tcPr>
          <w:p>
            <w:pPr>
              <w:ind w:left="20"/>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Partners’ Capital and Distributions</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400" w:type="dxa"/>
            <w:vAlign w:val="bottom"/>
            <w:tcBorders>
              <w:right w:val="single" w:sz="8" w:color="0000EE"/>
            </w:tcBorders>
            <w:gridSpan w:val="3"/>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520" w:type="dxa"/>
            <w:vAlign w:val="bottom"/>
            <w:gridSpan w:val="4"/>
          </w:tcPr>
          <w:p>
            <w:pPr>
              <w:ind w:left="360"/>
              <w:spacing w:after="0" w:line="196" w:lineRule="exact"/>
              <w:rPr>
                <w:rFonts w:ascii="Arial" w:cs="Arial" w:eastAsia="Arial" w:hAnsi="Arial"/>
                <w:sz w:val="18"/>
                <w:szCs w:val="18"/>
                <w:color w:val="0000EE"/>
                <w:w w:val="92"/>
              </w:rPr>
            </w:pPr>
            <w:hyperlink w:anchor="page11">
              <w:r>
                <w:rPr>
                  <w:rFonts w:ascii="Arial" w:cs="Arial" w:eastAsia="Arial" w:hAnsi="Arial"/>
                  <w:sz w:val="18"/>
                  <w:szCs w:val="18"/>
                  <w:color w:val="0000EE"/>
                  <w:w w:val="92"/>
                </w:rPr>
                <w:t>9.</w:t>
              </w:r>
            </w:hyperlink>
          </w:p>
        </w:tc>
        <w:tc>
          <w:tcPr>
            <w:tcW w:w="9980" w:type="dxa"/>
            <w:vAlign w:val="bottom"/>
            <w:gridSpan w:val="31"/>
          </w:tcPr>
          <w:p>
            <w:pPr>
              <w:ind w:left="20"/>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Equity-Indexed Compensation Plans</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8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w:anchor="page12">
              <w:r>
                <w:rPr>
                  <w:rFonts w:ascii="Arial" w:cs="Arial" w:eastAsia="Arial" w:hAnsi="Arial"/>
                  <w:sz w:val="18"/>
                  <w:szCs w:val="18"/>
                  <w:color w:val="0000EE"/>
                  <w:w w:val="91"/>
                </w:rPr>
                <w:t>10. Derivatives and Risk Management Activities</w:t>
              </w:r>
            </w:hyperlink>
          </w:p>
        </w:tc>
        <w:tc>
          <w:tcPr>
            <w:tcW w:w="6620" w:type="dxa"/>
            <w:vAlign w:val="bottom"/>
            <w:gridSpan w:val="14"/>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6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17">
              <w:r>
                <w:rPr>
                  <w:rFonts w:ascii="Arial" w:cs="Arial" w:eastAsia="Arial" w:hAnsi="Arial"/>
                  <w:sz w:val="18"/>
                  <w:szCs w:val="18"/>
                  <w:color w:val="0000EE"/>
                  <w:w w:val="88"/>
                </w:rPr>
                <w:t>11. Commitments and Contingencies</w:t>
              </w:r>
            </w:hyperlink>
          </w:p>
        </w:tc>
        <w:tc>
          <w:tcPr>
            <w:tcW w:w="7440" w:type="dxa"/>
            <w:vAlign w:val="bottom"/>
            <w:gridSpan w:val="19"/>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00" w:type="dxa"/>
            <w:vAlign w:val="bottom"/>
            <w:gridSpan w:val="32"/>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12. Operating Segments</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9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19">
              <w:r>
                <w:rPr>
                  <w:rFonts w:ascii="Arial" w:cs="Arial" w:eastAsia="Arial" w:hAnsi="Arial"/>
                  <w:sz w:val="18"/>
                  <w:szCs w:val="18"/>
                  <w:color w:val="0000EE"/>
                  <w:w w:val="87"/>
                </w:rPr>
                <w:t>13. Related Party Transactions</w:t>
              </w:r>
            </w:hyperlink>
          </w:p>
        </w:tc>
        <w:tc>
          <w:tcPr>
            <w:tcW w:w="7920" w:type="dxa"/>
            <w:vAlign w:val="bottom"/>
            <w:gridSpan w:val="22"/>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00" w:type="dxa"/>
            <w:vAlign w:val="bottom"/>
            <w:gridSpan w:val="32"/>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14. Subsequent Events</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0"/>
        </w:trPr>
        <w:tc>
          <w:tcPr>
            <w:tcW w:w="400" w:type="dxa"/>
            <w:vAlign w:val="bottom"/>
            <w:gridSpan w:val="3"/>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9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12"/>
        </w:trPr>
        <w:tc>
          <w:tcPr>
            <w:tcW w:w="9480" w:type="dxa"/>
            <w:vAlign w:val="bottom"/>
            <w:tcBorders>
              <w:bottom w:val="single" w:sz="8" w:color="0000EE"/>
            </w:tcBorders>
            <w:gridSpan w:val="33"/>
          </w:tcPr>
          <w:p>
            <w:pPr>
              <w:spacing w:after="0"/>
              <w:rPr>
                <w:rFonts w:ascii="Arial" w:cs="Arial" w:eastAsia="Arial" w:hAnsi="Arial"/>
                <w:sz w:val="18"/>
                <w:szCs w:val="18"/>
                <w:color w:val="0000EE"/>
                <w:w w:val="96"/>
              </w:rPr>
            </w:pPr>
            <w:hyperlink w:anchor="page19">
              <w:r>
                <w:rPr>
                  <w:rFonts w:ascii="Arial" w:cs="Arial" w:eastAsia="Arial" w:hAnsi="Arial"/>
                  <w:sz w:val="18"/>
                  <w:szCs w:val="18"/>
                  <w:color w:val="0000EE"/>
                  <w:w w:val="96"/>
                </w:rPr>
                <w:t>Item 2. MANAGEMENT’S DISCUSSION AND ANALYSIS OF FINANCIAL CONDITION AND RESULTS OF OPERATIONS</w:t>
              </w:r>
            </w:hyperlink>
          </w:p>
        </w:tc>
        <w:tc>
          <w:tcPr>
            <w:tcW w:w="1020" w:type="dxa"/>
            <w:vAlign w:val="bottom"/>
            <w:gridSpan w:val="2"/>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196"/>
        </w:trPr>
        <w:tc>
          <w:tcPr>
            <w:tcW w:w="10500" w:type="dxa"/>
            <w:vAlign w:val="bottom"/>
            <w:gridSpan w:val="35"/>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Item 3. QUANTITATIVE AND QUALITATIVE DISCLOSURES ABOUT MARKET RISK</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670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Item 4. CONTROLS AND PROCEDURES</w:t>
              </w:r>
            </w:hyperlink>
          </w:p>
        </w:tc>
        <w:tc>
          <w:tcPr>
            <w:tcW w:w="3800" w:type="dxa"/>
            <w:vAlign w:val="bottom"/>
            <w:gridSpan w:val="8"/>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412"/>
        </w:trPr>
        <w:tc>
          <w:tcPr>
            <w:tcW w:w="2780" w:type="dxa"/>
            <w:vAlign w:val="bottom"/>
            <w:tcBorders>
              <w:top w:val="single" w:sz="8" w:color="0000EE"/>
              <w:bottom w:val="single" w:sz="8" w:color="0000EE"/>
            </w:tcBorders>
            <w:gridSpan w:val="14"/>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PART II. OTHER INFORMATION</w:t>
              </w:r>
            </w:hyperlink>
          </w:p>
        </w:tc>
        <w:tc>
          <w:tcPr>
            <w:tcW w:w="400" w:type="dxa"/>
            <w:vAlign w:val="bottom"/>
            <w:tcBorders>
              <w:top w:val="single" w:sz="8" w:color="0000EE"/>
            </w:tcBorders>
            <w:gridSpan w:val="4"/>
          </w:tcPr>
          <w:p>
            <w:pPr>
              <w:spacing w:after="0"/>
              <w:rPr>
                <w:sz w:val="24"/>
                <w:szCs w:val="24"/>
                <w:color w:val="auto"/>
              </w:rPr>
            </w:pPr>
          </w:p>
        </w:tc>
        <w:tc>
          <w:tcPr>
            <w:tcW w:w="7320" w:type="dxa"/>
            <w:vAlign w:val="bottom"/>
            <w:gridSpan w:val="17"/>
          </w:tcPr>
          <w:p>
            <w:pPr>
              <w:spacing w:after="0"/>
              <w:rPr>
                <w:sz w:val="24"/>
                <w:szCs w:val="24"/>
                <w:color w:val="auto"/>
              </w:rPr>
            </w:pPr>
          </w:p>
        </w:tc>
        <w:tc>
          <w:tcPr>
            <w:tcW w:w="960" w:type="dxa"/>
            <w:vAlign w:val="bottom"/>
          </w:tcPr>
          <w:p>
            <w:pPr>
              <w:spacing w:after="0"/>
              <w:rPr>
                <w:sz w:val="24"/>
                <w:szCs w:val="24"/>
                <w:color w:val="auto"/>
              </w:rPr>
            </w:pPr>
          </w:p>
        </w:tc>
      </w:tr>
      <w:tr>
        <w:trPr>
          <w:trHeight w:val="196"/>
        </w:trPr>
        <w:tc>
          <w:tcPr>
            <w:tcW w:w="244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w:anchor="page35">
              <w:r>
                <w:rPr>
                  <w:rFonts w:ascii="Arial" w:cs="Arial" w:eastAsia="Arial" w:hAnsi="Arial"/>
                  <w:sz w:val="18"/>
                  <w:szCs w:val="18"/>
                  <w:color w:val="0000EE"/>
                  <w:w w:val="94"/>
                </w:rPr>
                <w:t>Item 1. LEGAL PROCEEDINGS</w:t>
              </w:r>
            </w:hyperlink>
          </w:p>
        </w:tc>
        <w:tc>
          <w:tcPr>
            <w:tcW w:w="8060" w:type="dxa"/>
            <w:vAlign w:val="bottom"/>
            <w:gridSpan w:val="23"/>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10500" w:type="dxa"/>
            <w:vAlign w:val="bottom"/>
            <w:gridSpan w:val="35"/>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Item 1A. RISK FACTORS</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900" w:type="dxa"/>
            <w:vAlign w:val="bottom"/>
            <w:gridSpan w:val="6"/>
          </w:tcPr>
          <w:p>
            <w:pPr>
              <w:spacing w:after="0" w:line="20" w:lineRule="exact"/>
              <w:rPr>
                <w:sz w:val="1"/>
                <w:szCs w:val="1"/>
                <w:color w:val="auto"/>
              </w:rPr>
            </w:pPr>
          </w:p>
        </w:tc>
        <w:tc>
          <w:tcPr>
            <w:tcW w:w="3860" w:type="dxa"/>
            <w:vAlign w:val="bottom"/>
            <w:gridSpan w:val="9"/>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6640" w:type="dxa"/>
            <w:vAlign w:val="bottom"/>
            <w:tcBorders>
              <w:bottom w:val="single" w:sz="8" w:color="0000EE"/>
            </w:tcBorders>
            <w:gridSpan w:val="26"/>
          </w:tcPr>
          <w:p>
            <w:pPr>
              <w:spacing w:after="0" w:line="196" w:lineRule="exact"/>
              <w:rPr>
                <w:rFonts w:ascii="Arial" w:cs="Arial" w:eastAsia="Arial" w:hAnsi="Arial"/>
                <w:sz w:val="18"/>
                <w:szCs w:val="18"/>
                <w:color w:val="0000EE"/>
                <w:w w:val="94"/>
              </w:rPr>
            </w:pPr>
            <w:hyperlink w:anchor="page35">
              <w:r>
                <w:rPr>
                  <w:rFonts w:ascii="Arial" w:cs="Arial" w:eastAsia="Arial" w:hAnsi="Arial"/>
                  <w:sz w:val="18"/>
                  <w:szCs w:val="18"/>
                  <w:color w:val="0000EE"/>
                  <w:w w:val="94"/>
                </w:rPr>
                <w:t>Item 2. UNREGISTERED SALES OF EQUITY SECURITIES AND USE OF PROCEEDS</w:t>
              </w:r>
            </w:hyperlink>
          </w:p>
        </w:tc>
        <w:tc>
          <w:tcPr>
            <w:tcW w:w="3860" w:type="dxa"/>
            <w:vAlign w:val="bottom"/>
            <w:gridSpan w:val="9"/>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10500" w:type="dxa"/>
            <w:vAlign w:val="bottom"/>
            <w:gridSpan w:val="35"/>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Item 3. DEFAULTS UPON SENIOR SECURITIES</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374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Item 4. MINE SAFETY DISCLOSURES</w:t>
              </w:r>
            </w:hyperlink>
          </w:p>
        </w:tc>
        <w:tc>
          <w:tcPr>
            <w:tcW w:w="6760" w:type="dxa"/>
            <w:vAlign w:val="bottom"/>
            <w:gridSpan w:val="15"/>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30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Item 5. OTHER INFORMATION</w:t>
              </w:r>
            </w:hyperlink>
          </w:p>
        </w:tc>
        <w:tc>
          <w:tcPr>
            <w:tcW w:w="7500" w:type="dxa"/>
            <w:vAlign w:val="bottom"/>
            <w:gridSpan w:val="20"/>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24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Item 6. EXHIBITS</w:t>
              </w:r>
            </w:hyperlink>
          </w:p>
        </w:tc>
        <w:tc>
          <w:tcPr>
            <w:tcW w:w="8060" w:type="dxa"/>
            <w:vAlign w:val="bottom"/>
            <w:gridSpan w:val="23"/>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13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SIGNATURES</w:t>
              </w:r>
            </w:hyperlink>
          </w:p>
        </w:tc>
        <w:tc>
          <w:tcPr>
            <w:tcW w:w="9120" w:type="dxa"/>
            <w:vAlign w:val="bottom"/>
            <w:gridSpan w:val="27"/>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453"/>
        </w:trPr>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gridSpan w:val="2"/>
          </w:tcPr>
          <w:p>
            <w:pPr>
              <w:spacing w:after="0"/>
              <w:rPr>
                <w:sz w:val="24"/>
                <w:szCs w:val="24"/>
                <w:color w:val="auto"/>
              </w:rPr>
            </w:pPr>
          </w:p>
        </w:tc>
        <w:tc>
          <w:tcPr>
            <w:tcW w:w="5320" w:type="dxa"/>
            <w:vAlign w:val="bottom"/>
            <w:gridSpan w:val="19"/>
          </w:tcPr>
          <w:p>
            <w:pPr>
              <w:jc w:val="right"/>
              <w:ind w:right="66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32"/>
        </w:trPr>
        <w:tc>
          <w:tcPr>
            <w:tcW w:w="2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6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UNAUDITED CONDENSED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 except unit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6"/>
              </w:rPr>
              <w:t>September 30,</w:t>
            </w:r>
          </w:p>
        </w:tc>
        <w:tc>
          <w:tcPr>
            <w:tcW w:w="240" w:type="dxa"/>
            <w:vAlign w:val="bottom"/>
          </w:tcPr>
          <w:p>
            <w:pPr>
              <w:spacing w:after="0"/>
              <w:rPr>
                <w:sz w:val="14"/>
                <w:szCs w:val="1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 and other receivables, net</w:t>
            </w: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3,522</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Inventory</w:t>
            </w:r>
          </w:p>
        </w:tc>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1,314</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290</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current assets</w:t>
            </w:r>
          </w:p>
        </w:tc>
        <w:tc>
          <w:tcPr>
            <w:tcW w:w="22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5,160</w:t>
            </w:r>
          </w:p>
        </w:tc>
        <w:tc>
          <w:tcPr>
            <w:tcW w:w="2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b w:val="1"/>
                <w:bCs w:val="1"/>
                <w:color w:val="auto"/>
              </w:rPr>
              <w:t>PROPERTY AND EQUIPMENT</w:t>
            </w:r>
          </w:p>
        </w:tc>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13,816</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(1,851)</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Property and equipment, net</w:t>
            </w:r>
          </w:p>
        </w:tc>
        <w:tc>
          <w:tcPr>
            <w:tcW w:w="22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11,965</w:t>
            </w:r>
          </w:p>
        </w:tc>
        <w:tc>
          <w:tcPr>
            <w:tcW w:w="2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10,819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2,481</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Linefill and base gas</w:t>
            </w:r>
          </w:p>
        </w:tc>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903</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Long-term inventory</w:t>
            </w: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270</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Investments in unconsolidated entities</w:t>
            </w:r>
          </w:p>
        </w:tc>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582</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476</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assets</w:t>
            </w:r>
          </w:p>
        </w:tc>
        <w:tc>
          <w:tcPr>
            <w:tcW w:w="22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21,837</w:t>
            </w:r>
          </w:p>
        </w:tc>
        <w:tc>
          <w:tcPr>
            <w:tcW w:w="2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20,360</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2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08" w:right="19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15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4,169</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Short-term debt</w:t>
            </w: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976</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1,113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423</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current liabilities</w:t>
            </w:r>
          </w:p>
        </w:tc>
        <w:tc>
          <w:tcPr>
            <w:tcW w:w="11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5,568</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LONG-TERM LIABILITIES</w:t>
            </w: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Senior notes, net of unamortized discount of $16 and $15, respectively</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7,609</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Long-term debt under credit facilities and other</w:t>
            </w: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526</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long-term liabilities</w:t>
            </w:r>
          </w:p>
        </w:tc>
        <w:tc>
          <w:tcPr>
            <w:tcW w:w="11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8,139</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11)</w:t>
            </w: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PARTNERS’ CAPITAL</w:t>
            </w: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Common unitholders (371,468,177 and 359,133,200 units outstanding, respectively)</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7,740</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General partner</w:t>
            </w: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331</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partners’ capital excluding noncontrolling interests</w:t>
            </w:r>
          </w:p>
        </w:tc>
        <w:tc>
          <w:tcPr>
            <w:tcW w:w="1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8,071</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59</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partners’ capital</w:t>
            </w:r>
          </w:p>
        </w:tc>
        <w:tc>
          <w:tcPr>
            <w:tcW w:w="1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8,130</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Total liabilities and partners’ capital</w:t>
            </w:r>
          </w:p>
        </w:tc>
        <w:tc>
          <w:tcPr>
            <w:tcW w:w="110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21,837</w:t>
            </w:r>
          </w:p>
        </w:tc>
        <w:tc>
          <w:tcPr>
            <w:tcW w:w="28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20,360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unit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0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gridSpan w:val="3"/>
          </w:tcPr>
          <w:p>
            <w:pPr>
              <w:jc w:val="center"/>
              <w:ind w:left="393"/>
              <w:spacing w:after="0"/>
              <w:rPr>
                <w:sz w:val="20"/>
                <w:szCs w:val="20"/>
                <w:color w:val="auto"/>
              </w:rPr>
            </w:pPr>
            <w:r>
              <w:rPr>
                <w:rFonts w:ascii="Arial" w:cs="Arial" w:eastAsia="Arial" w:hAnsi="Arial"/>
                <w:sz w:val="14"/>
                <w:szCs w:val="14"/>
                <w:b w:val="1"/>
                <w:bCs w:val="1"/>
                <w:color w:val="auto"/>
                <w:w w:val="94"/>
              </w:rPr>
              <w:t>Nine Months Ended</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center"/>
              <w:ind w:left="493"/>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center"/>
              <w:ind w:left="393"/>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w w:val="83"/>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gridSpan w:val="3"/>
          </w:tcPr>
          <w:p>
            <w:pPr>
              <w:jc w:val="center"/>
              <w:ind w:left="493"/>
              <w:spacing w:after="0" w:line="142" w:lineRule="exact"/>
              <w:rPr>
                <w:sz w:val="20"/>
                <w:szCs w:val="20"/>
                <w:color w:val="auto"/>
              </w:rPr>
            </w:pPr>
            <w:r>
              <w:rPr>
                <w:rFonts w:ascii="Arial" w:cs="Arial" w:eastAsia="Arial" w:hAnsi="Arial"/>
                <w:sz w:val="14"/>
                <w:szCs w:val="14"/>
                <w:b w:val="1"/>
                <w:bCs w:val="1"/>
                <w:color w:val="auto"/>
                <w:w w:val="94"/>
              </w:rPr>
              <w:t>(unaudited)</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gridSpan w:val="3"/>
          </w:tcPr>
          <w:p>
            <w:pPr>
              <w:jc w:val="center"/>
              <w:ind w:left="393"/>
              <w:spacing w:after="0" w:line="142" w:lineRule="exact"/>
              <w:rPr>
                <w:sz w:val="20"/>
                <w:szCs w:val="20"/>
                <w:color w:val="auto"/>
              </w:rPr>
            </w:pPr>
            <w:r>
              <w:rPr>
                <w:rFonts w:ascii="Arial" w:cs="Arial" w:eastAsia="Arial" w:hAnsi="Arial"/>
                <w:sz w:val="14"/>
                <w:szCs w:val="14"/>
                <w:b w:val="1"/>
                <w:bCs w:val="1"/>
                <w:color w:val="auto"/>
                <w:w w:val="94"/>
              </w:rPr>
              <w:t>(unaudited)</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Supply and Logistics segment revenues</w:t>
            </w:r>
          </w:p>
        </w:tc>
        <w:tc>
          <w:tcPr>
            <w:tcW w:w="5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10,788</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10,386</w:t>
            </w:r>
          </w:p>
        </w:tc>
        <w:tc>
          <w:tcPr>
            <w:tcW w:w="4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32,988</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30,542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segment revenues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198</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574</w:t>
            </w:r>
          </w:p>
        </w:tc>
        <w:tc>
          <w:tcPr>
            <w:tcW w:w="4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Facilities segment revenues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141</w:t>
            </w:r>
          </w:p>
        </w:tc>
        <w:tc>
          <w:tcPr>
            <w:tcW w:w="4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443</w:t>
            </w:r>
          </w:p>
        </w:tc>
        <w:tc>
          <w:tcPr>
            <w:tcW w:w="4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11,127</w:t>
            </w: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34,005</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10,166</w:t>
            </w:r>
          </w:p>
        </w:tc>
        <w:tc>
          <w:tcPr>
            <w:tcW w:w="4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9,909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31,116</w:t>
            </w:r>
          </w:p>
        </w:tc>
        <w:tc>
          <w:tcPr>
            <w:tcW w:w="4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28,733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382</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1,078</w:t>
            </w:r>
          </w:p>
        </w:tc>
        <w:tc>
          <w:tcPr>
            <w:tcW w:w="4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257</w:t>
            </w:r>
          </w:p>
        </w:tc>
        <w:tc>
          <w:tcPr>
            <w:tcW w:w="4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293</w:t>
            </w:r>
          </w:p>
        </w:tc>
        <w:tc>
          <w:tcPr>
            <w:tcW w:w="4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Total costs and expenses</w:t>
            </w: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10,723</w:t>
            </w:r>
          </w:p>
        </w:tc>
        <w:tc>
          <w:tcPr>
            <w:tcW w:w="3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10,407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32,744</w:t>
            </w: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404</w:t>
            </w:r>
          </w:p>
        </w:tc>
        <w:tc>
          <w:tcPr>
            <w:tcW w:w="4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1,261</w:t>
            </w:r>
          </w:p>
        </w:tc>
        <w:tc>
          <w:tcPr>
            <w:tcW w:w="4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w:t>
            </w:r>
          </w:p>
        </w:tc>
        <w:tc>
          <w:tcPr>
            <w:tcW w:w="4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00" w:type="dxa"/>
            <w:vAlign w:val="bottom"/>
          </w:tcPr>
          <w:p>
            <w:pPr>
              <w:spacing w:after="0" w:line="201" w:lineRule="exact"/>
              <w:rPr>
                <w:sz w:val="20"/>
                <w:szCs w:val="20"/>
                <w:color w:val="auto"/>
              </w:rPr>
            </w:pPr>
            <w:r>
              <w:rPr>
                <w:rFonts w:ascii="Arial" w:cs="Arial" w:eastAsia="Arial" w:hAnsi="Arial"/>
                <w:sz w:val="18"/>
                <w:szCs w:val="18"/>
                <w:color w:val="auto"/>
                <w:w w:val="93"/>
              </w:rPr>
              <w:t>Interest expense (net of capitalized interest of $12, $11, $33 and $30,</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(85)</w:t>
            </w:r>
          </w:p>
        </w:tc>
        <w:tc>
          <w:tcPr>
            <w:tcW w:w="4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(246)</w:t>
            </w:r>
          </w:p>
        </w:tc>
        <w:tc>
          <w:tcPr>
            <w:tcW w:w="4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4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344</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1,086</w:t>
            </w:r>
          </w:p>
        </w:tc>
        <w:tc>
          <w:tcPr>
            <w:tcW w:w="4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(62)</w:t>
            </w:r>
          </w:p>
        </w:tc>
        <w:tc>
          <w:tcPr>
            <w:tcW w:w="4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benefit/(expense)</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4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324</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996</w:t>
            </w:r>
          </w:p>
        </w:tc>
        <w:tc>
          <w:tcPr>
            <w:tcW w:w="4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200" w:type="dxa"/>
            <w:vAlign w:val="bottom"/>
          </w:tcPr>
          <w:p>
            <w:pPr>
              <w:ind w:left="160"/>
              <w:spacing w:after="0"/>
              <w:rPr>
                <w:sz w:val="20"/>
                <w:szCs w:val="20"/>
                <w:color w:val="auto"/>
              </w:rPr>
            </w:pPr>
            <w:r>
              <w:rPr>
                <w:rFonts w:ascii="Arial" w:cs="Arial" w:eastAsia="Arial" w:hAnsi="Arial"/>
                <w:sz w:val="18"/>
                <w:szCs w:val="18"/>
                <w:b w:val="1"/>
                <w:bCs w:val="1"/>
                <w:color w:val="auto"/>
              </w:rPr>
              <w:t>LIMITED PARTNERS</w:t>
            </w:r>
          </w:p>
        </w:tc>
        <w:tc>
          <w:tcPr>
            <w:tcW w:w="5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195</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133</w:t>
            </w:r>
          </w:p>
        </w:tc>
        <w:tc>
          <w:tcPr>
            <w:tcW w:w="4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630</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00" w:type="dxa"/>
            <w:vAlign w:val="bottom"/>
            <w:tcBorders>
              <w:top w:val="single" w:sz="8" w:color="CCEEFF"/>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b w:val="1"/>
                <w:bCs w:val="1"/>
                <w:color w:val="auto"/>
              </w:rPr>
              <w:t>GENERAL PARTNER</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128</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98</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364</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BASIC NET INCOME PER LIMITED PARTNER UNIT</w:t>
            </w:r>
          </w:p>
        </w:tc>
        <w:tc>
          <w:tcPr>
            <w:tcW w:w="52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0.52</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0.38</w:t>
            </w:r>
          </w:p>
        </w:tc>
        <w:tc>
          <w:tcPr>
            <w:tcW w:w="4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1.71</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DILUTED NET INCOME PER LIMITED PARTNER UNIT</w:t>
            </w:r>
          </w:p>
        </w:tc>
        <w:tc>
          <w:tcPr>
            <w:tcW w:w="52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0.52</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0.38</w:t>
            </w:r>
          </w:p>
        </w:tc>
        <w:tc>
          <w:tcPr>
            <w:tcW w:w="4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0" w:gutter="0" w:footer="0" w:header="0"/>
        </w:sectPr>
      </w:pPr>
    </w:p>
    <w:bookmarkStart w:id="3" w:name="page4"/>
    <w:bookmarkEnd w:id="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BASIC WEIGHTED AVERAGE LIMITED PARTNER UNITS</w:t>
            </w:r>
          </w:p>
        </w:tc>
        <w:tc>
          <w:tcPr>
            <w:tcW w:w="154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370</w:t>
            </w:r>
          </w:p>
        </w:tc>
        <w:tc>
          <w:tcPr>
            <w:tcW w:w="156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343</w:t>
            </w:r>
          </w:p>
        </w:tc>
        <w:tc>
          <w:tcPr>
            <w:tcW w:w="15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365</w:t>
            </w:r>
          </w:p>
        </w:tc>
        <w:tc>
          <w:tcPr>
            <w:tcW w:w="13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21"/>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OUTSTANDING</w:t>
            </w:r>
          </w:p>
        </w:tc>
        <w:tc>
          <w:tcPr>
            <w:tcW w:w="1540" w:type="dxa"/>
            <w:vAlign w:val="bottom"/>
            <w:gridSpan w:val="2"/>
            <w:vMerge w:val="continue"/>
            <w:shd w:val="clear" w:color="auto" w:fill="CCEEFF"/>
          </w:tcPr>
          <w:p>
            <w:pPr>
              <w:spacing w:after="0"/>
              <w:rPr>
                <w:sz w:val="19"/>
                <w:szCs w:val="19"/>
                <w:color w:val="auto"/>
              </w:rPr>
            </w:pPr>
          </w:p>
        </w:tc>
        <w:tc>
          <w:tcPr>
            <w:tcW w:w="1560" w:type="dxa"/>
            <w:vAlign w:val="bottom"/>
            <w:gridSpan w:val="2"/>
            <w:vMerge w:val="continue"/>
            <w:shd w:val="clear" w:color="auto" w:fill="CCEEFF"/>
          </w:tcPr>
          <w:p>
            <w:pPr>
              <w:spacing w:after="0"/>
              <w:rPr>
                <w:sz w:val="19"/>
                <w:szCs w:val="19"/>
                <w:color w:val="auto"/>
              </w:rPr>
            </w:pPr>
          </w:p>
        </w:tc>
        <w:tc>
          <w:tcPr>
            <w:tcW w:w="1520" w:type="dxa"/>
            <w:vAlign w:val="bottom"/>
            <w:gridSpan w:val="2"/>
            <w:vMerge w:val="continue"/>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460" w:type="dxa"/>
            <w:vAlign w:val="bottom"/>
            <w:shd w:val="clear" w:color="auto" w:fill="CCEEFF"/>
          </w:tcPr>
          <w:p>
            <w:pPr>
              <w:ind w:left="180"/>
              <w:spacing w:after="0" w:line="198" w:lineRule="exact"/>
              <w:rPr>
                <w:sz w:val="20"/>
                <w:szCs w:val="20"/>
                <w:color w:val="auto"/>
              </w:rPr>
            </w:pPr>
            <w:r>
              <w:rPr>
                <w:rFonts w:ascii="Arial" w:cs="Arial" w:eastAsia="Arial" w:hAnsi="Arial"/>
                <w:sz w:val="18"/>
                <w:szCs w:val="18"/>
                <w:b w:val="1"/>
                <w:bCs w:val="1"/>
                <w:color w:val="auto"/>
              </w:rPr>
              <w:t>DILUTED WEIGHTED AVERAGE LIMITED PARTNER</w:t>
            </w:r>
          </w:p>
        </w:tc>
        <w:tc>
          <w:tcPr>
            <w:tcW w:w="154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371</w:t>
            </w:r>
          </w:p>
        </w:tc>
        <w:tc>
          <w:tcPr>
            <w:tcW w:w="156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345</w:t>
            </w:r>
          </w:p>
        </w:tc>
        <w:tc>
          <w:tcPr>
            <w:tcW w:w="15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367</w:t>
            </w:r>
          </w:p>
        </w:tc>
        <w:tc>
          <w:tcPr>
            <w:tcW w:w="13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21"/>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UNITS OUTSTANDING</w:t>
            </w:r>
          </w:p>
        </w:tc>
        <w:tc>
          <w:tcPr>
            <w:tcW w:w="1540" w:type="dxa"/>
            <w:vAlign w:val="bottom"/>
            <w:gridSpan w:val="2"/>
            <w:vMerge w:val="continue"/>
            <w:shd w:val="clear" w:color="auto" w:fill="CCEEFF"/>
          </w:tcPr>
          <w:p>
            <w:pPr>
              <w:spacing w:after="0"/>
              <w:rPr>
                <w:sz w:val="19"/>
                <w:szCs w:val="19"/>
                <w:color w:val="auto"/>
              </w:rPr>
            </w:pPr>
          </w:p>
        </w:tc>
        <w:tc>
          <w:tcPr>
            <w:tcW w:w="1560" w:type="dxa"/>
            <w:vAlign w:val="bottom"/>
            <w:gridSpan w:val="2"/>
            <w:vMerge w:val="continue"/>
            <w:shd w:val="clear" w:color="auto" w:fill="CCEEFF"/>
          </w:tcPr>
          <w:p>
            <w:pPr>
              <w:spacing w:after="0"/>
              <w:rPr>
                <w:sz w:val="19"/>
                <w:szCs w:val="19"/>
                <w:color w:val="auto"/>
              </w:rPr>
            </w:pPr>
          </w:p>
        </w:tc>
        <w:tc>
          <w:tcPr>
            <w:tcW w:w="1520" w:type="dxa"/>
            <w:vAlign w:val="bottom"/>
            <w:gridSpan w:val="2"/>
            <w:vMerge w:val="continue"/>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PLAINS ALL AMERICAN PIPELINE, L.P. AND SUBSIDIARIES CONDENSED CONSOLIDATED STATEMENTS OF COMPREHENSIVE INCOME (in millions)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w w:val="94"/>
              </w:rPr>
              <w:t>Nine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8"/>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w w:val="89"/>
              </w:rPr>
              <w:t>2013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8"/>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2"/>
                <w:szCs w:val="12"/>
                <w:color w:val="auto"/>
              </w:rPr>
            </w:pPr>
          </w:p>
        </w:tc>
      </w:tr>
      <w:tr>
        <w:trPr>
          <w:trHeight w:val="142"/>
        </w:trPr>
        <w:tc>
          <w:tcPr>
            <w:tcW w:w="4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00" w:type="dxa"/>
            <w:vAlign w:val="bottom"/>
            <w:gridSpan w:val="3"/>
          </w:tcPr>
          <w:p>
            <w:pPr>
              <w:jc w:val="center"/>
              <w:ind w:left="458"/>
              <w:spacing w:after="0" w:line="142" w:lineRule="exact"/>
              <w:rPr>
                <w:sz w:val="20"/>
                <w:szCs w:val="20"/>
                <w:color w:val="auto"/>
              </w:rPr>
            </w:pPr>
            <w:r>
              <w:rPr>
                <w:rFonts w:ascii="Arial" w:cs="Arial" w:eastAsia="Arial" w:hAnsi="Arial"/>
                <w:sz w:val="14"/>
                <w:szCs w:val="14"/>
                <w:b w:val="1"/>
                <w:bCs w:val="1"/>
                <w:color w:val="auto"/>
                <w:w w:val="94"/>
              </w:rPr>
              <w:t>(unaudited)</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gridSpan w:val="3"/>
          </w:tcPr>
          <w:p>
            <w:pPr>
              <w:jc w:val="center"/>
              <w:ind w:left="458"/>
              <w:spacing w:after="0" w:line="142" w:lineRule="exact"/>
              <w:rPr>
                <w:sz w:val="20"/>
                <w:szCs w:val="20"/>
                <w:color w:val="auto"/>
              </w:rPr>
            </w:pPr>
            <w:r>
              <w:rPr>
                <w:rFonts w:ascii="Arial" w:cs="Arial" w:eastAsia="Arial" w:hAnsi="Arial"/>
                <w:sz w:val="14"/>
                <w:szCs w:val="14"/>
                <w:b w:val="1"/>
                <w:bCs w:val="1"/>
                <w:color w:val="auto"/>
                <w:w w:val="94"/>
              </w:rPr>
              <w:t>(unaudited)</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6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324</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237</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996</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1,074</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Other comprehensive income/(loss)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(167)</w:t>
            </w: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(211)</w:t>
            </w:r>
          </w:p>
        </w:tc>
        <w:tc>
          <w:tcPr>
            <w:tcW w:w="5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r>
      <w:tr>
        <w:trPr>
          <w:trHeight w:val="210"/>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79"/>
              </w:rPr>
              <w:t>157</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40" w:type="dxa"/>
            <w:vAlign w:val="bottom"/>
          </w:tcPr>
          <w:p>
            <w:pPr>
              <w:ind w:left="180"/>
              <w:spacing w:after="0"/>
              <w:rPr>
                <w:sz w:val="20"/>
                <w:szCs w:val="20"/>
                <w:color w:val="auto"/>
              </w:rPr>
            </w:pPr>
            <w:r>
              <w:rPr>
                <w:rFonts w:ascii="Arial" w:cs="Arial" w:eastAsia="Arial" w:hAnsi="Arial"/>
                <w:sz w:val="18"/>
                <w:szCs w:val="18"/>
                <w:color w:val="auto"/>
                <w:w w:val="94"/>
              </w:rPr>
              <w:t>Comprehensive income attributable to noncontrolling interests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210"/>
        </w:trPr>
        <w:tc>
          <w:tcPr>
            <w:tcW w:w="4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attributable to PAA</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79"/>
              </w:rPr>
              <w:t>156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1" w:lineRule="exact"/>
        <w:rPr>
          <w:sz w:val="20"/>
          <w:szCs w:val="20"/>
          <w:color w:val="auto"/>
        </w:rPr>
      </w:pPr>
    </w:p>
    <w:p>
      <w:pPr>
        <w:jc w:val="center"/>
        <w:ind w:left="260" w:right="2460"/>
        <w:spacing w:after="0" w:line="263" w:lineRule="auto"/>
        <w:rPr>
          <w:sz w:val="20"/>
          <w:szCs w:val="20"/>
          <w:color w:val="auto"/>
        </w:rPr>
      </w:pPr>
      <w:r>
        <w:rPr>
          <w:rFonts w:ascii="Arial" w:cs="Arial" w:eastAsia="Arial" w:hAnsi="Arial"/>
          <w:sz w:val="18"/>
          <w:szCs w:val="18"/>
          <w:b w:val="1"/>
          <w:bCs w:val="1"/>
          <w:color w:val="auto"/>
        </w:rPr>
        <w:t>PLAINS ALL AMERICAN PIPELINE, L.P. AND SUBSIDIARIES CONDENSED CONSOLIDATED STATEMENTS OF CHANGES IN ACCUMULATED OTHER COMPREHENSIVE INCOME / (LOSS) (in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Derivative</w:t>
            </w:r>
          </w:p>
        </w:tc>
        <w:tc>
          <w:tcPr>
            <w:tcW w:w="18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Translation</w:t>
            </w:r>
          </w:p>
        </w:tc>
        <w:tc>
          <w:tcPr>
            <w:tcW w:w="300" w:type="dxa"/>
            <w:vAlign w:val="bottom"/>
          </w:tcPr>
          <w:p>
            <w:pPr>
              <w:spacing w:after="0"/>
              <w:rPr>
                <w:sz w:val="14"/>
                <w:szCs w:val="14"/>
                <w:color w:val="auto"/>
              </w:rPr>
            </w:pPr>
          </w:p>
        </w:tc>
        <w:tc>
          <w:tcPr>
            <w:tcW w:w="11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Instruments</w:t>
            </w:r>
          </w:p>
        </w:tc>
        <w:tc>
          <w:tcPr>
            <w:tcW w:w="18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Adjustments</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jc w:val="center"/>
              <w:ind w:right="420"/>
              <w:spacing w:after="0" w:line="142" w:lineRule="exact"/>
              <w:rPr>
                <w:sz w:val="20"/>
                <w:szCs w:val="20"/>
                <w:color w:val="auto"/>
              </w:rPr>
            </w:pPr>
            <w:r>
              <w:rPr>
                <w:rFonts w:ascii="Arial" w:cs="Arial" w:eastAsia="Arial" w:hAnsi="Arial"/>
                <w:sz w:val="14"/>
                <w:szCs w:val="14"/>
                <w:b w:val="1"/>
                <w:bCs w:val="1"/>
                <w:color w:val="auto"/>
                <w:w w:val="94"/>
              </w:rPr>
              <w:t>(unaudited)</w:t>
            </w: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adjustments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Deferred loss on cash flow hedges, net of tax</w:t>
            </w: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period activity</w:t>
            </w: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2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2014</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30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Derivative</w:t>
            </w:r>
          </w:p>
        </w:tc>
        <w:tc>
          <w:tcPr>
            <w:tcW w:w="180" w:type="dxa"/>
            <w:vAlign w:val="bottom"/>
          </w:tcPr>
          <w:p>
            <w:pPr>
              <w:spacing w:after="0"/>
              <w:rPr>
                <w:sz w:val="24"/>
                <w:szCs w:val="2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Translation</w:t>
            </w:r>
          </w:p>
        </w:tc>
        <w:tc>
          <w:tcPr>
            <w:tcW w:w="300" w:type="dxa"/>
            <w:vAlign w:val="bottom"/>
          </w:tcPr>
          <w:p>
            <w:pPr>
              <w:spacing w:after="0"/>
              <w:rPr>
                <w:sz w:val="24"/>
                <w:szCs w:val="24"/>
                <w:color w:val="auto"/>
              </w:rPr>
            </w:pPr>
          </w:p>
        </w:tc>
        <w:tc>
          <w:tcPr>
            <w:tcW w:w="11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Instruments</w:t>
            </w:r>
          </w:p>
        </w:tc>
        <w:tc>
          <w:tcPr>
            <w:tcW w:w="18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Adjustments</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jc w:val="center"/>
              <w:ind w:right="420"/>
              <w:spacing w:after="0" w:line="142" w:lineRule="exact"/>
              <w:rPr>
                <w:sz w:val="20"/>
                <w:szCs w:val="20"/>
                <w:color w:val="auto"/>
              </w:rPr>
            </w:pPr>
            <w:r>
              <w:rPr>
                <w:rFonts w:ascii="Arial" w:cs="Arial" w:eastAsia="Arial" w:hAnsi="Arial"/>
                <w:sz w:val="14"/>
                <w:szCs w:val="14"/>
                <w:b w:val="1"/>
                <w:bCs w:val="1"/>
                <w:color w:val="auto"/>
                <w:w w:val="94"/>
              </w:rPr>
              <w:t>(unaudited)</w:t>
            </w: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adjustments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Deferred gain on cash flow hedges, net of tax</w:t>
            </w:r>
          </w:p>
        </w:tc>
        <w:tc>
          <w:tcPr>
            <w:tcW w:w="2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period activity</w:t>
            </w: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2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2013</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30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Nine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42"/>
        </w:trPr>
        <w:tc>
          <w:tcPr>
            <w:tcW w:w="6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40" w:type="dxa"/>
            <w:vAlign w:val="bottom"/>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Net income</w:t>
            </w:r>
          </w:p>
        </w:tc>
        <w:tc>
          <w:tcPr>
            <w:tcW w:w="2480" w:type="dxa"/>
            <w:vAlign w:val="bottom"/>
            <w:gridSpan w:val="2"/>
          </w:tcPr>
          <w:p>
            <w:pPr>
              <w:jc w:val="right"/>
              <w:ind w:right="808"/>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4"/>
              <w:spacing w:after="0"/>
              <w:rPr>
                <w:sz w:val="20"/>
                <w:szCs w:val="20"/>
                <w:color w:val="auto"/>
              </w:rPr>
            </w:pPr>
            <w:r>
              <w:rPr>
                <w:rFonts w:ascii="Arial" w:cs="Arial" w:eastAsia="Arial" w:hAnsi="Arial"/>
                <w:sz w:val="18"/>
                <w:szCs w:val="18"/>
                <w:color w:val="auto"/>
              </w:rPr>
              <w:t>996</w:t>
            </w:r>
          </w:p>
        </w:tc>
        <w:tc>
          <w:tcPr>
            <w:tcW w:w="5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1,074</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jc w:val="right"/>
              <w:ind w:right="54"/>
              <w:spacing w:after="0"/>
              <w:rPr>
                <w:sz w:val="20"/>
                <w:szCs w:val="20"/>
                <w:color w:val="auto"/>
              </w:rPr>
            </w:pPr>
            <w:r>
              <w:rPr>
                <w:rFonts w:ascii="Arial" w:cs="Arial" w:eastAsia="Arial" w:hAnsi="Arial"/>
                <w:sz w:val="18"/>
                <w:szCs w:val="18"/>
                <w:color w:val="auto"/>
              </w:rPr>
              <w:t>293</w:t>
            </w:r>
          </w:p>
        </w:tc>
        <w:tc>
          <w:tcPr>
            <w:tcW w:w="5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265</w:t>
            </w:r>
          </w:p>
        </w:tc>
      </w:tr>
      <w:tr>
        <w:trPr>
          <w:trHeight w:val="216"/>
        </w:trPr>
        <w:tc>
          <w:tcPr>
            <w:tcW w:w="6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1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90</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r>
      <w:tr>
        <w:trPr>
          <w:trHeight w:val="216"/>
        </w:trPr>
        <w:tc>
          <w:tcPr>
            <w:tcW w:w="6800" w:type="dxa"/>
            <w:vAlign w:val="bottom"/>
          </w:tcPr>
          <w:p>
            <w:pPr>
              <w:ind w:left="180"/>
              <w:spacing w:after="0"/>
              <w:rPr>
                <w:sz w:val="20"/>
                <w:szCs w:val="20"/>
                <w:color w:val="auto"/>
              </w:rPr>
            </w:pPr>
            <w:r>
              <w:rPr>
                <w:rFonts w:ascii="Arial" w:cs="Arial" w:eastAsia="Arial" w:hAnsi="Arial"/>
                <w:sz w:val="18"/>
                <w:szCs w:val="18"/>
                <w:color w:val="auto"/>
              </w:rPr>
              <w:t>Inventory valuation adjustments</w:t>
            </w:r>
          </w:p>
        </w:tc>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jc w:val="right"/>
              <w:ind w:right="54"/>
              <w:spacing w:after="0"/>
              <w:rPr>
                <w:sz w:val="20"/>
                <w:szCs w:val="20"/>
                <w:color w:val="auto"/>
              </w:rPr>
            </w:pPr>
            <w:r>
              <w:rPr>
                <w:rFonts w:ascii="Arial" w:cs="Arial" w:eastAsia="Arial" w:hAnsi="Arial"/>
                <w:sz w:val="18"/>
                <w:szCs w:val="18"/>
                <w:color w:val="auto"/>
              </w:rPr>
              <w:t>37</w:t>
            </w:r>
          </w:p>
        </w:tc>
        <w:tc>
          <w:tcPr>
            <w:tcW w:w="5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70"/>
        </w:trPr>
        <w:tc>
          <w:tcPr>
            <w:tcW w:w="680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r>
    </w:tbl>
    <w:p>
      <w:pPr>
        <w:sectPr>
          <w:pgSz w:w="11900" w:h="16900" w:orient="portrait"/>
          <w:cols w:equalWidth="0" w:num="1">
            <w:col w:w="11420"/>
          </w:cols>
          <w:pgMar w:left="240" w:top="346" w:right="239" w:bottom="0" w:gutter="0" w:footer="0" w:header="0"/>
        </w:sectPr>
      </w:pPr>
    </w:p>
    <w:bookmarkStart w:id="4" w:name="page5"/>
    <w:bookmarkEnd w:id="4"/>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 expense</w:t>
            </w:r>
          </w:p>
        </w:tc>
        <w:tc>
          <w:tcPr>
            <w:tcW w:w="1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Gain on sales of linefill and base gas</w:t>
            </w: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(Gain)/loss on foreign currency revaluation</w:t>
            </w:r>
          </w:p>
        </w:tc>
        <w:tc>
          <w:tcPr>
            <w:tcW w:w="1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Settlement of terminated interest rate hedging instruments</w:t>
            </w: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earnings in unconsolidated entities, net of distributions</w:t>
            </w:r>
          </w:p>
        </w:tc>
        <w:tc>
          <w:tcPr>
            <w:tcW w:w="1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Other</w:t>
            </w: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 net of acquisitions</w:t>
            </w:r>
          </w:p>
        </w:tc>
        <w:tc>
          <w:tcPr>
            <w:tcW w:w="1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134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1,278</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Cash paid in connection with acquisitions, net of cash acquired</w:t>
            </w:r>
          </w:p>
        </w:tc>
        <w:tc>
          <w:tcPr>
            <w:tcW w:w="1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Additions to property, equipment and other</w:t>
            </w: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(1,424)</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Cash received for sales of linefill and base gas</w:t>
            </w:r>
          </w:p>
        </w:tc>
        <w:tc>
          <w:tcPr>
            <w:tcW w:w="1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Cash paid for purchases of linefill and base gas</w:t>
            </w: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(159)</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entities</w:t>
            </w:r>
          </w:p>
        </w:tc>
        <w:tc>
          <w:tcPr>
            <w:tcW w:w="1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Proceeds from sales of assets</w:t>
            </w: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Other investing activities</w:t>
            </w:r>
          </w:p>
        </w:tc>
        <w:tc>
          <w:tcPr>
            <w:tcW w:w="1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cash used in investing activities</w:t>
            </w:r>
          </w:p>
        </w:tc>
        <w:tc>
          <w:tcPr>
            <w:tcW w:w="134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(1,664)</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repayments under PAA senior secured hedged inventory facility (Note 6)</w:t>
            </w:r>
          </w:p>
        </w:tc>
        <w:tc>
          <w:tcPr>
            <w:tcW w:w="1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Net repayments under PAA senior unsecured revolving credit facility (Note 6)</w:t>
            </w: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repayments under PNG credit agreement</w:t>
            </w:r>
          </w:p>
        </w:tc>
        <w:tc>
          <w:tcPr>
            <w:tcW w:w="1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Net borrowings/(repayments) under PAA commercial paper program (Note 6)</w:t>
            </w: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(683)</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issuance of senior notes (Note 6)</w:t>
            </w:r>
          </w:p>
        </w:tc>
        <w:tc>
          <w:tcPr>
            <w:tcW w:w="1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1,447</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Net proceeds from the issuance of common units (Note 8)</w:t>
            </w: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655</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Contributions from general partner</w:t>
            </w:r>
          </w:p>
        </w:tc>
        <w:tc>
          <w:tcPr>
            <w:tcW w:w="1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Net proceeds from the issuance of PNG common units</w:t>
            </w: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paid to common unitholders (Note 8)</w:t>
            </w:r>
          </w:p>
        </w:tc>
        <w:tc>
          <w:tcPr>
            <w:tcW w:w="1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(688)</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Distributions paid to general partner (Note 8)</w:t>
            </w: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(344)</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paid to noncontrolling interests</w:t>
            </w:r>
          </w:p>
        </w:tc>
        <w:tc>
          <w:tcPr>
            <w:tcW w:w="1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Other financing activities</w:t>
            </w: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provided by/(used in) financing activities</w:t>
            </w:r>
          </w:p>
        </w:tc>
        <w:tc>
          <w:tcPr>
            <w:tcW w:w="13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Effect of translation adjustment on cash</w:t>
            </w:r>
          </w:p>
        </w:tc>
        <w:tc>
          <w:tcPr>
            <w:tcW w:w="1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increase/(decrease) in cash and cash equivalents</w:t>
            </w:r>
          </w:p>
        </w:tc>
        <w:tc>
          <w:tcPr>
            <w:tcW w:w="1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41</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34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9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Cash paid for:</w:t>
            </w:r>
          </w:p>
        </w:tc>
        <w:tc>
          <w:tcPr>
            <w:tcW w:w="1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Interest, net of amounts capitalized</w:t>
            </w:r>
          </w:p>
        </w:tc>
        <w:tc>
          <w:tcPr>
            <w:tcW w:w="184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237</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net of amounts refunded</w:t>
            </w:r>
          </w:p>
        </w:tc>
        <w:tc>
          <w:tcPr>
            <w:tcW w:w="184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135</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260" w:right="2080"/>
        <w:spacing w:after="0" w:line="275" w:lineRule="auto"/>
        <w:rPr>
          <w:sz w:val="20"/>
          <w:szCs w:val="20"/>
          <w:color w:val="auto"/>
        </w:rPr>
      </w:pPr>
      <w:r>
        <w:rPr>
          <w:rFonts w:ascii="Arial" w:cs="Arial" w:eastAsia="Arial" w:hAnsi="Arial"/>
          <w:sz w:val="18"/>
          <w:szCs w:val="18"/>
          <w:b w:val="1"/>
          <w:bCs w:val="1"/>
          <w:color w:val="auto"/>
        </w:rPr>
        <w:t>PLAINS ALL AMERICAN PIPELINE, L.P. AND SUBSIDIARIES CONDENSED CONSOLIDATED STATEMENTS OF CHANGES IN PARTNERS’ CAPITAL (in millions)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Partners’ Capital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940" w:type="dxa"/>
            <w:vAlign w:val="bottom"/>
            <w:gridSpan w:val="6"/>
            <w:vMerge w:val="restart"/>
          </w:tcPr>
          <w:p>
            <w:pPr>
              <w:jc w:val="right"/>
              <w:ind w:right="960"/>
              <w:spacing w:after="0"/>
              <w:rPr>
                <w:sz w:val="20"/>
                <w:szCs w:val="20"/>
                <w:color w:val="auto"/>
              </w:rPr>
            </w:pPr>
            <w:r>
              <w:rPr>
                <w:rFonts w:ascii="Arial" w:cs="Arial" w:eastAsia="Arial" w:hAnsi="Arial"/>
                <w:sz w:val="14"/>
                <w:szCs w:val="14"/>
                <w:b w:val="1"/>
                <w:bCs w:val="1"/>
                <w:color w:val="auto"/>
                <w:w w:val="96"/>
              </w:rPr>
              <w:t>Common Units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General</w:t>
            </w:r>
          </w:p>
        </w:tc>
        <w:tc>
          <w:tcPr>
            <w:tcW w:w="12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Excluding</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2"/>
              </w:rPr>
              <w:t>Noncontrolling</w:t>
            </w:r>
          </w:p>
        </w:tc>
        <w:tc>
          <w:tcPr>
            <w:tcW w:w="18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40" w:type="dxa"/>
            <w:vAlign w:val="bottom"/>
            <w:gridSpan w:val="6"/>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Noncontrolling</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740" w:type="dxa"/>
            <w:vAlign w:val="bottom"/>
            <w:tcBorders>
              <w:top w:val="single" w:sz="8" w:color="auto"/>
            </w:tcBorders>
          </w:tcPr>
          <w:p>
            <w:pPr>
              <w:ind w:left="420"/>
              <w:spacing w:after="0" w:line="142" w:lineRule="exact"/>
              <w:rPr>
                <w:sz w:val="20"/>
                <w:szCs w:val="20"/>
                <w:color w:val="auto"/>
              </w:rPr>
            </w:pPr>
            <w:r>
              <w:rPr>
                <w:rFonts w:ascii="Arial" w:cs="Arial" w:eastAsia="Arial" w:hAnsi="Arial"/>
                <w:sz w:val="14"/>
                <w:szCs w:val="14"/>
                <w:b w:val="1"/>
                <w:bCs w:val="1"/>
                <w:color w:val="auto"/>
                <w:w w:val="85"/>
              </w:rPr>
              <w:t>Units</w:t>
            </w: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Partner</w:t>
            </w:r>
          </w:p>
        </w:tc>
        <w:tc>
          <w:tcPr>
            <w:tcW w:w="120" w:type="dxa"/>
            <w:vAlign w:val="bottom"/>
          </w:tcPr>
          <w:p>
            <w:pPr>
              <w:spacing w:after="0"/>
              <w:rPr>
                <w:sz w:val="12"/>
                <w:szCs w:val="12"/>
                <w:color w:val="auto"/>
              </w:rPr>
            </w:pPr>
          </w:p>
        </w:tc>
        <w:tc>
          <w:tcPr>
            <w:tcW w:w="140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89"/>
              </w:rPr>
              <w:t>Interests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Interests</w:t>
            </w:r>
          </w:p>
        </w:tc>
        <w:tc>
          <w:tcPr>
            <w:tcW w:w="180" w:type="dxa"/>
            <w:vAlign w:val="bottom"/>
          </w:tcPr>
          <w:p>
            <w:pPr>
              <w:spacing w:after="0"/>
              <w:rPr>
                <w:sz w:val="12"/>
                <w:szCs w:val="12"/>
                <w:color w:val="auto"/>
              </w:rPr>
            </w:pPr>
          </w:p>
        </w:tc>
        <w:tc>
          <w:tcPr>
            <w:tcW w:w="1040" w:type="dxa"/>
            <w:vAlign w:val="bottom"/>
            <w:gridSpan w:val="3"/>
          </w:tcPr>
          <w:p>
            <w:pPr>
              <w:jc w:val="center"/>
              <w:ind w:right="300"/>
              <w:spacing w:after="0" w:line="142" w:lineRule="exact"/>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700" w:type="dxa"/>
            <w:vAlign w:val="bottom"/>
            <w:tcBorders>
              <w:top w:val="single" w:sz="8" w:color="auto"/>
            </w:tcBorders>
            <w:gridSpan w:val="5"/>
          </w:tcPr>
          <w:p>
            <w:pPr>
              <w:jc w:val="right"/>
              <w:ind w:right="1200"/>
              <w:spacing w:after="0" w:line="142" w:lineRule="exact"/>
              <w:rPr>
                <w:sz w:val="20"/>
                <w:szCs w:val="20"/>
                <w:color w:val="auto"/>
              </w:rPr>
            </w:pPr>
            <w:r>
              <w:rPr>
                <w:rFonts w:ascii="Arial" w:cs="Arial" w:eastAsia="Arial" w:hAnsi="Arial"/>
                <w:sz w:val="14"/>
                <w:szCs w:val="14"/>
                <w:b w:val="1"/>
                <w:bCs w:val="1"/>
                <w:color w:val="auto"/>
              </w:rPr>
              <w:t>(unaudited)</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359.1</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7,349</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7,644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Net income</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0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630</w:t>
            </w:r>
          </w:p>
        </w:tc>
        <w:tc>
          <w:tcPr>
            <w:tcW w:w="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364</w:t>
            </w:r>
          </w:p>
        </w:tc>
        <w:tc>
          <w:tcPr>
            <w:tcW w:w="2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994</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2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996</w:t>
            </w:r>
          </w:p>
        </w:tc>
        <w:tc>
          <w:tcPr>
            <w:tcW w:w="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Distributions</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(344)</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16"/>
        </w:trPr>
        <w:tc>
          <w:tcPr>
            <w:tcW w:w="3840" w:type="dxa"/>
            <w:vAlign w:val="bottom"/>
            <w:gridSpan w:val="2"/>
          </w:tcPr>
          <w:p>
            <w:pPr>
              <w:ind w:left="180"/>
              <w:spacing w:after="0"/>
              <w:rPr>
                <w:sz w:val="20"/>
                <w:szCs w:val="20"/>
                <w:color w:val="auto"/>
              </w:rPr>
            </w:pPr>
            <w:r>
              <w:rPr>
                <w:rFonts w:ascii="Arial" w:cs="Arial" w:eastAsia="Arial" w:hAnsi="Arial"/>
                <w:sz w:val="18"/>
                <w:szCs w:val="18"/>
                <w:color w:val="auto"/>
              </w:rPr>
              <w:t>Issuance of common units</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655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669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Issuance of common units under</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LTIP, net of units tendered by</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employees to satisfy tax</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withholding obligations</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2"/>
        </w:trPr>
        <w:tc>
          <w:tcPr>
            <w:tcW w:w="384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Equity-indexed compensation</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40" w:type="dxa"/>
            <w:vAlign w:val="bottom"/>
            <w:gridSpan w:val="2"/>
          </w:tcPr>
          <w:p>
            <w:pPr>
              <w:ind w:left="360"/>
              <w:spacing w:after="0"/>
              <w:rPr>
                <w:sz w:val="20"/>
                <w:szCs w:val="20"/>
                <w:color w:val="auto"/>
              </w:rPr>
            </w:pPr>
            <w:r>
              <w:rPr>
                <w:rFonts w:ascii="Arial" w:cs="Arial" w:eastAsia="Arial" w:hAnsi="Arial"/>
                <w:sz w:val="18"/>
                <w:szCs w:val="18"/>
                <w:color w:val="auto"/>
              </w:rPr>
              <w:t>expense</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8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Distribution equivalent right</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payments</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840" w:type="dxa"/>
            <w:vAlign w:val="bottom"/>
            <w:gridSpan w:val="2"/>
          </w:tcPr>
          <w:p>
            <w:pPr>
              <w:ind w:left="180"/>
              <w:spacing w:after="0"/>
              <w:rPr>
                <w:sz w:val="20"/>
                <w:szCs w:val="20"/>
                <w:color w:val="auto"/>
              </w:rPr>
            </w:pPr>
            <w:r>
              <w:rPr>
                <w:rFonts w:ascii="Arial" w:cs="Arial" w:eastAsia="Arial" w:hAnsi="Arial"/>
                <w:sz w:val="18"/>
                <w:szCs w:val="18"/>
                <w:color w:val="auto"/>
              </w:rPr>
              <w:t>Other comprehensive loss</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3100" w:type="dxa"/>
            <w:vAlign w:val="bottom"/>
          </w:tcPr>
          <w:p>
            <w:pPr>
              <w:spacing w:after="0"/>
              <w:rPr>
                <w:sz w:val="20"/>
                <w:szCs w:val="20"/>
                <w:color w:val="auto"/>
              </w:rPr>
            </w:pPr>
            <w:r>
              <w:rPr>
                <w:rFonts w:ascii="Arial" w:cs="Arial" w:eastAsia="Arial" w:hAnsi="Arial"/>
                <w:sz w:val="18"/>
                <w:szCs w:val="18"/>
                <w:color w:val="auto"/>
              </w:rPr>
              <w:t>Balance at September 30, 2014</w:t>
            </w:r>
          </w:p>
        </w:tc>
        <w:tc>
          <w:tcPr>
            <w:tcW w:w="74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371.5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7,740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ectPr>
          <w:pgSz w:w="11900" w:h="16876" w:orient="portrait"/>
          <w:cols w:equalWidth="0" w:num="1">
            <w:col w:w="11420"/>
          </w:cols>
          <w:pgMar w:left="240" w:top="140" w:right="239" w:bottom="0" w:gutter="0" w:footer="0" w:header="0"/>
        </w:sectPr>
      </w:pPr>
    </w:p>
    <w:p>
      <w:pPr>
        <w:ind w:left="7400"/>
        <w:spacing w:after="0"/>
        <w:rPr>
          <w:sz w:val="20"/>
          <w:szCs w:val="20"/>
          <w:color w:val="auto"/>
        </w:rPr>
      </w:pPr>
      <w:r>
        <w:rPr>
          <w:rFonts w:ascii="Arial" w:cs="Arial" w:eastAsia="Arial" w:hAnsi="Arial"/>
          <w:sz w:val="13"/>
          <w:szCs w:val="13"/>
          <w:b w:val="1"/>
          <w:bCs w:val="1"/>
          <w:color w:val="auto"/>
        </w:rPr>
        <w:t>Partners’ Capital</w:t>
      </w:r>
    </w:p>
    <w:p>
      <w:pPr>
        <w:sectPr>
          <w:pgSz w:w="11900" w:h="16876" w:orient="portrait"/>
          <w:cols w:equalWidth="0" w:num="1">
            <w:col w:w="11420"/>
          </w:cols>
          <w:pgMar w:left="240" w:top="140" w:right="239" w:bottom="0" w:gutter="0" w:footer="0" w:header="0"/>
          <w:type w:val="continuous"/>
        </w:sectPr>
      </w:pPr>
    </w:p>
    <w:bookmarkStart w:id="5" w:name="page6"/>
    <w:bookmarkEnd w:id="5"/>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40" w:type="dxa"/>
            <w:vAlign w:val="bottom"/>
            <w:gridSpan w:val="6"/>
            <w:vMerge w:val="restart"/>
          </w:tcPr>
          <w:p>
            <w:pPr>
              <w:jc w:val="right"/>
              <w:ind w:right="960"/>
              <w:spacing w:after="0"/>
              <w:rPr>
                <w:sz w:val="20"/>
                <w:szCs w:val="20"/>
                <w:color w:val="auto"/>
              </w:rPr>
            </w:pPr>
            <w:r>
              <w:rPr>
                <w:rFonts w:ascii="Arial" w:cs="Arial" w:eastAsia="Arial" w:hAnsi="Arial"/>
                <w:sz w:val="14"/>
                <w:szCs w:val="14"/>
                <w:b w:val="1"/>
                <w:bCs w:val="1"/>
                <w:color w:val="auto"/>
                <w:w w:val="96"/>
              </w:rPr>
              <w:t>Common Units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General</w:t>
            </w:r>
          </w:p>
        </w:tc>
        <w:tc>
          <w:tcPr>
            <w:tcW w:w="16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Excluding</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2"/>
              </w:rPr>
              <w:t>Noncontrolling</w:t>
            </w:r>
          </w:p>
        </w:tc>
        <w:tc>
          <w:tcPr>
            <w:tcW w:w="18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40" w:type="dxa"/>
            <w:vAlign w:val="bottom"/>
            <w:gridSpan w:val="6"/>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Noncontrolling</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740" w:type="dxa"/>
            <w:vAlign w:val="bottom"/>
            <w:tcBorders>
              <w:top w:val="single" w:sz="8" w:color="auto"/>
            </w:tcBorders>
          </w:tcPr>
          <w:p>
            <w:pPr>
              <w:ind w:left="420"/>
              <w:spacing w:after="0" w:line="142" w:lineRule="exact"/>
              <w:rPr>
                <w:sz w:val="20"/>
                <w:szCs w:val="20"/>
                <w:color w:val="auto"/>
              </w:rPr>
            </w:pPr>
            <w:r>
              <w:rPr>
                <w:rFonts w:ascii="Arial" w:cs="Arial" w:eastAsia="Arial" w:hAnsi="Arial"/>
                <w:sz w:val="14"/>
                <w:szCs w:val="14"/>
                <w:b w:val="1"/>
                <w:bCs w:val="1"/>
                <w:color w:val="auto"/>
                <w:w w:val="85"/>
              </w:rPr>
              <w:t>Units</w:t>
            </w: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Partner</w:t>
            </w:r>
          </w:p>
        </w:tc>
        <w:tc>
          <w:tcPr>
            <w:tcW w:w="160" w:type="dxa"/>
            <w:vAlign w:val="bottom"/>
          </w:tcPr>
          <w:p>
            <w:pPr>
              <w:spacing w:after="0"/>
              <w:rPr>
                <w:sz w:val="12"/>
                <w:szCs w:val="12"/>
                <w:color w:val="auto"/>
              </w:rPr>
            </w:pPr>
          </w:p>
        </w:tc>
        <w:tc>
          <w:tcPr>
            <w:tcW w:w="136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89"/>
              </w:rPr>
              <w:t>Interests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Interests</w:t>
            </w: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700" w:type="dxa"/>
            <w:vAlign w:val="bottom"/>
            <w:tcBorders>
              <w:top w:val="single" w:sz="8" w:color="auto"/>
            </w:tcBorders>
            <w:gridSpan w:val="5"/>
          </w:tcPr>
          <w:p>
            <w:pPr>
              <w:jc w:val="right"/>
              <w:ind w:right="1200"/>
              <w:spacing w:after="0" w:line="142" w:lineRule="exact"/>
              <w:rPr>
                <w:sz w:val="20"/>
                <w:szCs w:val="20"/>
                <w:color w:val="auto"/>
              </w:rPr>
            </w:pPr>
            <w:r>
              <w:rPr>
                <w:rFonts w:ascii="Arial" w:cs="Arial" w:eastAsia="Arial" w:hAnsi="Arial"/>
                <w:sz w:val="14"/>
                <w:szCs w:val="14"/>
                <w:b w:val="1"/>
                <w:bCs w:val="1"/>
                <w:color w:val="auto"/>
              </w:rPr>
              <w:t>(unaudited)</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335.3</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6,388</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6,637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7,146</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Net income</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0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764</w:t>
            </w:r>
          </w:p>
        </w:tc>
        <w:tc>
          <w:tcPr>
            <w:tcW w:w="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288</w:t>
            </w:r>
          </w:p>
        </w:tc>
        <w:tc>
          <w:tcPr>
            <w:tcW w:w="2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1,052</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2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1,074</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Distributions</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(270)</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16"/>
        </w:trPr>
        <w:tc>
          <w:tcPr>
            <w:tcW w:w="3840" w:type="dxa"/>
            <w:vAlign w:val="bottom"/>
            <w:gridSpan w:val="2"/>
          </w:tcPr>
          <w:p>
            <w:pPr>
              <w:ind w:left="180"/>
              <w:spacing w:after="0"/>
              <w:rPr>
                <w:sz w:val="20"/>
                <w:szCs w:val="20"/>
                <w:color w:val="auto"/>
              </w:rPr>
            </w:pPr>
            <w:r>
              <w:rPr>
                <w:rFonts w:ascii="Arial" w:cs="Arial" w:eastAsia="Arial" w:hAnsi="Arial"/>
                <w:sz w:val="18"/>
                <w:szCs w:val="18"/>
                <w:color w:val="auto"/>
              </w:rPr>
              <w:t>Issuance of common units</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392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2"/>
        </w:trPr>
        <w:tc>
          <w:tcPr>
            <w:tcW w:w="38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Issuance of common units under</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LTIP, net of units tendered by</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employees to satisfy tax</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withholding obligations</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2"/>
        </w:trPr>
        <w:tc>
          <w:tcPr>
            <w:tcW w:w="384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Equity-indexed compensation</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40" w:type="dxa"/>
            <w:vAlign w:val="bottom"/>
            <w:gridSpan w:val="2"/>
          </w:tcPr>
          <w:p>
            <w:pPr>
              <w:ind w:left="360"/>
              <w:spacing w:after="0"/>
              <w:rPr>
                <w:sz w:val="20"/>
                <w:szCs w:val="20"/>
                <w:color w:val="auto"/>
              </w:rPr>
            </w:pPr>
            <w:r>
              <w:rPr>
                <w:rFonts w:ascii="Arial" w:cs="Arial" w:eastAsia="Arial" w:hAnsi="Arial"/>
                <w:sz w:val="18"/>
                <w:szCs w:val="18"/>
                <w:color w:val="auto"/>
              </w:rPr>
              <w:t>expense</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2"/>
        </w:trPr>
        <w:tc>
          <w:tcPr>
            <w:tcW w:w="38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Distribution equivalent right</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payments</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840" w:type="dxa"/>
            <w:vAlign w:val="bottom"/>
            <w:gridSpan w:val="2"/>
          </w:tcPr>
          <w:p>
            <w:pPr>
              <w:ind w:left="180"/>
              <w:spacing w:after="0"/>
              <w:rPr>
                <w:sz w:val="20"/>
                <w:szCs w:val="20"/>
                <w:color w:val="auto"/>
              </w:rPr>
            </w:pPr>
            <w:r>
              <w:rPr>
                <w:rFonts w:ascii="Arial" w:cs="Arial" w:eastAsia="Arial" w:hAnsi="Arial"/>
                <w:sz w:val="18"/>
                <w:szCs w:val="18"/>
                <w:color w:val="auto"/>
              </w:rPr>
              <w:t>Other comprehensive income/(loss)</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Issuance of PNG common units</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384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3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2013</w:t>
            </w: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343.0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260" w:right="2540"/>
        <w:spacing w:after="0" w:line="266" w:lineRule="auto"/>
        <w:rPr>
          <w:sz w:val="20"/>
          <w:szCs w:val="20"/>
          <w:color w:val="auto"/>
        </w:rPr>
      </w:pPr>
      <w:r>
        <w:rPr>
          <w:rFonts w:ascii="Arial" w:cs="Arial" w:eastAsia="Arial" w:hAnsi="Arial"/>
          <w:sz w:val="18"/>
          <w:szCs w:val="18"/>
          <w:b w:val="1"/>
          <w:bCs w:val="1"/>
          <w:color w:val="auto"/>
        </w:rPr>
        <w:t>PLAINS ALL AMERICAN PIPELINE, L.P. AND SUBSIDIARIES NOTES TO THE CONDENSED CONSOLIDATED FINANCIAL STATEMENTS (unaudited)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Consolidation and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Plains All American Pipeline, L.P. is a Delaware limited partnership formed in 1998. Our operations are conducted directly and indirectly through our primary operating subsidiaries. As used in this Form 10-Q and unless the context indicates otherwise, the terms “Partnership,” “Plains,” “PAA,” “we,” “us,” “our,” “ours” and similar terms refer to Plains All American Pipeline, L.P. and its subsidiaries.</w:t>
      </w:r>
    </w:p>
    <w:p>
      <w:pPr>
        <w:spacing w:after="0" w:line="18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own and operate midstream energy infrastructure and provide logistics services for crude oil, natural gas liquids (“NGL”), natural gas and refined products. The term NGL includes ethane and natural gasoline products as well as products commonly referred to as liquefied petroleum gas (“LPG”), such as propane and butane. When used in this Form 10-Q, NGL refers to all NGL products including LPG. We own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(i) Transportation, (ii) Facilities and (iii) Supply and Logistics. See Note 12 for further discussion of our operating segments.</w:t>
      </w:r>
    </w:p>
    <w:p>
      <w:pPr>
        <w:spacing w:after="0" w:line="17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Our 2% general partner interest is held by PAA GP LLC, a Delaware limited liability company, whose sole member is Plains AAP, L.P. (“AAP”), a Delaware limited partnership. In addition to its ownership of PAA GP LLC, AAP also owns all of our incentive distribution rights (“IDRs”). Plains All American GP LLC (“GP LLC”), a Delaware limited liability company, is AAP’s general partner. Plains GP Holdings, L.P. (NYSE: PAGP) is the sole member of GP LLC, and at September 30, 2014, owned a 22.4% limited partner interest in AAP. GP LLC manages our operations and activities and employs our domestic officers and personnel. Our Canadian officers and personnel are employed by our subsidiary, Plains Midstream Canada ULC (“PMC”). References to our “general partner,” as the context requires, include any or all of PAA GP LLC, AAP and GP LLC.</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defined terms are used in this Form 10-Q and shall have the meanings indicated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AOCI</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4780" w:type="dxa"/>
            <w:vAlign w:val="bottom"/>
          </w:tcPr>
          <w:p>
            <w:pPr>
              <w:ind w:left="340"/>
              <w:spacing w:after="0"/>
              <w:rPr>
                <w:sz w:val="20"/>
                <w:szCs w:val="20"/>
                <w:color w:val="auto"/>
              </w:rPr>
            </w:pPr>
            <w:r>
              <w:rPr>
                <w:rFonts w:ascii="Arial" w:cs="Arial" w:eastAsia="Arial" w:hAnsi="Arial"/>
                <w:sz w:val="18"/>
                <w:szCs w:val="18"/>
                <w:color w:val="auto"/>
              </w:rPr>
              <w:t>Accumulated other comprehensive income</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Bcf</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4780" w:type="dxa"/>
            <w:vAlign w:val="bottom"/>
          </w:tcPr>
          <w:p>
            <w:pPr>
              <w:ind w:left="340"/>
              <w:spacing w:after="0"/>
              <w:rPr>
                <w:sz w:val="20"/>
                <w:szCs w:val="20"/>
                <w:color w:val="auto"/>
              </w:rPr>
            </w:pPr>
            <w:r>
              <w:rPr>
                <w:rFonts w:ascii="Arial" w:cs="Arial" w:eastAsia="Arial" w:hAnsi="Arial"/>
                <w:sz w:val="18"/>
                <w:szCs w:val="18"/>
                <w:color w:val="auto"/>
              </w:rPr>
              <w:t>Billion cubic feet</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Btu</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4780" w:type="dxa"/>
            <w:vAlign w:val="bottom"/>
          </w:tcPr>
          <w:p>
            <w:pPr>
              <w:ind w:left="340"/>
              <w:spacing w:after="0"/>
              <w:rPr>
                <w:sz w:val="20"/>
                <w:szCs w:val="20"/>
                <w:color w:val="auto"/>
              </w:rPr>
            </w:pPr>
            <w:r>
              <w:rPr>
                <w:rFonts w:ascii="Arial" w:cs="Arial" w:eastAsia="Arial" w:hAnsi="Arial"/>
                <w:sz w:val="18"/>
                <w:szCs w:val="18"/>
                <w:color w:val="auto"/>
              </w:rPr>
              <w:t>British thermal unit</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CAD</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4780" w:type="dxa"/>
            <w:vAlign w:val="bottom"/>
          </w:tcPr>
          <w:p>
            <w:pPr>
              <w:ind w:left="340"/>
              <w:spacing w:after="0"/>
              <w:rPr>
                <w:sz w:val="20"/>
                <w:szCs w:val="20"/>
                <w:color w:val="auto"/>
              </w:rPr>
            </w:pPr>
            <w:r>
              <w:rPr>
                <w:rFonts w:ascii="Arial" w:cs="Arial" w:eastAsia="Arial" w:hAnsi="Arial"/>
                <w:sz w:val="18"/>
                <w:szCs w:val="18"/>
                <w:color w:val="auto"/>
              </w:rPr>
              <w:t>Canadian dollar</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DERs</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4780" w:type="dxa"/>
            <w:vAlign w:val="bottom"/>
          </w:tcPr>
          <w:p>
            <w:pPr>
              <w:ind w:left="340"/>
              <w:spacing w:after="0"/>
              <w:rPr>
                <w:sz w:val="20"/>
                <w:szCs w:val="20"/>
                <w:color w:val="auto"/>
              </w:rPr>
            </w:pPr>
            <w:r>
              <w:rPr>
                <w:rFonts w:ascii="Arial" w:cs="Arial" w:eastAsia="Arial" w:hAnsi="Arial"/>
                <w:sz w:val="18"/>
                <w:szCs w:val="18"/>
                <w:color w:val="auto"/>
              </w:rPr>
              <w:t>Distribution equivalent rights</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EBITDA</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4780" w:type="dxa"/>
            <w:vAlign w:val="bottom"/>
          </w:tcPr>
          <w:p>
            <w:pPr>
              <w:ind w:left="340"/>
              <w:spacing w:after="0"/>
              <w:rPr>
                <w:sz w:val="20"/>
                <w:szCs w:val="20"/>
                <w:color w:val="auto"/>
              </w:rPr>
            </w:pPr>
            <w:r>
              <w:rPr>
                <w:rFonts w:ascii="Arial" w:cs="Arial" w:eastAsia="Arial" w:hAnsi="Arial"/>
                <w:sz w:val="18"/>
                <w:szCs w:val="18"/>
                <w:color w:val="auto"/>
                <w:w w:val="90"/>
              </w:rPr>
              <w:t>Earnings before interest, taxes, depreciation and amortization</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FASB</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4780" w:type="dxa"/>
            <w:vAlign w:val="bottom"/>
          </w:tcPr>
          <w:p>
            <w:pPr>
              <w:ind w:left="340"/>
              <w:spacing w:after="0"/>
              <w:rPr>
                <w:sz w:val="20"/>
                <w:szCs w:val="20"/>
                <w:color w:val="auto"/>
              </w:rPr>
            </w:pPr>
            <w:r>
              <w:rPr>
                <w:rFonts w:ascii="Arial" w:cs="Arial" w:eastAsia="Arial" w:hAnsi="Arial"/>
                <w:sz w:val="18"/>
                <w:szCs w:val="18"/>
                <w:color w:val="auto"/>
              </w:rPr>
              <w:t>Financial Accounting Standards Board</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GAAP</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4780" w:type="dxa"/>
            <w:vAlign w:val="bottom"/>
          </w:tcPr>
          <w:p>
            <w:pPr>
              <w:ind w:left="340"/>
              <w:spacing w:after="0"/>
              <w:rPr>
                <w:sz w:val="20"/>
                <w:szCs w:val="20"/>
                <w:color w:val="auto"/>
              </w:rPr>
            </w:pPr>
            <w:r>
              <w:rPr>
                <w:rFonts w:ascii="Arial" w:cs="Arial" w:eastAsia="Arial" w:hAnsi="Arial"/>
                <w:sz w:val="18"/>
                <w:szCs w:val="18"/>
                <w:color w:val="auto"/>
                <w:w w:val="90"/>
              </w:rPr>
              <w:t>Generally accepted accounting principles in the United States</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ICE</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4780" w:type="dxa"/>
            <w:vAlign w:val="bottom"/>
          </w:tcPr>
          <w:p>
            <w:pPr>
              <w:ind w:left="340"/>
              <w:spacing w:after="0"/>
              <w:rPr>
                <w:sz w:val="20"/>
                <w:szCs w:val="20"/>
                <w:color w:val="auto"/>
              </w:rPr>
            </w:pPr>
            <w:r>
              <w:rPr>
                <w:rFonts w:ascii="Arial" w:cs="Arial" w:eastAsia="Arial" w:hAnsi="Arial"/>
                <w:sz w:val="18"/>
                <w:szCs w:val="18"/>
                <w:color w:val="auto"/>
              </w:rPr>
              <w:t>IntercontinentalExchange</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LIBOR</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4780" w:type="dxa"/>
            <w:vAlign w:val="bottom"/>
          </w:tcPr>
          <w:p>
            <w:pPr>
              <w:ind w:left="340"/>
              <w:spacing w:after="0"/>
              <w:rPr>
                <w:sz w:val="20"/>
                <w:szCs w:val="20"/>
                <w:color w:val="auto"/>
              </w:rPr>
            </w:pPr>
            <w:r>
              <w:rPr>
                <w:rFonts w:ascii="Arial" w:cs="Arial" w:eastAsia="Arial" w:hAnsi="Arial"/>
                <w:sz w:val="18"/>
                <w:szCs w:val="18"/>
                <w:color w:val="auto"/>
              </w:rPr>
              <w:t>London Interbank Offered Rate</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LTIP</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4780" w:type="dxa"/>
            <w:vAlign w:val="bottom"/>
          </w:tcPr>
          <w:p>
            <w:pPr>
              <w:ind w:left="340"/>
              <w:spacing w:after="0"/>
              <w:rPr>
                <w:sz w:val="20"/>
                <w:szCs w:val="20"/>
                <w:color w:val="auto"/>
              </w:rPr>
            </w:pPr>
            <w:r>
              <w:rPr>
                <w:rFonts w:ascii="Arial" w:cs="Arial" w:eastAsia="Arial" w:hAnsi="Arial"/>
                <w:sz w:val="18"/>
                <w:szCs w:val="18"/>
                <w:color w:val="auto"/>
              </w:rPr>
              <w:t>Long-term incentive plan</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Mcf</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4780" w:type="dxa"/>
            <w:vAlign w:val="bottom"/>
          </w:tcPr>
          <w:p>
            <w:pPr>
              <w:ind w:left="340"/>
              <w:spacing w:after="0"/>
              <w:rPr>
                <w:sz w:val="20"/>
                <w:szCs w:val="20"/>
                <w:color w:val="auto"/>
              </w:rPr>
            </w:pPr>
            <w:r>
              <w:rPr>
                <w:rFonts w:ascii="Arial" w:cs="Arial" w:eastAsia="Arial" w:hAnsi="Arial"/>
                <w:sz w:val="18"/>
                <w:szCs w:val="18"/>
                <w:color w:val="auto"/>
              </w:rPr>
              <w:t>Thousand cubic feet</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MLP</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4780" w:type="dxa"/>
            <w:vAlign w:val="bottom"/>
          </w:tcPr>
          <w:p>
            <w:pPr>
              <w:ind w:left="340"/>
              <w:spacing w:after="0"/>
              <w:rPr>
                <w:sz w:val="20"/>
                <w:szCs w:val="20"/>
                <w:color w:val="auto"/>
              </w:rPr>
            </w:pPr>
            <w:r>
              <w:rPr>
                <w:rFonts w:ascii="Arial" w:cs="Arial" w:eastAsia="Arial" w:hAnsi="Arial"/>
                <w:sz w:val="18"/>
                <w:szCs w:val="18"/>
                <w:color w:val="auto"/>
              </w:rPr>
              <w:t>Master limited partnership</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NYMEX</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4780" w:type="dxa"/>
            <w:vAlign w:val="bottom"/>
          </w:tcPr>
          <w:p>
            <w:pPr>
              <w:ind w:left="340"/>
              <w:spacing w:after="0"/>
              <w:rPr>
                <w:sz w:val="20"/>
                <w:szCs w:val="20"/>
                <w:color w:val="auto"/>
              </w:rPr>
            </w:pPr>
            <w:r>
              <w:rPr>
                <w:rFonts w:ascii="Arial" w:cs="Arial" w:eastAsia="Arial" w:hAnsi="Arial"/>
                <w:sz w:val="18"/>
                <w:szCs w:val="18"/>
                <w:color w:val="auto"/>
              </w:rPr>
              <w:t>New York Mercantile Exchange</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PLA</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4780" w:type="dxa"/>
            <w:vAlign w:val="bottom"/>
          </w:tcPr>
          <w:p>
            <w:pPr>
              <w:ind w:left="340"/>
              <w:spacing w:after="0"/>
              <w:rPr>
                <w:sz w:val="20"/>
                <w:szCs w:val="20"/>
                <w:color w:val="auto"/>
              </w:rPr>
            </w:pPr>
            <w:r>
              <w:rPr>
                <w:rFonts w:ascii="Arial" w:cs="Arial" w:eastAsia="Arial" w:hAnsi="Arial"/>
                <w:sz w:val="18"/>
                <w:szCs w:val="18"/>
                <w:color w:val="auto"/>
              </w:rPr>
              <w:t>Pipeline loss allowance</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PNG</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4780" w:type="dxa"/>
            <w:vAlign w:val="bottom"/>
          </w:tcPr>
          <w:p>
            <w:pPr>
              <w:ind w:left="340"/>
              <w:spacing w:after="0"/>
              <w:rPr>
                <w:sz w:val="20"/>
                <w:szCs w:val="20"/>
                <w:color w:val="auto"/>
              </w:rPr>
            </w:pPr>
            <w:r>
              <w:rPr>
                <w:rFonts w:ascii="Arial" w:cs="Arial" w:eastAsia="Arial" w:hAnsi="Arial"/>
                <w:sz w:val="18"/>
                <w:szCs w:val="18"/>
                <w:color w:val="auto"/>
              </w:rPr>
              <w:t>PAA Natural Gas Storage, L.P.</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4780" w:type="dxa"/>
            <w:vAlign w:val="bottom"/>
          </w:tcPr>
          <w:p>
            <w:pPr>
              <w:ind w:left="340"/>
              <w:spacing w:after="0"/>
              <w:rPr>
                <w:sz w:val="20"/>
                <w:szCs w:val="20"/>
                <w:color w:val="auto"/>
              </w:rPr>
            </w:pPr>
            <w:r>
              <w:rPr>
                <w:rFonts w:ascii="Arial" w:cs="Arial" w:eastAsia="Arial" w:hAnsi="Arial"/>
                <w:sz w:val="18"/>
                <w:szCs w:val="18"/>
                <w:color w:val="auto"/>
              </w:rPr>
              <w:t>Securities and Exchange Commission</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USD</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4780" w:type="dxa"/>
            <w:vAlign w:val="bottom"/>
          </w:tcPr>
          <w:p>
            <w:pPr>
              <w:ind w:left="340"/>
              <w:spacing w:after="0"/>
              <w:rPr>
                <w:sz w:val="20"/>
                <w:szCs w:val="20"/>
                <w:color w:val="auto"/>
              </w:rPr>
            </w:pPr>
            <w:r>
              <w:rPr>
                <w:rFonts w:ascii="Arial" w:cs="Arial" w:eastAsia="Arial" w:hAnsi="Arial"/>
                <w:sz w:val="18"/>
                <w:szCs w:val="18"/>
                <w:color w:val="auto"/>
              </w:rPr>
              <w:t>United States dollar</w:t>
            </w: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White Cliffs</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4780" w:type="dxa"/>
            <w:vAlign w:val="bottom"/>
          </w:tcPr>
          <w:p>
            <w:pPr>
              <w:ind w:left="340"/>
              <w:spacing w:after="0"/>
              <w:rPr>
                <w:sz w:val="20"/>
                <w:szCs w:val="20"/>
                <w:color w:val="auto"/>
              </w:rPr>
            </w:pPr>
            <w:r>
              <w:rPr>
                <w:rFonts w:ascii="Arial" w:cs="Arial" w:eastAsia="Arial" w:hAnsi="Arial"/>
                <w:sz w:val="18"/>
                <w:szCs w:val="18"/>
                <w:color w:val="auto"/>
              </w:rPr>
              <w:t>White Cliffs Pipeline, LLC</w:t>
            </w:r>
          </w:p>
        </w:tc>
      </w:tr>
    </w:tbl>
    <w:p>
      <w:pPr>
        <w:sectPr>
          <w:pgSz w:w="11900" w:h="16897" w:orient="portrait"/>
          <w:cols w:equalWidth="0" w:num="1">
            <w:col w:w="11420"/>
          </w:cols>
          <w:pgMar w:left="240" w:top="104" w:right="239" w:bottom="0" w:gutter="0" w:footer="0" w:header="0"/>
        </w:sectPr>
      </w:pPr>
    </w:p>
    <w:bookmarkStart w:id="6" w:name="page7"/>
    <w:bookmarkEnd w:id="6"/>
    <w:p>
      <w:pPr>
        <w:spacing w:after="0"/>
        <w:tabs>
          <w:tab w:leader="none" w:pos="1740" w:val="left"/>
          <w:tab w:leader="none" w:pos="2520" w:val="left"/>
        </w:tabs>
        <w:rPr>
          <w:sz w:val="20"/>
          <w:szCs w:val="20"/>
          <w:color w:val="auto"/>
        </w:rPr>
      </w:pPr>
      <w:r>
        <w:rPr>
          <w:rFonts w:ascii="Arial" w:cs="Arial" w:eastAsia="Arial" w:hAnsi="Arial"/>
          <w:sz w:val="18"/>
          <w:szCs w:val="18"/>
          <w:color w:val="auto"/>
        </w:rPr>
        <w:t>WTI</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West Texas Intermediate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accompanying unaudited condensed consolidated interim financial statements and notes thereto should be read in conjunction with our 2013 Annual Report on Form 10-K. The financial statements have been prepared in accordance with the instructions for interim reporting as set forth by the SEC. All adjustments (consisting only of normal recurring adjustments) that in the opinion of management were necessary for a fair statement of the results for the interim periods have been reflected. All significant intercompany transactions have been eliminated in consolidation. Certain reclassifications have been made to information from previous years to conform to the current presentation. The condensed consolidated balance sheet data as of December 31, 2013 was derived from audited financial statements, but does not include all disclosures required by GAAP. The results of operations for the three and nine months ended September 30, 2014 should not be taken as indicative of results to be expected for the entire year.</w:t>
      </w:r>
    </w:p>
    <w:p>
      <w:pPr>
        <w:spacing w:after="0" w:line="178"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Subsequent events have been evaluated through the financial statements issuance date and have been included in the following footnotes where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2—Recent Accounting Pronouncements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Other than as discussed below and in our 2013 Annual Report on Form 10-K, no new accounting pronouncements have become effective or have been issued during the nine months ended September 30, 2014 that are of significance or potential significance to us.</w:t>
      </w:r>
    </w:p>
    <w:p>
      <w:pPr>
        <w:spacing w:after="0" w:line="170"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In May 2014, the FASB issued guidance regarding the recognition of revenue from contracts with customers with the underlying principle that an entity will recognize revenue to reflect amounts expected to be received in exchange for the provision of goods and services to customers upon the transfer of those goods or services. The guidance also requires additional disclosures about the nature, amount, timing and uncertainty of revenue and the related cash flows. This guidance becomes effective for interim and annual periods beginning after December 15, 2016 and can be adopted either with a full retrospective approach or a modified retrospective approach with a cumulative-effect adjustment as of the date of adoption. We are currently evaluating which transition approach to apply and the effect that adopting this guidance will have on our financial position, results of operations and cash flows.</w:t>
      </w:r>
    </w:p>
    <w:p>
      <w:pPr>
        <w:spacing w:after="0" w:line="16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April 2014, the FASB issued guidance that modifies the criteria under which assets to be disposed of are evaluated to determine if such assets qualify as a discontinued operation and requires new disclosures for both discontinued operations and certain other disposals that do not meet the definition of a discontinued operation. This guidance is effective prospectively for annual and interim reporting periods beginning after December 15, 2014. Early adoption is permitted but only for disposals (or classifications as held for sale) that have not been reported in financial statements previously issued or available for issue. We are currently evaluating the provisions of this authoritative guidance and assessing its impact, but do not believe our adoption will have a material impact on our financial position, results of operations or cash flows.</w:t>
      </w:r>
    </w:p>
    <w:p>
      <w:pPr>
        <w:spacing w:after="0" w:line="178" w:lineRule="exact"/>
        <w:rPr>
          <w:sz w:val="20"/>
          <w:szCs w:val="20"/>
          <w:color w:val="auto"/>
        </w:rPr>
      </w:pPr>
    </w:p>
    <w:p>
      <w:pPr>
        <w:jc w:val="both"/>
        <w:ind w:right="260" w:firstLine="648"/>
        <w:spacing w:after="0" w:line="279" w:lineRule="auto"/>
        <w:rPr>
          <w:sz w:val="20"/>
          <w:szCs w:val="20"/>
          <w:color w:val="auto"/>
        </w:rPr>
      </w:pPr>
      <w:r>
        <w:rPr>
          <w:rFonts w:ascii="Arial" w:cs="Arial" w:eastAsia="Arial" w:hAnsi="Arial"/>
          <w:sz w:val="17"/>
          <w:szCs w:val="17"/>
          <w:color w:val="auto"/>
        </w:rPr>
        <w:t>In March 2013, the FASB issued guidance regarding the release of cumulative translation adjustments into net income when a parent either sells a part or all of its investment in a foreign entity or no longer holds a controlling financial interest in a subsidiary or group of assets that is a business within a foreign entity. This guidance became effective for interim and annual periods beginning after December 15, 2013. We adopted this guidance on January 1, 2014. Our adoption did not have a material impact on our financial position, results of operations or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3—Accounts Receivable</w:t>
      </w:r>
    </w:p>
    <w:p>
      <w:pPr>
        <w:spacing w:after="0" w:line="22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Our accounts receivable are primarily from purchasers and shippers of crude oil and, to a lesser extent, purchasers of NGL and natural gas storage. These purchasers include, but are not limited to, refiners, producers, marketing and trading companies and financial institutions that are active in the physical and financial commodity markets. The majority of our accounts receivable relate to our crude oil supply and logistics activities that can generally be described as high volume and low margin activities, in many cases involving exchanges of crude oil volumes.</w:t>
      </w:r>
    </w:p>
    <w:p>
      <w:pPr>
        <w:spacing w:after="0" w:line="17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To mitigate credit risk related to our accounts receivable, we have in place a rigorous credit review process. We closely monitor market conditions in order to make a determination with respect to the amount, if any, of credit to be extended to any given customer and the form and amount of financial performance assurances we require. Such financial assurances are commonly provided to us in the form of advance cash payments, standby letters of credit or parental guarantees. As of September 30, 2014 and December 31, 2013, we had received $181 million and $117 million, respectively, of advance cash payments from third parties to mitigate credit risk. Furthermore, as of September 30, 2014 and December 31, 2013, we had received $278 million and $426 million, respectively, of standby letters of credit to support obligations due from third parties, a portion of which applies to future business. In addition, in an effort to mitigate credit risk, a significant portion of our transactions with counterparties are settled on a net-cash basis.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Further, we enter into netting agreements (contractual agreements that allow us to offset receivables and payables with those counterparties against each other on our balance sheet) for a majority of such arrangements.</w:t>
      </w:r>
    </w:p>
    <w:p>
      <w:pPr>
        <w:spacing w:after="0" w:line="170"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We review all outstanding accounts receivable balances on a monthly basis and record a reserve for amounts that we expect will not be fully recovered. We do not apply actual balances against the reserve until we have exhausted substantially all collection efforts. At September 30, 2014 and December 31, 2013, substantially all of our accounts receivable (net of allowance for doubtful accounts) were less than 30 days past their scheduled invoice date. Our allowance for doubtful accounts receivable totaled $4 million and $5 million at September 30, 2014 and December 31, 2013, respectively. Although we consider our allowance for doubtful accounts receivable to be adequate, actual amounts could vary significantly from estimated amounts.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4—Inventory, Linefill and Base Gas and Long-term Inventory</w:t>
      </w:r>
    </w:p>
    <w:p>
      <w:pPr>
        <w:sectPr>
          <w:pgSz w:w="11900" w:h="16838" w:orient="portrait"/>
          <w:cols w:equalWidth="0" w:num="1">
            <w:col w:w="11420"/>
          </w:cols>
          <w:pgMar w:left="240" w:top="125" w:right="239" w:bottom="36" w:gutter="0" w:footer="0" w:header="0"/>
        </w:sectPr>
      </w:pPr>
    </w:p>
    <w:bookmarkStart w:id="7" w:name="page8"/>
    <w:bookmarkEnd w:id="7"/>
    <w:p>
      <w:pPr>
        <w:spacing w:after="0" w:line="87"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Inventory, linefill and base gas and long-term inventory consisted of the following as of the dates indicated (barrels and natural gas volumes in thousands and carrying value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September 30, 2014</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December 31, 2013</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Volumes</w:t>
            </w:r>
          </w:p>
        </w:tc>
        <w:tc>
          <w:tcPr>
            <w:tcW w:w="120" w:type="dxa"/>
            <w:vAlign w:val="bottom"/>
          </w:tcPr>
          <w:p>
            <w:pPr>
              <w:spacing w:after="0"/>
              <w:rPr>
                <w:sz w:val="10"/>
                <w:szCs w:val="10"/>
                <w:color w:val="auto"/>
              </w:rPr>
            </w:pPr>
          </w:p>
        </w:tc>
        <w:tc>
          <w:tcPr>
            <w:tcW w:w="104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Unit of</w:t>
            </w:r>
          </w:p>
        </w:tc>
        <w:tc>
          <w:tcPr>
            <w:tcW w:w="100" w:type="dxa"/>
            <w:vAlign w:val="bottom"/>
          </w:tcPr>
          <w:p>
            <w:pPr>
              <w:spacing w:after="0"/>
              <w:rPr>
                <w:sz w:val="10"/>
                <w:szCs w:val="10"/>
                <w:color w:val="auto"/>
              </w:rPr>
            </w:pPr>
          </w:p>
        </w:tc>
        <w:tc>
          <w:tcPr>
            <w:tcW w:w="82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Carrying</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jc w:val="center"/>
              <w:ind w:right="94"/>
              <w:spacing w:after="0" w:line="119" w:lineRule="exact"/>
              <w:rPr>
                <w:sz w:val="20"/>
                <w:szCs w:val="20"/>
                <w:color w:val="auto"/>
              </w:rPr>
            </w:pPr>
            <w:r>
              <w:rPr>
                <w:rFonts w:ascii="Arial" w:cs="Arial" w:eastAsia="Arial" w:hAnsi="Arial"/>
                <w:sz w:val="13"/>
                <w:szCs w:val="13"/>
                <w:b w:val="1"/>
                <w:bCs w:val="1"/>
                <w:color w:val="auto"/>
              </w:rPr>
              <w:t>Price/</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Volumes</w:t>
            </w:r>
          </w:p>
        </w:tc>
        <w:tc>
          <w:tcPr>
            <w:tcW w:w="800" w:type="dxa"/>
            <w:vAlign w:val="bottom"/>
          </w:tcPr>
          <w:p>
            <w:pPr>
              <w:ind w:left="180"/>
              <w:spacing w:after="0" w:line="119" w:lineRule="exact"/>
              <w:rPr>
                <w:sz w:val="20"/>
                <w:szCs w:val="20"/>
                <w:color w:val="auto"/>
              </w:rPr>
            </w:pPr>
            <w:r>
              <w:rPr>
                <w:rFonts w:ascii="Arial" w:cs="Arial" w:eastAsia="Arial" w:hAnsi="Arial"/>
                <w:sz w:val="13"/>
                <w:szCs w:val="13"/>
                <w:b w:val="1"/>
                <w:bCs w:val="1"/>
                <w:color w:val="auto"/>
              </w:rPr>
              <w:t>Unit of</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Carrying</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center"/>
              <w:ind w:right="54"/>
              <w:spacing w:after="0" w:line="119" w:lineRule="exact"/>
              <w:rPr>
                <w:sz w:val="20"/>
                <w:szCs w:val="20"/>
                <w:color w:val="auto"/>
              </w:rPr>
            </w:pPr>
            <w:r>
              <w:rPr>
                <w:rFonts w:ascii="Arial" w:cs="Arial" w:eastAsia="Arial" w:hAnsi="Arial"/>
                <w:sz w:val="13"/>
                <w:szCs w:val="13"/>
                <w:b w:val="1"/>
                <w:bCs w:val="1"/>
                <w:color w:val="auto"/>
              </w:rPr>
              <w:t>Price/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Measure</w:t>
            </w:r>
          </w:p>
        </w:tc>
        <w:tc>
          <w:tcPr>
            <w:tcW w:w="10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 xml:space="preserve">Unit </w:t>
            </w:r>
            <w:r>
              <w:rPr>
                <w:rFonts w:ascii="Arial" w:cs="Arial" w:eastAsia="Arial" w:hAnsi="Arial"/>
                <w:sz w:val="8"/>
                <w:szCs w:val="8"/>
                <w:b w:val="1"/>
                <w:bCs w:val="1"/>
                <w:color w:val="auto"/>
                <w:w w:val="97"/>
              </w:rPr>
              <w:t>(1)</w:t>
            </w: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tcPr>
          <w:p>
            <w:pPr>
              <w:ind w:left="120"/>
              <w:spacing w:after="0"/>
              <w:rPr>
                <w:sz w:val="20"/>
                <w:szCs w:val="20"/>
                <w:color w:val="auto"/>
              </w:rPr>
            </w:pPr>
            <w:r>
              <w:rPr>
                <w:rFonts w:ascii="Arial" w:cs="Arial" w:eastAsia="Arial" w:hAnsi="Arial"/>
                <w:sz w:val="14"/>
                <w:szCs w:val="14"/>
                <w:b w:val="1"/>
                <w:bCs w:val="1"/>
                <w:color w:val="auto"/>
              </w:rPr>
              <w:t>Measure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 xml:space="preserve">Unit </w:t>
            </w:r>
            <w:r>
              <w:rPr>
                <w:rFonts w:ascii="Arial" w:cs="Arial" w:eastAsia="Arial" w:hAnsi="Arial"/>
                <w:sz w:val="8"/>
                <w:szCs w:val="8"/>
                <w:b w:val="1"/>
                <w:bCs w:val="1"/>
                <w:color w:val="auto"/>
                <w:w w:val="97"/>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Inventory</w:t>
            </w: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Crude oil</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5,665</w:t>
            </w:r>
          </w:p>
        </w:tc>
        <w:tc>
          <w:tcPr>
            <w:tcW w:w="1160" w:type="dxa"/>
            <w:vAlign w:val="bottom"/>
            <w:gridSpan w:val="3"/>
          </w:tcPr>
          <w:p>
            <w:pPr>
              <w:ind w:left="120"/>
              <w:spacing w:after="0"/>
              <w:rPr>
                <w:sz w:val="20"/>
                <w:szCs w:val="20"/>
                <w:color w:val="auto"/>
              </w:rPr>
            </w:pPr>
            <w:r>
              <w:rPr>
                <w:rFonts w:ascii="Arial" w:cs="Arial" w:eastAsia="Arial" w:hAnsi="Arial"/>
                <w:sz w:val="18"/>
                <w:szCs w:val="18"/>
                <w:color w:val="auto"/>
              </w:rPr>
              <w:t>barrels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476</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84.02</w:t>
            </w:r>
          </w:p>
        </w:tc>
        <w:tc>
          <w:tcPr>
            <w:tcW w:w="200" w:type="dxa"/>
            <w:vAlign w:val="bottom"/>
            <w:tcBorders>
              <w:right w:val="single" w:sz="8" w:color="auto"/>
            </w:tcBorders>
          </w:tcPr>
          <w:p>
            <w:pPr>
              <w:spacing w:after="0"/>
              <w:rPr>
                <w:sz w:val="18"/>
                <w:szCs w:val="18"/>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6,951</w:t>
            </w:r>
          </w:p>
        </w:tc>
        <w:tc>
          <w:tcPr>
            <w:tcW w:w="800" w:type="dxa"/>
            <w:vAlign w:val="bottom"/>
          </w:tcPr>
          <w:p>
            <w:pPr>
              <w:spacing w:after="0"/>
              <w:rPr>
                <w:sz w:val="20"/>
                <w:szCs w:val="20"/>
                <w:color w:val="auto"/>
              </w:rPr>
            </w:pPr>
            <w:r>
              <w:rPr>
                <w:rFonts w:ascii="Arial" w:cs="Arial" w:eastAsia="Arial" w:hAnsi="Arial"/>
                <w:sz w:val="18"/>
                <w:szCs w:val="18"/>
                <w:color w:val="auto"/>
              </w:rPr>
              <w:t>barrels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540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NGL</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17,392</w:t>
            </w:r>
          </w:p>
        </w:tc>
        <w:tc>
          <w:tcPr>
            <w:tcW w:w="11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barrels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40.19</w:t>
            </w:r>
          </w:p>
        </w:tc>
        <w:tc>
          <w:tcPr>
            <w:tcW w:w="200" w:type="dxa"/>
            <w:vAlign w:val="bottom"/>
            <w:tcBorders>
              <w:right w:val="single" w:sz="8" w:color="auto"/>
            </w:tcBorders>
            <w:shd w:val="clear" w:color="auto" w:fill="CCEEFF"/>
          </w:tcPr>
          <w:p>
            <w:pPr>
              <w:spacing w:after="0"/>
              <w:rPr>
                <w:sz w:val="18"/>
                <w:szCs w:val="18"/>
                <w:color w:val="auto"/>
              </w:rPr>
            </w:pP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8,061</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barrels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Natural gas</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29,245</w:t>
            </w:r>
          </w:p>
        </w:tc>
        <w:tc>
          <w:tcPr>
            <w:tcW w:w="1160" w:type="dxa"/>
            <w:vAlign w:val="bottom"/>
            <w:gridSpan w:val="3"/>
          </w:tcPr>
          <w:p>
            <w:pPr>
              <w:ind w:left="120"/>
              <w:spacing w:after="0"/>
              <w:rPr>
                <w:sz w:val="20"/>
                <w:szCs w:val="20"/>
                <w:color w:val="auto"/>
              </w:rPr>
            </w:pPr>
            <w:r>
              <w:rPr>
                <w:rFonts w:ascii="Arial" w:cs="Arial" w:eastAsia="Arial" w:hAnsi="Arial"/>
                <w:sz w:val="18"/>
                <w:szCs w:val="18"/>
                <w:color w:val="auto"/>
              </w:rPr>
              <w:t>Mcf</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4.07</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40,505</w:t>
            </w:r>
          </w:p>
        </w:tc>
        <w:tc>
          <w:tcPr>
            <w:tcW w:w="800" w:type="dxa"/>
            <w:vAlign w:val="bottom"/>
          </w:tcPr>
          <w:p>
            <w:pPr>
              <w:spacing w:after="0"/>
              <w:rPr>
                <w:sz w:val="20"/>
                <w:szCs w:val="20"/>
                <w:color w:val="auto"/>
              </w:rPr>
            </w:pPr>
            <w:r>
              <w:rPr>
                <w:rFonts w:ascii="Arial" w:cs="Arial" w:eastAsia="Arial" w:hAnsi="Arial"/>
                <w:sz w:val="18"/>
                <w:szCs w:val="18"/>
                <w:color w:val="auto"/>
              </w:rPr>
              <w:t>Mcf</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Inventory subtotal</w:t>
            </w:r>
          </w:p>
        </w:tc>
        <w:tc>
          <w:tcPr>
            <w:tcW w:w="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right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b w:val="1"/>
                <w:bCs w:val="1"/>
                <w:color w:val="auto"/>
              </w:rPr>
              <w:t>Linefill and base gas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Crude oil</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11,390</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barrels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62.77</w:t>
            </w:r>
          </w:p>
        </w:tc>
        <w:tc>
          <w:tcPr>
            <w:tcW w:w="200" w:type="dxa"/>
            <w:vAlign w:val="bottom"/>
            <w:tcBorders>
              <w:right w:val="single" w:sz="8" w:color="auto"/>
            </w:tcBorders>
            <w:shd w:val="clear" w:color="auto" w:fill="CCEEFF"/>
          </w:tcPr>
          <w:p>
            <w:pPr>
              <w:spacing w:after="0"/>
              <w:rPr>
                <w:sz w:val="18"/>
                <w:szCs w:val="18"/>
                <w:color w:val="auto"/>
              </w:rPr>
            </w:pP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10,966</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barrels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NGL</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1,214</w:t>
            </w:r>
          </w:p>
        </w:tc>
        <w:tc>
          <w:tcPr>
            <w:tcW w:w="1160" w:type="dxa"/>
            <w:vAlign w:val="bottom"/>
            <w:gridSpan w:val="3"/>
          </w:tcPr>
          <w:p>
            <w:pPr>
              <w:ind w:left="120"/>
              <w:spacing w:after="0"/>
              <w:rPr>
                <w:sz w:val="20"/>
                <w:szCs w:val="20"/>
                <w:color w:val="auto"/>
              </w:rPr>
            </w:pPr>
            <w:r>
              <w:rPr>
                <w:rFonts w:ascii="Arial" w:cs="Arial" w:eastAsia="Arial" w:hAnsi="Arial"/>
                <w:sz w:val="18"/>
                <w:szCs w:val="18"/>
                <w:color w:val="auto"/>
              </w:rPr>
              <w:t>barrels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44.48</w:t>
            </w:r>
          </w:p>
        </w:tc>
        <w:tc>
          <w:tcPr>
            <w:tcW w:w="200" w:type="dxa"/>
            <w:vAlign w:val="bottom"/>
            <w:tcBorders>
              <w:right w:val="single" w:sz="8" w:color="auto"/>
            </w:tcBorders>
          </w:tcPr>
          <w:p>
            <w:pPr>
              <w:spacing w:after="0"/>
              <w:rPr>
                <w:sz w:val="18"/>
                <w:szCs w:val="18"/>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1,341</w:t>
            </w:r>
          </w:p>
        </w:tc>
        <w:tc>
          <w:tcPr>
            <w:tcW w:w="800" w:type="dxa"/>
            <w:vAlign w:val="bottom"/>
          </w:tcPr>
          <w:p>
            <w:pPr>
              <w:spacing w:after="0"/>
              <w:rPr>
                <w:sz w:val="20"/>
                <w:szCs w:val="20"/>
                <w:color w:val="auto"/>
              </w:rPr>
            </w:pPr>
            <w:r>
              <w:rPr>
                <w:rFonts w:ascii="Arial" w:cs="Arial" w:eastAsia="Arial" w:hAnsi="Arial"/>
                <w:sz w:val="18"/>
                <w:szCs w:val="18"/>
                <w:color w:val="auto"/>
              </w:rPr>
              <w:t>barrels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Natural gas</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28,612</w:t>
            </w:r>
          </w:p>
        </w:tc>
        <w:tc>
          <w:tcPr>
            <w:tcW w:w="11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Mcf</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4.68</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16,615</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Mcf</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Linefill and base gas subtotal</w:t>
            </w:r>
          </w:p>
        </w:tc>
        <w:tc>
          <w:tcPr>
            <w:tcW w:w="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right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b w:val="1"/>
                <w:bCs w:val="1"/>
                <w:color w:val="auto"/>
              </w:rPr>
              <w:t>Long-term inventory</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Crude oil</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2,557</w:t>
            </w:r>
          </w:p>
        </w:tc>
        <w:tc>
          <w:tcPr>
            <w:tcW w:w="11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barrels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80.95</w:t>
            </w:r>
          </w:p>
        </w:tc>
        <w:tc>
          <w:tcPr>
            <w:tcW w:w="200" w:type="dxa"/>
            <w:vAlign w:val="bottom"/>
            <w:tcBorders>
              <w:right w:val="single" w:sz="8" w:color="auto"/>
            </w:tcBorders>
            <w:shd w:val="clear" w:color="auto" w:fill="CCEEFF"/>
          </w:tcPr>
          <w:p>
            <w:pPr>
              <w:spacing w:after="0"/>
              <w:rPr>
                <w:sz w:val="18"/>
                <w:szCs w:val="18"/>
                <w:color w:val="auto"/>
              </w:rPr>
            </w:pP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2,498</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barrels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NGL</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1,681</w:t>
            </w:r>
          </w:p>
        </w:tc>
        <w:tc>
          <w:tcPr>
            <w:tcW w:w="1160" w:type="dxa"/>
            <w:vAlign w:val="bottom"/>
            <w:gridSpan w:val="3"/>
          </w:tcPr>
          <w:p>
            <w:pPr>
              <w:ind w:left="120"/>
              <w:spacing w:after="0"/>
              <w:rPr>
                <w:sz w:val="20"/>
                <w:szCs w:val="20"/>
                <w:color w:val="auto"/>
              </w:rPr>
            </w:pPr>
            <w:r>
              <w:rPr>
                <w:rFonts w:ascii="Arial" w:cs="Arial" w:eastAsia="Arial" w:hAnsi="Arial"/>
                <w:sz w:val="18"/>
                <w:szCs w:val="18"/>
                <w:color w:val="auto"/>
              </w:rPr>
              <w:t>barrels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37.48</w:t>
            </w:r>
          </w:p>
        </w:tc>
        <w:tc>
          <w:tcPr>
            <w:tcW w:w="200" w:type="dxa"/>
            <w:vAlign w:val="bottom"/>
            <w:tcBorders>
              <w:right w:val="single" w:sz="8" w:color="auto"/>
            </w:tcBorders>
          </w:tcPr>
          <w:p>
            <w:pPr>
              <w:spacing w:after="0"/>
              <w:rPr>
                <w:sz w:val="18"/>
                <w:szCs w:val="18"/>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1,161</w:t>
            </w:r>
          </w:p>
        </w:tc>
        <w:tc>
          <w:tcPr>
            <w:tcW w:w="800" w:type="dxa"/>
            <w:vAlign w:val="bottom"/>
          </w:tcPr>
          <w:p>
            <w:pPr>
              <w:spacing w:after="0"/>
              <w:rPr>
                <w:sz w:val="20"/>
                <w:szCs w:val="20"/>
                <w:color w:val="auto"/>
              </w:rPr>
            </w:pPr>
            <w:r>
              <w:rPr>
                <w:rFonts w:ascii="Arial" w:cs="Arial" w:eastAsia="Arial" w:hAnsi="Arial"/>
                <w:sz w:val="18"/>
                <w:szCs w:val="18"/>
                <w:color w:val="auto"/>
              </w:rPr>
              <w:t>barrels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42.20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Long-term inventory subtotal</w:t>
            </w: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120" w:hanging="652"/>
        <w:spacing w:after="0" w:line="227" w:lineRule="auto"/>
        <w:tabs>
          <w:tab w:leader="none" w:pos="648"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20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At the end of each reporting period, we assess the carrying value of our inventory and make any adjustments necessary to reduce the carrying value to the applicable net realizable value. We did not record any such charges during the three months ended September 30, 2014. We recorded a charge of $37 million during the nine months ended September 30, 2014 related to the writedown of our natural gas inventory that was purchased in conjunction with managing natural gas storage deliverability requirements during the extended period of severe cold weather in the first quarter of 2014. During the three and nine months ended September 30, 2013, we recorded a charge of $7 million, primarily related to the writedown of our crude oil inventory due to declines in prices during the period. These adjustments are a component of “Purchases and related costs” on our accompanying condensed consolidated statements of operations. The recognition of the adjustment in 2013 was substantially offset by the recognition of gains on derivative instruments being utilized to hedge the future sales of our crude oil inventory. Substantially all of such gains were recorded to “Supply and Logistics segment revenues” on our accompanying condensed consolidated statements of operations. See Note 10 for discussion of our derivatives and risk management activities.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5—Goodwill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reflects our goodwill by segment and changes during the period indicated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Transportation</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Facilities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3"/>
              </w:rPr>
              <w:t>Supply and Logistics</w:t>
            </w:r>
          </w:p>
        </w:tc>
        <w:tc>
          <w:tcPr>
            <w:tcW w:w="300" w:type="dxa"/>
            <w:vAlign w:val="bottom"/>
          </w:tcPr>
          <w:p>
            <w:pPr>
              <w:spacing w:after="0"/>
              <w:rPr>
                <w:sz w:val="14"/>
                <w:szCs w:val="14"/>
                <w:color w:val="auto"/>
              </w:rPr>
            </w:pPr>
          </w:p>
        </w:tc>
        <w:tc>
          <w:tcPr>
            <w:tcW w:w="1160" w:type="dxa"/>
            <w:vAlign w:val="bottom"/>
            <w:gridSpan w:val="3"/>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vMerge w:val="restart"/>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(3)</w:t>
            </w:r>
          </w:p>
        </w:tc>
        <w:tc>
          <w:tcPr>
            <w:tcW w:w="30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20"/>
                <w:szCs w:val="20"/>
                <w:color w:val="auto"/>
              </w:rPr>
            </w:pPr>
            <w:r>
              <w:rPr>
                <w:rFonts w:ascii="Arial" w:cs="Arial" w:eastAsia="Arial" w:hAnsi="Arial"/>
                <w:sz w:val="18"/>
                <w:szCs w:val="18"/>
                <w:color w:val="auto"/>
              </w:rPr>
              <w:t>Balance at September 30, 2014</w:t>
            </w:r>
          </w:p>
        </w:tc>
        <w:tc>
          <w:tcPr>
            <w:tcW w:w="7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2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completed our annual goodwill impairment test as of June 30, 2014 and determined that there was no impairment of goodwill.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consisted of the following as of the dates indicated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SHORT-TERM DEBT</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line="216" w:lineRule="exact"/>
              <w:rPr>
                <w:sz w:val="20"/>
                <w:szCs w:val="20"/>
                <w:color w:val="auto"/>
              </w:rPr>
            </w:pPr>
            <w:r>
              <w:rPr>
                <w:rFonts w:ascii="Arial" w:cs="Arial" w:eastAsia="Arial" w:hAnsi="Arial"/>
                <w:sz w:val="18"/>
                <w:szCs w:val="18"/>
                <w:color w:val="auto"/>
                <w:w w:val="92"/>
              </w:rPr>
              <w:t xml:space="preserve">PAA commercial paper notes, bearing a weighted-average interest rate of 0.30% and 0.33%, respectively </w:t>
            </w:r>
            <w:r>
              <w:rPr>
                <w:rFonts w:ascii="Arial" w:cs="Arial" w:eastAsia="Arial" w:hAnsi="Arial"/>
                <w:sz w:val="23"/>
                <w:szCs w:val="23"/>
                <w:color w:val="auto"/>
                <w:w w:val="92"/>
                <w:vertAlign w:val="superscript"/>
              </w:rPr>
              <w:t>(1)</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423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PAA senior notes: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5.25% senior notes due June 2015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3.95% senior notes due September 2015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short-term debt</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DEBT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PAA senior notes: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5.25% senior notes due June 2015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3.95% senior notes due September 2015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5.88% senior notes due August 2016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6.13% senior notes due January 2017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400</w:t>
            </w:r>
          </w:p>
        </w:tc>
        <w:tc>
          <w:tcPr>
            <w:tcW w:w="18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bl>
    <w:p>
      <w:pPr>
        <w:sectPr>
          <w:pgSz w:w="11900" w:h="16925" w:orient="portrait"/>
          <w:cols w:equalWidth="0" w:num="1">
            <w:col w:w="11420"/>
          </w:cols>
          <w:pgMar w:left="240" w:top="125" w:right="2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6.50% senior notes due May 2018</w:t>
            </w:r>
          </w:p>
        </w:tc>
        <w:tc>
          <w:tcPr>
            <w:tcW w:w="2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600</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w:t>
            </w:r>
          </w:p>
        </w:tc>
        <w:tc>
          <w:tcPr>
            <w:tcW w:w="80" w:type="dxa"/>
            <w:vAlign w:val="bottom"/>
            <w:shd w:val="clear" w:color="auto" w:fill="CCEEFF"/>
          </w:tcPr>
          <w:p>
            <w:pPr>
              <w:spacing w:after="0"/>
              <w:rPr>
                <w:sz w:val="18"/>
                <w:szCs w:val="18"/>
                <w:color w:val="auto"/>
              </w:rPr>
            </w:pPr>
          </w:p>
        </w:tc>
      </w:tr>
      <w:tr>
        <w:trPr>
          <w:trHeight w:val="216"/>
        </w:trPr>
        <w:tc>
          <w:tcPr>
            <w:tcW w:w="6040" w:type="dxa"/>
            <w:vAlign w:val="bottom"/>
          </w:tcPr>
          <w:p>
            <w:pPr>
              <w:ind w:left="180"/>
              <w:spacing w:after="0"/>
              <w:rPr>
                <w:sz w:val="20"/>
                <w:szCs w:val="20"/>
                <w:color w:val="auto"/>
              </w:rPr>
            </w:pPr>
            <w:r>
              <w:rPr>
                <w:rFonts w:ascii="Arial" w:cs="Arial" w:eastAsia="Arial" w:hAnsi="Arial"/>
                <w:sz w:val="18"/>
                <w:szCs w:val="18"/>
                <w:color w:val="auto"/>
              </w:rPr>
              <w:t>8.75% senior notes due May 2019</w:t>
            </w:r>
          </w:p>
        </w:tc>
        <w:tc>
          <w:tcPr>
            <w:tcW w:w="2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350</w:t>
            </w:r>
          </w:p>
        </w:tc>
        <w:tc>
          <w:tcPr>
            <w:tcW w:w="5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8"/>
                <w:szCs w:val="18"/>
                <w:color w:val="auto"/>
              </w:rPr>
            </w:pPr>
          </w:p>
        </w:tc>
      </w:tr>
      <w:tr>
        <w:trPr>
          <w:trHeight w:val="216"/>
        </w:trPr>
        <w:tc>
          <w:tcPr>
            <w:tcW w:w="6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5.75% senior notes due January 2020</w:t>
            </w:r>
          </w:p>
        </w:tc>
        <w:tc>
          <w:tcPr>
            <w:tcW w:w="2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r>
      <w:tr>
        <w:trPr>
          <w:trHeight w:val="216"/>
        </w:trPr>
        <w:tc>
          <w:tcPr>
            <w:tcW w:w="6040" w:type="dxa"/>
            <w:vAlign w:val="bottom"/>
          </w:tcPr>
          <w:p>
            <w:pPr>
              <w:ind w:left="180"/>
              <w:spacing w:after="0"/>
              <w:rPr>
                <w:sz w:val="20"/>
                <w:szCs w:val="20"/>
                <w:color w:val="auto"/>
              </w:rPr>
            </w:pPr>
            <w:r>
              <w:rPr>
                <w:rFonts w:ascii="Arial" w:cs="Arial" w:eastAsia="Arial" w:hAnsi="Arial"/>
                <w:sz w:val="18"/>
                <w:szCs w:val="18"/>
                <w:color w:val="auto"/>
              </w:rPr>
              <w:t>5.00% senior notes due February 2021</w:t>
            </w:r>
          </w:p>
        </w:tc>
        <w:tc>
          <w:tcPr>
            <w:tcW w:w="2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600</w:t>
            </w:r>
          </w:p>
        </w:tc>
        <w:tc>
          <w:tcPr>
            <w:tcW w:w="5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600</w:t>
            </w:r>
          </w:p>
        </w:tc>
        <w:tc>
          <w:tcPr>
            <w:tcW w:w="80" w:type="dxa"/>
            <w:vAlign w:val="bottom"/>
          </w:tcPr>
          <w:p>
            <w:pPr>
              <w:spacing w:after="0"/>
              <w:rPr>
                <w:sz w:val="18"/>
                <w:szCs w:val="18"/>
                <w:color w:val="auto"/>
              </w:rPr>
            </w:pPr>
          </w:p>
        </w:tc>
      </w:tr>
      <w:tr>
        <w:trPr>
          <w:trHeight w:val="216"/>
        </w:trPr>
        <w:tc>
          <w:tcPr>
            <w:tcW w:w="6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3.65% senior notes due June 2022</w:t>
            </w:r>
          </w:p>
        </w:tc>
        <w:tc>
          <w:tcPr>
            <w:tcW w:w="2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750</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w:t>
            </w:r>
          </w:p>
        </w:tc>
        <w:tc>
          <w:tcPr>
            <w:tcW w:w="80" w:type="dxa"/>
            <w:vAlign w:val="bottom"/>
            <w:shd w:val="clear" w:color="auto" w:fill="CCEEFF"/>
          </w:tcPr>
          <w:p>
            <w:pPr>
              <w:spacing w:after="0"/>
              <w:rPr>
                <w:sz w:val="18"/>
                <w:szCs w:val="18"/>
                <w:color w:val="auto"/>
              </w:rPr>
            </w:pPr>
          </w:p>
        </w:tc>
      </w:tr>
      <w:tr>
        <w:trPr>
          <w:trHeight w:val="216"/>
        </w:trPr>
        <w:tc>
          <w:tcPr>
            <w:tcW w:w="6040" w:type="dxa"/>
            <w:vAlign w:val="bottom"/>
          </w:tcPr>
          <w:p>
            <w:pPr>
              <w:ind w:left="180"/>
              <w:spacing w:after="0"/>
              <w:rPr>
                <w:sz w:val="20"/>
                <w:szCs w:val="20"/>
                <w:color w:val="auto"/>
              </w:rPr>
            </w:pPr>
            <w:r>
              <w:rPr>
                <w:rFonts w:ascii="Arial" w:cs="Arial" w:eastAsia="Arial" w:hAnsi="Arial"/>
                <w:sz w:val="18"/>
                <w:szCs w:val="18"/>
                <w:color w:val="auto"/>
              </w:rPr>
              <w:t>2.85% senior notes due January 2023</w:t>
            </w:r>
          </w:p>
        </w:tc>
        <w:tc>
          <w:tcPr>
            <w:tcW w:w="2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400</w:t>
            </w:r>
          </w:p>
        </w:tc>
        <w:tc>
          <w:tcPr>
            <w:tcW w:w="5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18"/>
                <w:szCs w:val="18"/>
                <w:color w:val="auto"/>
              </w:rPr>
            </w:pPr>
          </w:p>
        </w:tc>
      </w:tr>
      <w:tr>
        <w:trPr>
          <w:trHeight w:val="216"/>
        </w:trPr>
        <w:tc>
          <w:tcPr>
            <w:tcW w:w="6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3.85% senior notes due October 2023</w:t>
            </w:r>
          </w:p>
        </w:tc>
        <w:tc>
          <w:tcPr>
            <w:tcW w:w="2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700</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w:t>
            </w:r>
          </w:p>
        </w:tc>
        <w:tc>
          <w:tcPr>
            <w:tcW w:w="80" w:type="dxa"/>
            <w:vAlign w:val="bottom"/>
            <w:shd w:val="clear" w:color="auto" w:fill="CCEEFF"/>
          </w:tcPr>
          <w:p>
            <w:pPr>
              <w:spacing w:after="0"/>
              <w:rPr>
                <w:sz w:val="18"/>
                <w:szCs w:val="18"/>
                <w:color w:val="auto"/>
              </w:rPr>
            </w:pPr>
          </w:p>
        </w:tc>
      </w:tr>
      <w:tr>
        <w:trPr>
          <w:trHeight w:val="216"/>
        </w:trPr>
        <w:tc>
          <w:tcPr>
            <w:tcW w:w="6040" w:type="dxa"/>
            <w:vAlign w:val="bottom"/>
          </w:tcPr>
          <w:p>
            <w:pPr>
              <w:ind w:left="180"/>
              <w:spacing w:after="0"/>
              <w:rPr>
                <w:sz w:val="20"/>
                <w:szCs w:val="20"/>
                <w:color w:val="auto"/>
              </w:rPr>
            </w:pPr>
            <w:r>
              <w:rPr>
                <w:rFonts w:ascii="Arial" w:cs="Arial" w:eastAsia="Arial" w:hAnsi="Arial"/>
                <w:sz w:val="18"/>
                <w:szCs w:val="18"/>
                <w:color w:val="auto"/>
              </w:rPr>
              <w:t>3.60% senior notes due November 2024</w:t>
            </w:r>
          </w:p>
        </w:tc>
        <w:tc>
          <w:tcPr>
            <w:tcW w:w="2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750</w:t>
            </w:r>
          </w:p>
        </w:tc>
        <w:tc>
          <w:tcPr>
            <w:tcW w:w="52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6.70% senior notes due May 2036</w:t>
            </w:r>
          </w:p>
        </w:tc>
        <w:tc>
          <w:tcPr>
            <w:tcW w:w="2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CEEFF"/>
          </w:tcPr>
          <w:p>
            <w:pPr>
              <w:spacing w:after="0"/>
              <w:rPr>
                <w:sz w:val="18"/>
                <w:szCs w:val="18"/>
                <w:color w:val="auto"/>
              </w:rPr>
            </w:pPr>
          </w:p>
        </w:tc>
      </w:tr>
      <w:tr>
        <w:trPr>
          <w:trHeight w:val="216"/>
        </w:trPr>
        <w:tc>
          <w:tcPr>
            <w:tcW w:w="6040" w:type="dxa"/>
            <w:vAlign w:val="bottom"/>
          </w:tcPr>
          <w:p>
            <w:pPr>
              <w:ind w:left="180"/>
              <w:spacing w:after="0"/>
              <w:rPr>
                <w:sz w:val="20"/>
                <w:szCs w:val="20"/>
                <w:color w:val="auto"/>
              </w:rPr>
            </w:pPr>
            <w:r>
              <w:rPr>
                <w:rFonts w:ascii="Arial" w:cs="Arial" w:eastAsia="Arial" w:hAnsi="Arial"/>
                <w:sz w:val="18"/>
                <w:szCs w:val="18"/>
                <w:color w:val="auto"/>
              </w:rPr>
              <w:t>6.65% senior notes due January 2037</w:t>
            </w:r>
          </w:p>
        </w:tc>
        <w:tc>
          <w:tcPr>
            <w:tcW w:w="2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600</w:t>
            </w:r>
          </w:p>
        </w:tc>
        <w:tc>
          <w:tcPr>
            <w:tcW w:w="5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600</w:t>
            </w:r>
          </w:p>
        </w:tc>
        <w:tc>
          <w:tcPr>
            <w:tcW w:w="80" w:type="dxa"/>
            <w:vAlign w:val="bottom"/>
          </w:tcPr>
          <w:p>
            <w:pPr>
              <w:spacing w:after="0"/>
              <w:rPr>
                <w:sz w:val="18"/>
                <w:szCs w:val="18"/>
                <w:color w:val="auto"/>
              </w:rPr>
            </w:pPr>
          </w:p>
        </w:tc>
      </w:tr>
      <w:tr>
        <w:trPr>
          <w:trHeight w:val="216"/>
        </w:trPr>
        <w:tc>
          <w:tcPr>
            <w:tcW w:w="6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5.15% senior notes due June 2042</w:t>
            </w:r>
          </w:p>
        </w:tc>
        <w:tc>
          <w:tcPr>
            <w:tcW w:w="2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r>
      <w:tr>
        <w:trPr>
          <w:trHeight w:val="216"/>
        </w:trPr>
        <w:tc>
          <w:tcPr>
            <w:tcW w:w="6040" w:type="dxa"/>
            <w:vAlign w:val="bottom"/>
          </w:tcPr>
          <w:p>
            <w:pPr>
              <w:ind w:left="180"/>
              <w:spacing w:after="0"/>
              <w:rPr>
                <w:sz w:val="20"/>
                <w:szCs w:val="20"/>
                <w:color w:val="auto"/>
              </w:rPr>
            </w:pPr>
            <w:r>
              <w:rPr>
                <w:rFonts w:ascii="Arial" w:cs="Arial" w:eastAsia="Arial" w:hAnsi="Arial"/>
                <w:sz w:val="18"/>
                <w:szCs w:val="18"/>
                <w:color w:val="auto"/>
              </w:rPr>
              <w:t>4.30% senior notes due January 2043</w:t>
            </w:r>
          </w:p>
        </w:tc>
        <w:tc>
          <w:tcPr>
            <w:tcW w:w="2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350</w:t>
            </w:r>
          </w:p>
        </w:tc>
        <w:tc>
          <w:tcPr>
            <w:tcW w:w="5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8"/>
                <w:szCs w:val="18"/>
                <w:color w:val="auto"/>
              </w:rPr>
            </w:pPr>
          </w:p>
        </w:tc>
      </w:tr>
      <w:tr>
        <w:trPr>
          <w:trHeight w:val="216"/>
        </w:trPr>
        <w:tc>
          <w:tcPr>
            <w:tcW w:w="6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4.70% senior notes due June 2044</w:t>
            </w:r>
          </w:p>
        </w:tc>
        <w:tc>
          <w:tcPr>
            <w:tcW w:w="2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700</w:t>
            </w:r>
          </w:p>
        </w:tc>
        <w:tc>
          <w:tcPr>
            <w:tcW w:w="5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40" w:type="dxa"/>
            <w:vAlign w:val="bottom"/>
          </w:tcPr>
          <w:p>
            <w:pPr>
              <w:ind w:left="180"/>
              <w:spacing w:after="0"/>
              <w:rPr>
                <w:sz w:val="20"/>
                <w:szCs w:val="20"/>
                <w:color w:val="auto"/>
              </w:rPr>
            </w:pPr>
            <w:r>
              <w:rPr>
                <w:rFonts w:ascii="Arial" w:cs="Arial" w:eastAsia="Arial" w:hAnsi="Arial"/>
                <w:sz w:val="18"/>
                <w:szCs w:val="18"/>
                <w:color w:val="auto"/>
              </w:rPr>
              <w:t>Unamortized discounts</w:t>
            </w:r>
          </w:p>
        </w:tc>
        <w:tc>
          <w:tcPr>
            <w:tcW w:w="2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52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(15)</w:t>
            </w:r>
          </w:p>
        </w:tc>
      </w:tr>
      <w:tr>
        <w:trPr>
          <w:trHeight w:val="210"/>
        </w:trPr>
        <w:tc>
          <w:tcPr>
            <w:tcW w:w="60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PAA senior notes, net of unamortized discounts</w:t>
            </w:r>
          </w:p>
        </w:tc>
        <w:tc>
          <w:tcPr>
            <w:tcW w:w="22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7,609</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Other</w:t>
            </w:r>
          </w:p>
        </w:tc>
        <w:tc>
          <w:tcPr>
            <w:tcW w:w="2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r>
      <w:tr>
        <w:trPr>
          <w:trHeight w:val="210"/>
        </w:trPr>
        <w:tc>
          <w:tcPr>
            <w:tcW w:w="60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long-term debt</w:t>
            </w:r>
          </w:p>
        </w:tc>
        <w:tc>
          <w:tcPr>
            <w:tcW w:w="22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7,613</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6040" w:type="dxa"/>
            <w:vAlign w:val="bottom"/>
          </w:tcPr>
          <w:p>
            <w:pPr>
              <w:ind w:left="540"/>
              <w:spacing w:after="0" w:line="210" w:lineRule="exact"/>
              <w:rPr>
                <w:sz w:val="20"/>
                <w:szCs w:val="20"/>
                <w:color w:val="auto"/>
              </w:rPr>
            </w:pPr>
            <w:r>
              <w:rPr>
                <w:rFonts w:ascii="Arial" w:cs="Arial" w:eastAsia="Arial" w:hAnsi="Arial"/>
                <w:sz w:val="18"/>
                <w:szCs w:val="18"/>
                <w:color w:val="auto"/>
              </w:rPr>
              <w:t xml:space="preserve">Total debt </w:t>
            </w:r>
            <w:r>
              <w:rPr>
                <w:rFonts w:ascii="Arial" w:cs="Arial" w:eastAsia="Arial" w:hAnsi="Arial"/>
                <w:sz w:val="23"/>
                <w:szCs w:val="23"/>
                <w:color w:val="auto"/>
                <w:vertAlign w:val="superscript"/>
              </w:rPr>
              <w:t>(2)</w:t>
            </w:r>
          </w:p>
        </w:tc>
        <w:tc>
          <w:tcPr>
            <w:tcW w:w="2260" w:type="dxa"/>
            <w:vAlign w:val="bottom"/>
          </w:tcPr>
          <w:p>
            <w:pPr>
              <w:spacing w:after="0"/>
              <w:rPr>
                <w:sz w:val="18"/>
                <w:szCs w:val="18"/>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8,589</w:t>
            </w:r>
          </w:p>
        </w:tc>
        <w:tc>
          <w:tcPr>
            <w:tcW w:w="280" w:type="dxa"/>
            <w:vAlign w:val="bottom"/>
          </w:tcPr>
          <w:p>
            <w:pPr>
              <w:spacing w:after="0"/>
              <w:rPr>
                <w:sz w:val="18"/>
                <w:szCs w:val="18"/>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0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60" w:hanging="652"/>
        <w:spacing w:after="0" w:line="242" w:lineRule="auto"/>
        <w:tabs>
          <w:tab w:leader="none" w:pos="648"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PAA commercial paper notes are backstopped by the PAA senior unsecured revolving credit facility and the PAA senior secured hedged inventory facility, which mature in August 2019 and August 2017, respectively; as such, any borrowings under the PAA commercial paper program effectively reduce the available capacity under these facilities. At September 30, 2014 and December 31, 2013, we classified $423 million and approximately $1.1 billion, respectively, of borrowings under our commercial paper program as short-term. These borrowings are primarily designated as working capital borrowings, must be repaid within one year and are primarily for hedged NGL and crude oil inventory and NYMEX and ICE margin deposits.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hanging="652"/>
        <w:spacing w:after="0" w:line="277" w:lineRule="auto"/>
        <w:tabs>
          <w:tab w:leader="none" w:pos="648"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Our fixed-rate senior notes (including current maturities) had a face value of approximately $8.2 billion and $6.7 billion at September 30, 2014 and December 31, 2013, respectively. We estimated the aggregate fair value of these notes as of September 30, 2014 and December 31, 2013 to be approximately $8.8 billion and $7.2 billion, respectively. Our fixed-rate senior notes are traded among institutions, and these trades are routinely published by a reporting service. Our determination of fair value is based on reported trading activity near quarter end. We estimate that the carrying value of outstanding borrowings under our credit facilities and commercial paper program approximates fair value as interest rates reflect current market rates. The fair value estimates for our senior notes, credit facilities and commercial paper program are based upon observable market data and are classified within Level 2 of the fair value hierarchy. See Note 10 for additional discussion of the fair value hierarchy.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August 2014, we extended the maturity dates of our senior secured hedged inventory facility and our senior unsecured revolving credit facility by one year through the exercise of the option included in the current credit agreements. Our senior secured hedged inventory facility and our senior unsecured revolving credit facility now mature in August 2017 and August 2019,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and Repayments</w:t>
      </w:r>
    </w:p>
    <w:p>
      <w:pPr>
        <w:spacing w:after="0" w:line="225" w:lineRule="exact"/>
        <w:rPr>
          <w:sz w:val="20"/>
          <w:szCs w:val="20"/>
          <w:color w:val="auto"/>
        </w:rPr>
      </w:pPr>
    </w:p>
    <w:p>
      <w:pPr>
        <w:jc w:val="both"/>
        <w:ind w:right="320" w:firstLine="648"/>
        <w:spacing w:after="0" w:line="257" w:lineRule="auto"/>
        <w:rPr>
          <w:sz w:val="20"/>
          <w:szCs w:val="20"/>
          <w:color w:val="auto"/>
        </w:rPr>
      </w:pPr>
      <w:r>
        <w:rPr>
          <w:rFonts w:ascii="Arial" w:cs="Arial" w:eastAsia="Arial" w:hAnsi="Arial"/>
          <w:sz w:val="18"/>
          <w:szCs w:val="18"/>
          <w:color w:val="auto"/>
        </w:rPr>
        <w:t>Total borrowings under our credit agreements and the commercial paper program for the nine months ended September 30, 2014 and 2013 were approximately $55.6 billion and $12.7 billion, respectively. Total repayments under our credit agreements and the commercial paper program for the nine months ended September 30, 2014 and 2013 were approximately $56.3 billion and $13.2 billion, respectively. The variance in total gross borrowings and repayments is impacted by various business and financial factors including, but not limited to, the timing, average term and method of general partnership borrowing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In connection with our supply and logistics activities, we provide certain suppliers with irrevocable standby letters of credit to secure our obligation for the purchase of crude oil, NGL and natural gas. Additionally, we issue letters of credit to support insurance programs and construction activities. At September 30, 2014 and December 31, 2013, we had outstanding letters of credit of $66 million and $41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Issuances</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On April 23, 2014, we completed the issuance of $700 million, 4.70% senior notes due 2044 at a public offering price of 99.734%. Interest payments are due on June 15 and December 15 of each year, commencing on December 15, 2014. In anticipation of the issuance of these senior notes, we entered into $250 million notional principal amount of U.S. treasury locks in March and April 2014 to hedge the treasury rate portion of the interest rate on a portion of the notes. We terminated these treasury locks in April 2014. See Note 10 for additional disclosure.</w:t>
      </w:r>
    </w:p>
    <w:p>
      <w:pPr>
        <w:spacing w:after="0" w:line="17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On September 9, 2014, we completed the issuance of $750 million, 3.60% senior notes due 2024 at a public offering price of 99.842%. Interest payments are due on May 1 and November 1 of each year, commencing on May 1,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Paper Program</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Effective October 20, 2014, the maximum aggregate borrowing capacity under our commercial paper program was increased from $1.5 billion to $3.0 billion.</w:t>
      </w:r>
    </w:p>
    <w:p>
      <w:pPr>
        <w:sectPr>
          <w:pgSz w:w="11900" w:h="16838" w:orient="portrait"/>
          <w:cols w:equalWidth="0" w:num="1">
            <w:col w:w="11420"/>
          </w:cols>
          <w:pgMar w:left="240" w:top="140" w:right="239" w:bottom="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7—Net Income Per Limited Partner Unit</w:t>
      </w:r>
    </w:p>
    <w:p>
      <w:pPr>
        <w:spacing w:after="0" w:line="229"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Basic and diluted net income per limited partner unit is determined pursuant to the two-class method for Master Limited Partnerships as prescribed in FASB guidance. The two-class method is an earnings allocation formula that is used to determine earnings to our general partner, common unitholders and participating securities according to distributions pertaining to the current period’s net income and participation rights in undistributed earnings. Under this method, all earnings are allocated to our general partner, common unitholders and participating securities based on their respective rights to receive distributions, regardless of whether those earnings would actually be distributed during a particular period from an economic or practical perspective.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Partnership calculates basic and diluted net income per limited partner unit by dividing net income attributable to PAA (after deducting the amount allocated to the general partner’s interest, IDRs and participating securities) by the basic and diluted weighted-average number of limited partner units outstanding during the period. Participating securities include LTIP awards that have vested DERs, which entitle the grantee to a cash payment equal to the cash distribution paid on our outstanding common units.</w:t>
      </w:r>
    </w:p>
    <w:p>
      <w:pPr>
        <w:spacing w:after="0" w:line="187" w:lineRule="exact"/>
        <w:rPr>
          <w:sz w:val="20"/>
          <w:szCs w:val="20"/>
          <w:color w:val="auto"/>
        </w:rPr>
      </w:pPr>
    </w:p>
    <w:p>
      <w:pPr>
        <w:ind w:right="300" w:firstLine="648"/>
        <w:spacing w:after="0" w:line="291" w:lineRule="auto"/>
        <w:rPr>
          <w:sz w:val="20"/>
          <w:szCs w:val="20"/>
          <w:color w:val="auto"/>
        </w:rPr>
      </w:pPr>
      <w:r>
        <w:rPr>
          <w:rFonts w:ascii="Arial" w:cs="Arial" w:eastAsia="Arial" w:hAnsi="Arial"/>
          <w:sz w:val="16"/>
          <w:szCs w:val="16"/>
          <w:color w:val="auto"/>
        </w:rPr>
        <w:t>Diluted net income per limited partner unit is computed based on the weighted average number of units plus the effect of dilutive potential units outstanding during the period using the two-class method. Our LTIP awards that contemplate the issuance of common units are considered dilutive unless</w:t>
      </w:r>
    </w:p>
    <w:p>
      <w:pPr>
        <w:ind w:right="20" w:firstLine="8"/>
        <w:spacing w:after="0" w:line="254" w:lineRule="auto"/>
        <w:tabs>
          <w:tab w:leader="none" w:pos="215" w:val="left"/>
        </w:tabs>
        <w:numPr>
          <w:ilvl w:val="0"/>
          <w:numId w:val="6"/>
        </w:numPr>
        <w:rPr>
          <w:rFonts w:ascii="Arial" w:cs="Arial" w:eastAsia="Arial" w:hAnsi="Arial"/>
          <w:sz w:val="18"/>
          <w:szCs w:val="18"/>
          <w:color w:val="auto"/>
        </w:rPr>
      </w:pPr>
      <w:r>
        <w:rPr>
          <w:rFonts w:ascii="Arial" w:cs="Arial" w:eastAsia="Arial" w:hAnsi="Arial"/>
          <w:sz w:val="18"/>
          <w:szCs w:val="18"/>
          <w:color w:val="auto"/>
        </w:rPr>
        <w:t>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FASB. See Note 15 to our Consolidated Financial Statements included in Part IV of our 2013 Annual Report on Form 10-K for a complete discussion of our LTIP awards including specific discussion regarding DERs.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the computation of basic and diluted net income per limited partner unit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2014 and 2013 (in millions, except per unit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w w:val="89"/>
              </w:rPr>
              <w:t>2013</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Net Income per Limited Partner Unit</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Net income attributable to PAA</w:t>
            </w:r>
          </w:p>
        </w:tc>
        <w:tc>
          <w:tcPr>
            <w:tcW w:w="106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323</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231</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994</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Less: General partner’s incentive distribution </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(124)</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(351)</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line="216" w:lineRule="exact"/>
              <w:rPr>
                <w:sz w:val="20"/>
                <w:szCs w:val="20"/>
                <w:color w:val="auto"/>
              </w:rPr>
            </w:pPr>
            <w:r>
              <w:rPr>
                <w:rFonts w:ascii="Arial" w:cs="Arial" w:eastAsia="Arial" w:hAnsi="Arial"/>
                <w:sz w:val="18"/>
                <w:szCs w:val="18"/>
                <w:color w:val="auto"/>
              </w:rPr>
              <w:t xml:space="preserve">Less: General partner 2% ownership </w:t>
            </w:r>
            <w:r>
              <w:rPr>
                <w:rFonts w:ascii="Arial" w:cs="Arial" w:eastAsia="Arial" w:hAnsi="Arial"/>
                <w:sz w:val="23"/>
                <w:szCs w:val="23"/>
                <w:color w:val="auto"/>
                <w:vertAlign w:val="superscript"/>
              </w:rPr>
              <w:t>(1)</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5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5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 available to limited partners</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79"/>
              </w:rPr>
              <w:t>195</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60" w:type="dxa"/>
            <w:vAlign w:val="bottom"/>
          </w:tcPr>
          <w:p>
            <w:pPr>
              <w:ind w:left="340"/>
              <w:spacing w:after="0" w:line="201" w:lineRule="exact"/>
              <w:rPr>
                <w:sz w:val="20"/>
                <w:szCs w:val="20"/>
                <w:color w:val="auto"/>
              </w:rPr>
            </w:pPr>
            <w:r>
              <w:rPr>
                <w:rFonts w:ascii="Arial" w:cs="Arial" w:eastAsia="Arial" w:hAnsi="Arial"/>
                <w:sz w:val="18"/>
                <w:szCs w:val="18"/>
                <w:color w:val="auto"/>
                <w:w w:val="95"/>
              </w:rPr>
              <w:t>Less: Undistributed earnings allocated and distributions to</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tcPr>
          <w:p>
            <w:pPr>
              <w:ind w:left="520"/>
              <w:spacing w:after="0" w:line="231" w:lineRule="exact"/>
              <w:rPr>
                <w:sz w:val="20"/>
                <w:szCs w:val="20"/>
                <w:color w:val="auto"/>
              </w:rPr>
            </w:pPr>
            <w:r>
              <w:rPr>
                <w:rFonts w:ascii="Arial" w:cs="Arial" w:eastAsia="Arial" w:hAnsi="Arial"/>
                <w:sz w:val="18"/>
                <w:szCs w:val="18"/>
                <w:color w:val="auto"/>
              </w:rPr>
              <w:t xml:space="preserve">participating securities </w:t>
            </w:r>
            <w:r>
              <w:rPr>
                <w:rFonts w:ascii="Arial" w:cs="Arial" w:eastAsia="Arial" w:hAnsi="Arial"/>
                <w:sz w:val="23"/>
                <w:szCs w:val="23"/>
                <w:color w:val="auto"/>
                <w:vertAlign w:val="superscript"/>
              </w:rPr>
              <w:t>(1)</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50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vMerge w:val="restart"/>
            <w:shd w:val="clear" w:color="auto" w:fill="CCEEFF"/>
          </w:tcPr>
          <w:p>
            <w:pPr>
              <w:ind w:left="160"/>
              <w:spacing w:after="0" w:line="201" w:lineRule="exact"/>
              <w:rPr>
                <w:sz w:val="20"/>
                <w:szCs w:val="20"/>
                <w:color w:val="auto"/>
              </w:rPr>
            </w:pPr>
            <w:r>
              <w:rPr>
                <w:rFonts w:ascii="Arial" w:cs="Arial" w:eastAsia="Arial" w:hAnsi="Arial"/>
                <w:sz w:val="18"/>
                <w:szCs w:val="18"/>
                <w:color w:val="auto"/>
                <w:w w:val="97"/>
              </w:rPr>
              <w:t>Net income available to limited partners in accordance with</w:t>
            </w: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760" w:type="dxa"/>
            <w:vAlign w:val="bottom"/>
            <w:vMerge w:val="continue"/>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194</w:t>
            </w:r>
          </w:p>
        </w:tc>
        <w:tc>
          <w:tcPr>
            <w:tcW w:w="54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132</w:t>
            </w:r>
          </w:p>
        </w:tc>
        <w:tc>
          <w:tcPr>
            <w:tcW w:w="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625</w:t>
            </w:r>
          </w:p>
        </w:tc>
        <w:tc>
          <w:tcPr>
            <w:tcW w:w="50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application of the two-class method for MLPs</w:t>
            </w:r>
          </w:p>
        </w:tc>
        <w:tc>
          <w:tcPr>
            <w:tcW w:w="1060" w:type="dxa"/>
            <w:vAlign w:val="bottom"/>
            <w:gridSpan w:val="2"/>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weighted average limited partner units outstanding</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370</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365</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net income per limited partner unit</w:t>
            </w:r>
          </w:p>
        </w:tc>
        <w:tc>
          <w:tcPr>
            <w:tcW w:w="106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0.52</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0.38</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1.71</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per Limited Partner Unit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Net income attributable to PAA</w:t>
            </w:r>
          </w:p>
        </w:tc>
        <w:tc>
          <w:tcPr>
            <w:tcW w:w="106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323</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231</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994</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Less: General partner’s incentive distribution </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(124)</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(351)</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line="216" w:lineRule="exact"/>
              <w:rPr>
                <w:sz w:val="20"/>
                <w:szCs w:val="20"/>
                <w:color w:val="auto"/>
              </w:rPr>
            </w:pPr>
            <w:r>
              <w:rPr>
                <w:rFonts w:ascii="Arial" w:cs="Arial" w:eastAsia="Arial" w:hAnsi="Arial"/>
                <w:sz w:val="18"/>
                <w:szCs w:val="18"/>
                <w:color w:val="auto"/>
              </w:rPr>
              <w:t xml:space="preserve">Less: General partner 2% ownership </w:t>
            </w:r>
            <w:r>
              <w:rPr>
                <w:rFonts w:ascii="Arial" w:cs="Arial" w:eastAsia="Arial" w:hAnsi="Arial"/>
                <w:sz w:val="23"/>
                <w:szCs w:val="23"/>
                <w:color w:val="auto"/>
                <w:vertAlign w:val="superscript"/>
              </w:rPr>
              <w:t>(1)</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5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5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income available to limited partners</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79"/>
              </w:rPr>
              <w:t>195</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60" w:type="dxa"/>
            <w:vAlign w:val="bottom"/>
          </w:tcPr>
          <w:p>
            <w:pPr>
              <w:ind w:left="340"/>
              <w:spacing w:after="0" w:line="201" w:lineRule="exact"/>
              <w:rPr>
                <w:sz w:val="20"/>
                <w:szCs w:val="20"/>
                <w:color w:val="auto"/>
              </w:rPr>
            </w:pPr>
            <w:r>
              <w:rPr>
                <w:rFonts w:ascii="Arial" w:cs="Arial" w:eastAsia="Arial" w:hAnsi="Arial"/>
                <w:sz w:val="18"/>
                <w:szCs w:val="18"/>
                <w:color w:val="auto"/>
                <w:w w:val="95"/>
              </w:rPr>
              <w:t>Less: Undistributed earnings allocated and distributions to</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tcPr>
          <w:p>
            <w:pPr>
              <w:ind w:left="520"/>
              <w:spacing w:after="0" w:line="231" w:lineRule="exact"/>
              <w:rPr>
                <w:sz w:val="20"/>
                <w:szCs w:val="20"/>
                <w:color w:val="auto"/>
              </w:rPr>
            </w:pPr>
            <w:r>
              <w:rPr>
                <w:rFonts w:ascii="Arial" w:cs="Arial" w:eastAsia="Arial" w:hAnsi="Arial"/>
                <w:sz w:val="18"/>
                <w:szCs w:val="18"/>
                <w:color w:val="auto"/>
              </w:rPr>
              <w:t xml:space="preserve">participating securities </w:t>
            </w:r>
            <w:r>
              <w:rPr>
                <w:rFonts w:ascii="Arial" w:cs="Arial" w:eastAsia="Arial" w:hAnsi="Arial"/>
                <w:sz w:val="23"/>
                <w:szCs w:val="23"/>
                <w:color w:val="auto"/>
                <w:vertAlign w:val="superscript"/>
              </w:rPr>
              <w:t>(1)</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50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vMerge w:val="restart"/>
            <w:shd w:val="clear" w:color="auto" w:fill="CCEEFF"/>
          </w:tcPr>
          <w:p>
            <w:pPr>
              <w:ind w:left="160"/>
              <w:spacing w:after="0" w:line="201" w:lineRule="exact"/>
              <w:rPr>
                <w:sz w:val="20"/>
                <w:szCs w:val="20"/>
                <w:color w:val="auto"/>
              </w:rPr>
            </w:pPr>
            <w:r>
              <w:rPr>
                <w:rFonts w:ascii="Arial" w:cs="Arial" w:eastAsia="Arial" w:hAnsi="Arial"/>
                <w:sz w:val="18"/>
                <w:szCs w:val="18"/>
                <w:color w:val="auto"/>
                <w:w w:val="97"/>
              </w:rPr>
              <w:t>Net income available to limited partners in accordance with</w:t>
            </w: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760" w:type="dxa"/>
            <w:vAlign w:val="bottom"/>
            <w:vMerge w:val="continue"/>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194</w:t>
            </w:r>
          </w:p>
        </w:tc>
        <w:tc>
          <w:tcPr>
            <w:tcW w:w="54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132</w:t>
            </w:r>
          </w:p>
        </w:tc>
        <w:tc>
          <w:tcPr>
            <w:tcW w:w="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625</w:t>
            </w:r>
          </w:p>
        </w:tc>
        <w:tc>
          <w:tcPr>
            <w:tcW w:w="50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application of the two-class method for MLPs</w:t>
            </w:r>
          </w:p>
        </w:tc>
        <w:tc>
          <w:tcPr>
            <w:tcW w:w="1060" w:type="dxa"/>
            <w:vAlign w:val="bottom"/>
            <w:gridSpan w:val="2"/>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weighted average limited partner units outstanding</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370</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365</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w w:val="97"/>
              </w:rPr>
              <w:t>Effect of dilutive securities: Weighted average LTIP units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8"/>
              </w:rPr>
              <w:t>Diluted weighted average limited partner units outstanding</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79"/>
              </w:rPr>
              <w:t>371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net income per limited partner unit</w:t>
            </w:r>
          </w:p>
        </w:tc>
        <w:tc>
          <w:tcPr>
            <w:tcW w:w="106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0.52</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0.38</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80" w:hanging="652"/>
        <w:spacing w:after="0" w:line="238" w:lineRule="auto"/>
        <w:tabs>
          <w:tab w:leader="none" w:pos="648"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We calculate net income available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Pursuant to the terms of our partnership agreement, the general partner’s incentive distribution is limited to a percentage of available cash, which, as defined in the partnership agreement, is net of reserves deemed appropriate. As such, IDRs are not allocated undistributed earnings or distributions in excess of earnings in the calculation of net income per limited partner unit. If, however, undistributed earnings were allocated to our IDRs beyond amounts</w:t>
      </w:r>
    </w:p>
    <w:p>
      <w:pPr>
        <w:sectPr>
          <w:pgSz w:w="11900" w:h="16838" w:orient="portrait"/>
          <w:cols w:equalWidth="0" w:num="1">
            <w:col w:w="11420"/>
          </w:cols>
          <w:pgMar w:left="240" w:top="121" w:right="239" w:bottom="0" w:gutter="0" w:footer="0" w:header="0"/>
        </w:sectPr>
      </w:pPr>
    </w:p>
    <w:bookmarkStart w:id="10" w:name="page11"/>
    <w:bookmarkEnd w:id="10"/>
    <w:p>
      <w:pPr>
        <w:spacing w:after="0" w:line="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distributed to them under the terms of the partnership agreement, basic and diluted net income per limited partner unit as reflected in the table above would be impacted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3"/>
          </w:tcPr>
          <w:p>
            <w:pPr>
              <w:jc w:val="center"/>
              <w:ind w:left="461"/>
              <w:spacing w:after="0"/>
              <w:rPr>
                <w:sz w:val="20"/>
                <w:szCs w:val="20"/>
                <w:color w:val="auto"/>
              </w:rPr>
            </w:pPr>
            <w:r>
              <w:rPr>
                <w:rFonts w:ascii="Arial" w:cs="Arial" w:eastAsia="Arial" w:hAnsi="Arial"/>
                <w:sz w:val="14"/>
                <w:szCs w:val="14"/>
                <w:b w:val="1"/>
                <w:bCs w:val="1"/>
                <w:color w:val="auto"/>
                <w:w w:val="94"/>
              </w:rPr>
              <w:t>Nine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September 30 ,</w:t>
            </w:r>
          </w:p>
        </w:tc>
        <w:tc>
          <w:tcPr>
            <w:tcW w:w="8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center"/>
              <w:ind w:left="461"/>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2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w w:val="89"/>
              </w:rPr>
              <w:t>2013</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61"/>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net income per limited partner unit impact</w:t>
            </w:r>
          </w:p>
        </w:tc>
        <w:tc>
          <w:tcPr>
            <w:tcW w:w="6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8"/>
              </w:rPr>
              <w:t>—</w:t>
            </w:r>
          </w:p>
        </w:tc>
        <w:tc>
          <w:tcPr>
            <w:tcW w:w="3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88"/>
              </w:rPr>
              <w:t>—</w:t>
            </w:r>
          </w:p>
        </w:tc>
        <w:tc>
          <w:tcPr>
            <w:tcW w:w="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2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76"/>
              </w:rPr>
              <w:t>(0.23)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limited partner unit impact</w:t>
            </w:r>
          </w:p>
        </w:tc>
        <w:tc>
          <w:tcPr>
            <w:tcW w:w="1520" w:type="dxa"/>
            <w:vAlign w:val="bottom"/>
            <w:gridSpan w:val="2"/>
            <w:shd w:val="clear" w:color="auto" w:fill="CCEEFF"/>
          </w:tcPr>
          <w:p>
            <w:pPr>
              <w:jc w:val="right"/>
              <w:ind w:right="68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ind w:left="660"/>
              <w:spacing w:after="0"/>
              <w:rPr>
                <w:sz w:val="20"/>
                <w:szCs w:val="20"/>
                <w:color w:val="auto"/>
              </w:rPr>
            </w:pPr>
            <w:r>
              <w:rPr>
                <w:rFonts w:ascii="Arial" w:cs="Arial" w:eastAsia="Arial" w:hAnsi="Arial"/>
                <w:sz w:val="18"/>
                <w:szCs w:val="18"/>
                <w:color w:val="auto"/>
                <w:w w:val="88"/>
              </w:rPr>
              <w:t>—</w:t>
            </w: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7"/>
              </w:rPr>
              <w:t>(0.23)</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8—Partners’ Capital and Distributions</w:t>
            </w:r>
          </w:p>
        </w:tc>
        <w:tc>
          <w:tcPr>
            <w:tcW w:w="6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2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following table details the distributions paid during or pertaining to the first nine months of 2014, net of reductions to the general partner’s incentive distributions (in millions, except per unit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4"/>
                <w:szCs w:val="14"/>
                <w:b w:val="1"/>
                <w:bCs w:val="1"/>
                <w:color w:val="auto"/>
              </w:rPr>
              <w:t>Distributions Paid</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Distributions</w:t>
            </w:r>
          </w:p>
        </w:tc>
      </w:tr>
      <w:tr>
        <w:trPr>
          <w:trHeight w:val="142"/>
        </w:trPr>
        <w:tc>
          <w:tcPr>
            <w:tcW w:w="2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Common</w:t>
            </w:r>
          </w:p>
        </w:tc>
        <w:tc>
          <w:tcPr>
            <w:tcW w:w="16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4"/>
          </w:tcPr>
          <w:p>
            <w:pPr>
              <w:jc w:val="right"/>
              <w:ind w:right="310"/>
              <w:spacing w:after="0" w:line="142" w:lineRule="exact"/>
              <w:rPr>
                <w:sz w:val="20"/>
                <w:szCs w:val="20"/>
                <w:color w:val="auto"/>
              </w:rPr>
            </w:pPr>
            <w:r>
              <w:rPr>
                <w:rFonts w:ascii="Arial" w:cs="Arial" w:eastAsia="Arial" w:hAnsi="Arial"/>
                <w:sz w:val="14"/>
                <w:szCs w:val="14"/>
                <w:b w:val="1"/>
                <w:bCs w:val="1"/>
                <w:color w:val="auto"/>
              </w:rPr>
              <w:t>General Partner</w:t>
            </w:r>
          </w:p>
        </w:tc>
        <w:tc>
          <w:tcPr>
            <w:tcW w:w="2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3"/>
              </w:rPr>
              <w:t>per limited</w:t>
            </w:r>
          </w:p>
        </w:tc>
      </w:tr>
      <w:tr>
        <w:trPr>
          <w:trHeight w:val="142"/>
        </w:trPr>
        <w:tc>
          <w:tcPr>
            <w:tcW w:w="26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Date Declared</w:t>
            </w:r>
          </w:p>
        </w:tc>
        <w:tc>
          <w:tcPr>
            <w:tcW w:w="2300" w:type="dxa"/>
            <w:vAlign w:val="bottom"/>
          </w:tcPr>
          <w:p>
            <w:pPr>
              <w:ind w:left="620"/>
              <w:spacing w:after="0" w:line="142" w:lineRule="exact"/>
              <w:rPr>
                <w:sz w:val="20"/>
                <w:szCs w:val="20"/>
                <w:color w:val="auto"/>
              </w:rPr>
            </w:pPr>
            <w:r>
              <w:rPr>
                <w:rFonts w:ascii="Arial" w:cs="Arial" w:eastAsia="Arial" w:hAnsi="Arial"/>
                <w:sz w:val="14"/>
                <w:szCs w:val="14"/>
                <w:b w:val="1"/>
                <w:bCs w:val="1"/>
                <w:color w:val="auto"/>
              </w:rPr>
              <w:t>Distribution Date</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Units</w:t>
            </w:r>
          </w:p>
        </w:tc>
        <w:tc>
          <w:tcPr>
            <w:tcW w:w="160" w:type="dxa"/>
            <w:vAlign w:val="bottom"/>
          </w:tcPr>
          <w:p>
            <w:pPr>
              <w:spacing w:after="0"/>
              <w:rPr>
                <w:sz w:val="12"/>
                <w:szCs w:val="12"/>
                <w:color w:val="auto"/>
              </w:rPr>
            </w:pPr>
          </w:p>
        </w:tc>
        <w:tc>
          <w:tcPr>
            <w:tcW w:w="100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Incentive</w:t>
            </w:r>
          </w:p>
        </w:tc>
        <w:tc>
          <w:tcPr>
            <w:tcW w:w="900" w:type="dxa"/>
            <w:vAlign w:val="bottom"/>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5"/>
              </w:rPr>
              <w:t>partner unit</w:t>
            </w:r>
          </w:p>
        </w:tc>
      </w:tr>
      <w:tr>
        <w:trPr>
          <w:trHeight w:val="210"/>
        </w:trPr>
        <w:tc>
          <w:tcPr>
            <w:tcW w:w="2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8, 2014</w:t>
            </w:r>
          </w:p>
        </w:tc>
        <w:tc>
          <w:tcPr>
            <w:tcW w:w="22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November 14, 2014 </w:t>
            </w:r>
            <w:r>
              <w:rPr>
                <w:rFonts w:ascii="Arial" w:cs="Arial" w:eastAsia="Arial" w:hAnsi="Arial"/>
                <w:sz w:val="23"/>
                <w:szCs w:val="23"/>
                <w:color w:val="auto"/>
                <w:vertAlign w:val="superscript"/>
              </w:rPr>
              <w:t>(1)</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79"/>
              </w:rPr>
              <w:t>245</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374</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0.6600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July 8, 2014</w:t>
            </w:r>
          </w:p>
        </w:tc>
        <w:tc>
          <w:tcPr>
            <w:tcW w:w="2300" w:type="dxa"/>
            <w:vAlign w:val="bottom"/>
          </w:tcPr>
          <w:p>
            <w:pPr>
              <w:spacing w:after="0"/>
              <w:rPr>
                <w:sz w:val="20"/>
                <w:szCs w:val="20"/>
                <w:color w:val="auto"/>
              </w:rPr>
            </w:pPr>
            <w:r>
              <w:rPr>
                <w:rFonts w:ascii="Arial" w:cs="Arial" w:eastAsia="Arial" w:hAnsi="Arial"/>
                <w:sz w:val="18"/>
                <w:szCs w:val="18"/>
                <w:color w:val="auto"/>
              </w:rPr>
              <w:t>August 14, 2014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600"/>
              <w:spacing w:after="0"/>
              <w:rPr>
                <w:sz w:val="20"/>
                <w:szCs w:val="20"/>
                <w:color w:val="auto"/>
              </w:rPr>
            </w:pPr>
            <w:r>
              <w:rPr>
                <w:rFonts w:ascii="Arial" w:cs="Arial" w:eastAsia="Arial" w:hAnsi="Arial"/>
                <w:sz w:val="18"/>
                <w:szCs w:val="18"/>
                <w:color w:val="auto"/>
              </w:rPr>
              <w:t>238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117</w:t>
            </w:r>
          </w:p>
        </w:tc>
        <w:tc>
          <w:tcPr>
            <w:tcW w:w="90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800" w:type="dxa"/>
            <w:vAlign w:val="bottom"/>
            <w:gridSpan w:val="2"/>
          </w:tcPr>
          <w:p>
            <w:pPr>
              <w:jc w:val="right"/>
              <w:ind w:right="519"/>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360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0.6450</w:t>
            </w:r>
          </w:p>
        </w:tc>
      </w:tr>
      <w:tr>
        <w:trPr>
          <w:trHeight w:val="21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7, 2014</w:t>
            </w: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May 15, 2014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229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c>
          <w:tcPr>
            <w:tcW w:w="90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800" w:type="dxa"/>
            <w:vAlign w:val="bottom"/>
            <w:gridSpan w:val="2"/>
            <w:shd w:val="clear" w:color="auto" w:fill="CCEEFF"/>
          </w:tcPr>
          <w:p>
            <w:pPr>
              <w:jc w:val="right"/>
              <w:ind w:right="519"/>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344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0.6300</w:t>
            </w: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January 9, 2014</w:t>
            </w:r>
          </w:p>
        </w:tc>
        <w:tc>
          <w:tcPr>
            <w:tcW w:w="2300" w:type="dxa"/>
            <w:vAlign w:val="bottom"/>
          </w:tcPr>
          <w:p>
            <w:pPr>
              <w:spacing w:after="0"/>
              <w:rPr>
                <w:sz w:val="20"/>
                <w:szCs w:val="20"/>
                <w:color w:val="auto"/>
              </w:rPr>
            </w:pPr>
            <w:r>
              <w:rPr>
                <w:rFonts w:ascii="Arial" w:cs="Arial" w:eastAsia="Arial" w:hAnsi="Arial"/>
                <w:sz w:val="18"/>
                <w:szCs w:val="18"/>
                <w:color w:val="auto"/>
              </w:rPr>
              <w:t>February 14, 2014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600"/>
              <w:spacing w:after="0"/>
              <w:rPr>
                <w:sz w:val="20"/>
                <w:szCs w:val="20"/>
                <w:color w:val="auto"/>
              </w:rPr>
            </w:pPr>
            <w:r>
              <w:rPr>
                <w:rFonts w:ascii="Arial" w:cs="Arial" w:eastAsia="Arial" w:hAnsi="Arial"/>
                <w:sz w:val="18"/>
                <w:szCs w:val="18"/>
                <w:color w:val="auto"/>
              </w:rPr>
              <w:t>221</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102</w:t>
            </w:r>
          </w:p>
        </w:tc>
        <w:tc>
          <w:tcPr>
            <w:tcW w:w="90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800" w:type="dxa"/>
            <w:vAlign w:val="bottom"/>
            <w:gridSpan w:val="2"/>
          </w:tcPr>
          <w:p>
            <w:pPr>
              <w:jc w:val="right"/>
              <w:ind w:right="519"/>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328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0.6150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183070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30705" cy="21590"/>
                    </a:xfrm>
                    <a:prstGeom prst="rect">
                      <a:avLst/>
                    </a:prstGeom>
                    <a:noFill/>
                  </pic:spPr>
                </pic:pic>
              </a:graphicData>
            </a:graphic>
          </wp:anchor>
        </w:drawing>
      </w:r>
    </w:p>
    <w:p>
      <w:pPr>
        <w:spacing w:after="0" w:line="391" w:lineRule="exact"/>
        <w:rPr>
          <w:sz w:val="20"/>
          <w:szCs w:val="20"/>
          <w:color w:val="auto"/>
        </w:rPr>
      </w:pPr>
    </w:p>
    <w:p>
      <w:pPr>
        <w:ind w:left="640" w:hanging="596"/>
        <w:spacing w:after="0"/>
        <w:tabs>
          <w:tab w:leader="none" w:pos="640"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Payable to unitholders of record at the close of business on October 31, 2014 for the period July 1, 2014 through September 30, 2014.</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Continuous Offering Program</w:t>
      </w:r>
    </w:p>
    <w:p>
      <w:pPr>
        <w:spacing w:after="0" w:line="225"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In August 2014, we entered into an equity distribution agreement with several financial institutions pursuant to which we may offer and sell, through sales agents, common units representing limited partner interests having an aggregate offering price of up to $900 million. During the nine months ended September 30, 2014, we issued an aggregate of approximately 11.8 million common units under our continuous offering program, generating proceeds of $669 million, including our general partner’s proportionate capital contribution of $14 million, net of $7 million of commissions to our sales agents.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 in Subsidiaries</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As of September 30, 2014, noncontrolling interests in subsidiaries consisted of a 25% interest in SLC Pipeline LLC. On December 31, 2013, we purchased the noncontrolling interests in PNG, and PNG became our wholly-owned subsidiary.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9—Equity-Indexed Compensation Plans</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We refer to the PAA LTIPs and AAP Management Units collectively as our “Equity-indexed compensation plans.” For additional discussion of our equity-indexed compensation plans and awards, see Note 15 to our Consolidated Financial Statements included in Part IV of our 2013 Annual Report on Form 10-K.</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LTIP Awards</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Activity for LTIP awards denominated in PAA units under our equity-indexed compensation plans is summarized in the following table (units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Weighted Average Grant</w:t>
            </w:r>
          </w:p>
        </w:tc>
        <w:tc>
          <w:tcPr>
            <w:tcW w:w="0" w:type="dxa"/>
            <w:vAlign w:val="bottom"/>
          </w:tcPr>
          <w:p>
            <w:pPr>
              <w:spacing w:after="0"/>
              <w:rPr>
                <w:sz w:val="1"/>
                <w:szCs w:val="1"/>
                <w:color w:val="auto"/>
              </w:rPr>
            </w:pPr>
          </w:p>
        </w:tc>
      </w:tr>
      <w:tr>
        <w:trPr>
          <w:trHeight w:val="149"/>
        </w:trPr>
        <w:tc>
          <w:tcPr>
            <w:tcW w:w="7620" w:type="dxa"/>
            <w:vAlign w:val="bottom"/>
          </w:tcPr>
          <w:p>
            <w:pPr>
              <w:spacing w:after="0"/>
              <w:rPr>
                <w:sz w:val="12"/>
                <w:szCs w:val="12"/>
                <w:color w:val="auto"/>
              </w:rPr>
            </w:pPr>
          </w:p>
        </w:tc>
        <w:tc>
          <w:tcPr>
            <w:tcW w:w="100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 xml:space="preserve">Units </w:t>
            </w:r>
            <w:r>
              <w:rPr>
                <w:rFonts w:ascii="Arial" w:cs="Arial" w:eastAsia="Arial" w:hAnsi="Arial"/>
                <w:sz w:val="8"/>
                <w:szCs w:val="8"/>
                <w:b w:val="1"/>
                <w:bCs w:val="1"/>
                <w:color w:val="auto"/>
              </w:rPr>
              <w:t>(1)</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71"/>
        </w:trPr>
        <w:tc>
          <w:tcPr>
            <w:tcW w:w="76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Fair Value per Unit</w:t>
            </w:r>
          </w:p>
        </w:tc>
        <w:tc>
          <w:tcPr>
            <w:tcW w:w="0" w:type="dxa"/>
            <w:vAlign w:val="bottom"/>
          </w:tcPr>
          <w:p>
            <w:pPr>
              <w:spacing w:after="0"/>
              <w:rPr>
                <w:sz w:val="1"/>
                <w:szCs w:val="1"/>
                <w:color w:val="auto"/>
              </w:rPr>
            </w:pPr>
          </w:p>
        </w:tc>
      </w:tr>
      <w:tr>
        <w:trPr>
          <w:trHeight w:val="210"/>
        </w:trPr>
        <w:tc>
          <w:tcPr>
            <w:tcW w:w="7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100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center"/>
              <w:ind w:left="50"/>
              <w:spacing w:after="0"/>
              <w:rPr>
                <w:sz w:val="20"/>
                <w:szCs w:val="20"/>
                <w:color w:val="auto"/>
              </w:rPr>
            </w:pPr>
            <w:r>
              <w:rPr>
                <w:rFonts w:ascii="Arial" w:cs="Arial" w:eastAsia="Arial" w:hAnsi="Arial"/>
                <w:sz w:val="18"/>
                <w:szCs w:val="18"/>
                <w:color w:val="auto"/>
                <w:w w:val="87"/>
              </w:rPr>
              <w:t>8.4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vMerge w:val="restart"/>
          </w:tcPr>
          <w:p>
            <w:pPr>
              <w:ind w:left="180"/>
              <w:spacing w:after="0"/>
              <w:rPr>
                <w:sz w:val="20"/>
                <w:szCs w:val="20"/>
                <w:color w:val="auto"/>
              </w:rPr>
            </w:pPr>
            <w:r>
              <w:rPr>
                <w:rFonts w:ascii="Arial" w:cs="Arial" w:eastAsia="Arial" w:hAnsi="Arial"/>
                <w:sz w:val="18"/>
                <w:szCs w:val="18"/>
                <w:color w:val="auto"/>
              </w:rPr>
              <w:t>Granted</w:t>
            </w: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vMerge w:val="restart"/>
          </w:tcPr>
          <w:p>
            <w:pPr>
              <w:jc w:val="right"/>
              <w:ind w:right="5"/>
              <w:spacing w:after="0"/>
              <w:rPr>
                <w:sz w:val="20"/>
                <w:szCs w:val="20"/>
                <w:color w:val="auto"/>
              </w:rPr>
            </w:pPr>
            <w:r>
              <w:rPr>
                <w:rFonts w:ascii="Arial" w:cs="Arial" w:eastAsia="Arial" w:hAnsi="Arial"/>
                <w:sz w:val="18"/>
                <w:szCs w:val="18"/>
                <w:color w:val="auto"/>
              </w:rPr>
              <w:t>$</w:t>
            </w:r>
          </w:p>
        </w:tc>
        <w:tc>
          <w:tcPr>
            <w:tcW w:w="19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47.27</w:t>
            </w:r>
          </w:p>
        </w:tc>
        <w:tc>
          <w:tcPr>
            <w:tcW w:w="0" w:type="dxa"/>
            <w:vAlign w:val="bottom"/>
          </w:tcPr>
          <w:p>
            <w:pPr>
              <w:spacing w:after="0" w:line="20" w:lineRule="exact"/>
              <w:rPr>
                <w:sz w:val="1"/>
                <w:szCs w:val="1"/>
                <w:color w:val="auto"/>
              </w:rPr>
            </w:pPr>
          </w:p>
        </w:tc>
      </w:tr>
      <w:tr>
        <w:trPr>
          <w:trHeight w:val="197"/>
        </w:trPr>
        <w:tc>
          <w:tcPr>
            <w:tcW w:w="762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jc w:val="center"/>
              <w:ind w:left="50"/>
              <w:spacing w:after="0" w:line="196" w:lineRule="exact"/>
              <w:rPr>
                <w:sz w:val="20"/>
                <w:szCs w:val="20"/>
                <w:color w:val="auto"/>
              </w:rPr>
            </w:pPr>
            <w:r>
              <w:rPr>
                <w:rFonts w:ascii="Arial" w:cs="Arial" w:eastAsia="Arial" w:hAnsi="Arial"/>
                <w:sz w:val="18"/>
                <w:szCs w:val="18"/>
                <w:color w:val="auto"/>
                <w:w w:val="87"/>
              </w:rPr>
              <w:t>1.1</w:t>
            </w:r>
          </w:p>
        </w:tc>
        <w:tc>
          <w:tcPr>
            <w:tcW w:w="180" w:type="dxa"/>
            <w:vAlign w:val="bottom"/>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19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Vested </w:t>
            </w:r>
            <w:r>
              <w:rPr>
                <w:rFonts w:ascii="Arial" w:cs="Arial" w:eastAsia="Arial" w:hAnsi="Arial"/>
                <w:sz w:val="23"/>
                <w:szCs w:val="23"/>
                <w:color w:val="auto"/>
                <w:vertAlign w:val="superscript"/>
              </w:rPr>
              <w:t>(2)</w:t>
            </w:r>
          </w:p>
        </w:tc>
        <w:tc>
          <w:tcPr>
            <w:tcW w:w="5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1"/>
              </w:rPr>
              <w:t>(1.9)</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25.54</w:t>
            </w:r>
          </w:p>
        </w:tc>
        <w:tc>
          <w:tcPr>
            <w:tcW w:w="0" w:type="dxa"/>
            <w:vAlign w:val="bottom"/>
          </w:tcPr>
          <w:p>
            <w:pPr>
              <w:spacing w:after="0"/>
              <w:rPr>
                <w:sz w:val="1"/>
                <w:szCs w:val="1"/>
                <w:color w:val="auto"/>
              </w:rPr>
            </w:pPr>
          </w:p>
        </w:tc>
      </w:tr>
      <w:tr>
        <w:trPr>
          <w:trHeight w:val="216"/>
        </w:trPr>
        <w:tc>
          <w:tcPr>
            <w:tcW w:w="8620" w:type="dxa"/>
            <w:vAlign w:val="bottom"/>
            <w:gridSpan w:val="2"/>
          </w:tcPr>
          <w:p>
            <w:pPr>
              <w:ind w:left="180"/>
              <w:spacing w:after="0"/>
              <w:rPr>
                <w:sz w:val="20"/>
                <w:szCs w:val="20"/>
                <w:color w:val="auto"/>
              </w:rPr>
            </w:pPr>
            <w:r>
              <w:rPr>
                <w:rFonts w:ascii="Arial" w:cs="Arial" w:eastAsia="Arial" w:hAnsi="Arial"/>
                <w:sz w:val="18"/>
                <w:szCs w:val="18"/>
                <w:color w:val="auto"/>
              </w:rPr>
              <w:t>Cancelled or forfeited</w:t>
            </w:r>
          </w:p>
        </w:tc>
        <w:tc>
          <w:tcPr>
            <w:tcW w:w="54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(0.3)</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39.63</w:t>
            </w:r>
          </w:p>
        </w:tc>
        <w:tc>
          <w:tcPr>
            <w:tcW w:w="0" w:type="dxa"/>
            <w:vAlign w:val="bottom"/>
          </w:tcPr>
          <w:p>
            <w:pPr>
              <w:spacing w:after="0"/>
              <w:rPr>
                <w:sz w:val="1"/>
                <w:szCs w:val="1"/>
                <w:color w:val="auto"/>
              </w:rPr>
            </w:pPr>
          </w:p>
        </w:tc>
      </w:tr>
      <w:tr>
        <w:trPr>
          <w:trHeight w:val="210"/>
        </w:trPr>
        <w:tc>
          <w:tcPr>
            <w:tcW w:w="7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September 30, 2014</w:t>
            </w:r>
          </w:p>
        </w:tc>
        <w:tc>
          <w:tcPr>
            <w:tcW w:w="100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center"/>
              <w:ind w:left="50"/>
              <w:spacing w:after="0"/>
              <w:rPr>
                <w:sz w:val="20"/>
                <w:szCs w:val="20"/>
                <w:color w:val="auto"/>
              </w:rPr>
            </w:pPr>
            <w:r>
              <w:rPr>
                <w:rFonts w:ascii="Arial" w:cs="Arial" w:eastAsia="Arial" w:hAnsi="Arial"/>
                <w:sz w:val="18"/>
                <w:szCs w:val="18"/>
                <w:color w:val="auto"/>
                <w:w w:val="87"/>
              </w:rPr>
              <w:t>7.3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9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41.28</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49"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Amounts do not include AAP Management Units.</w:t>
      </w:r>
    </w:p>
    <w:p>
      <w:pPr>
        <w:spacing w:after="0" w:line="225" w:lineRule="exact"/>
        <w:rPr>
          <w:sz w:val="20"/>
          <w:szCs w:val="20"/>
          <w:color w:val="auto"/>
        </w:rPr>
      </w:pPr>
    </w:p>
    <w:p>
      <w:pPr>
        <w:ind w:left="20" w:right="360" w:hanging="11"/>
        <w:spacing w:after="0" w:line="264" w:lineRule="auto"/>
        <w:rPr>
          <w:sz w:val="20"/>
          <w:szCs w:val="20"/>
          <w:color w:val="auto"/>
        </w:rPr>
      </w:pPr>
      <w:r>
        <w:rPr>
          <w:rFonts w:ascii="Arial" w:cs="Arial" w:eastAsia="Arial" w:hAnsi="Arial"/>
          <w:sz w:val="18"/>
          <w:szCs w:val="18"/>
          <w:color w:val="auto"/>
        </w:rPr>
        <w:t>During the nine months ended September 30, 2014, approximately 0.6 million PAA common units were issued, net of approximately 0.3 million units withheld for taxes, in connection with the settlement of vested awards. The remaining PAA awards (approximately 1.0 million units) that vested during the nine months ended September 30, 2014 were settled in cash.</w:t>
      </w:r>
    </w:p>
    <w:p>
      <w:pPr>
        <w:spacing w:after="0" w:line="181" w:lineRule="exact"/>
        <w:rPr>
          <w:sz w:val="20"/>
          <w:szCs w:val="20"/>
          <w:color w:val="auto"/>
        </w:rPr>
      </w:pPr>
    </w:p>
    <w:p>
      <w:pPr>
        <w:sectPr>
          <w:pgSz w:w="11900" w:h="16849" w:orient="portrait"/>
          <w:cols w:equalWidth="0" w:num="2">
            <w:col w:w="140" w:space="500"/>
            <w:col w:w="10780"/>
          </w:cols>
          <w:pgMar w:left="240" w:top="125" w:right="239" w:bottom="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AAP Management Units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Activity for AAP Management Units is summarized in the following table (in millions):</w:t>
      </w:r>
    </w:p>
    <w:p>
      <w:pPr>
        <w:spacing w:after="0" w:line="217" w:lineRule="exact"/>
        <w:rPr>
          <w:sz w:val="20"/>
          <w:szCs w:val="20"/>
          <w:color w:val="auto"/>
        </w:rPr>
      </w:pPr>
    </w:p>
    <w:p>
      <w:pPr>
        <w:ind w:left="3580"/>
        <w:spacing w:after="0"/>
        <w:tabs>
          <w:tab w:leader="none" w:pos="5580" w:val="left"/>
          <w:tab w:leader="none" w:pos="7120" w:val="left"/>
          <w:tab w:leader="none" w:pos="9640" w:val="left"/>
        </w:tabs>
        <w:rPr>
          <w:sz w:val="20"/>
          <w:szCs w:val="20"/>
          <w:color w:val="auto"/>
        </w:rPr>
      </w:pPr>
      <w:r>
        <w:rPr>
          <w:rFonts w:ascii="Arial" w:cs="Arial" w:eastAsia="Arial" w:hAnsi="Arial"/>
          <w:sz w:val="14"/>
          <w:szCs w:val="14"/>
          <w:b w:val="1"/>
          <w:bCs w:val="1"/>
          <w:color w:val="auto"/>
        </w:rPr>
        <w:t>Reserved for Future</w:t>
      </w:r>
      <w:r>
        <w:rPr>
          <w:sz w:val="20"/>
          <w:szCs w:val="20"/>
          <w:color w:val="auto"/>
        </w:rPr>
        <w:tab/>
      </w:r>
      <w:r>
        <w:rPr>
          <w:rFonts w:ascii="Arial" w:cs="Arial" w:eastAsia="Arial" w:hAnsi="Arial"/>
          <w:sz w:val="14"/>
          <w:szCs w:val="14"/>
          <w:b w:val="1"/>
          <w:bCs w:val="1"/>
          <w:color w:val="auto"/>
        </w:rPr>
        <w:t>Outstanding</w:t>
      </w:r>
      <w:r>
        <w:rPr>
          <w:sz w:val="20"/>
          <w:szCs w:val="20"/>
          <w:color w:val="auto"/>
        </w:rPr>
        <w:tab/>
      </w:r>
      <w:r>
        <w:rPr>
          <w:rFonts w:ascii="Arial" w:cs="Arial" w:eastAsia="Arial" w:hAnsi="Arial"/>
          <w:sz w:val="14"/>
          <w:szCs w:val="14"/>
          <w:b w:val="1"/>
          <w:bCs w:val="1"/>
          <w:color w:val="auto"/>
        </w:rPr>
        <w:t>Outstanding Units</w:t>
      </w:r>
      <w:r>
        <w:rPr>
          <w:sz w:val="20"/>
          <w:szCs w:val="20"/>
          <w:color w:val="auto"/>
        </w:rPr>
        <w:tab/>
      </w:r>
      <w:r>
        <w:rPr>
          <w:rFonts w:ascii="Arial" w:cs="Arial" w:eastAsia="Arial" w:hAnsi="Arial"/>
          <w:sz w:val="13"/>
          <w:szCs w:val="13"/>
          <w:b w:val="1"/>
          <w:bCs w:val="1"/>
          <w:color w:val="auto"/>
        </w:rPr>
        <w:t>Grant Date</w:t>
      </w:r>
    </w:p>
    <w:p>
      <w:pPr>
        <w:spacing w:after="0" w:line="4" w:lineRule="exact"/>
        <w:rPr>
          <w:sz w:val="20"/>
          <w:szCs w:val="20"/>
          <w:color w:val="auto"/>
        </w:rPr>
      </w:pPr>
    </w:p>
    <w:p>
      <w:pPr>
        <w:jc w:val="both"/>
        <w:ind w:left="3980"/>
        <w:spacing w:after="0"/>
        <w:tabs>
          <w:tab w:leader="none" w:pos="7460" w:val="left"/>
          <w:tab w:leader="none" w:pos="9000" w:val="left"/>
        </w:tabs>
        <w:rPr>
          <w:sz w:val="20"/>
          <w:szCs w:val="20"/>
          <w:color w:val="auto"/>
        </w:rPr>
      </w:pPr>
      <w:r>
        <w:rPr>
          <w:rFonts w:ascii="Arial" w:cs="Arial" w:eastAsia="Arial" w:hAnsi="Arial"/>
          <w:sz w:val="14"/>
          <w:szCs w:val="14"/>
          <w:b w:val="1"/>
          <w:bCs w:val="1"/>
          <w:color w:val="auto"/>
        </w:rPr>
        <w:t>Grants</w:t>
      </w:r>
      <w:r>
        <w:rPr>
          <w:sz w:val="20"/>
          <w:szCs w:val="20"/>
          <w:color w:val="auto"/>
        </w:rPr>
        <w:tab/>
      </w:r>
      <w:r>
        <w:rPr>
          <w:rFonts w:ascii="Arial" w:cs="Arial" w:eastAsia="Arial" w:hAnsi="Arial"/>
          <w:sz w:val="14"/>
          <w:szCs w:val="14"/>
          <w:b w:val="1"/>
          <w:bCs w:val="1"/>
          <w:color w:val="auto"/>
        </w:rPr>
        <w:t>Earned</w:t>
      </w:r>
      <w:r>
        <w:rPr>
          <w:sz w:val="20"/>
          <w:szCs w:val="20"/>
          <w:color w:val="auto"/>
        </w:rPr>
        <w:tab/>
      </w:r>
      <w:r>
        <w:rPr>
          <w:rFonts w:ascii="Arial" w:cs="Arial" w:eastAsia="Arial" w:hAnsi="Arial"/>
          <w:sz w:val="13"/>
          <w:szCs w:val="13"/>
          <w:b w:val="1"/>
          <w:bCs w:val="1"/>
          <w:color w:val="auto"/>
        </w:rPr>
        <w:t>Fair Value Of Outstanding AAP</w:t>
      </w:r>
    </w:p>
    <w:p>
      <w:pPr>
        <w:sectPr>
          <w:pgSz w:w="11900" w:h="16849" w:orient="portrait"/>
          <w:cols w:equalWidth="0" w:num="1">
            <w:col w:w="11420"/>
          </w:cols>
          <w:pgMar w:left="240" w:top="125" w:right="239" w:bottom="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195"/>
        </w:trPr>
        <w:tc>
          <w:tcPr>
            <w:tcW w:w="34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340" w:type="dxa"/>
            <w:vAlign w:val="bottom"/>
            <w:gridSpan w:val="3"/>
          </w:tcPr>
          <w:p>
            <w:pPr>
              <w:ind w:left="280"/>
              <w:spacing w:after="0"/>
              <w:rPr>
                <w:sz w:val="20"/>
                <w:szCs w:val="20"/>
                <w:color w:val="auto"/>
              </w:rPr>
            </w:pPr>
            <w:r>
              <w:rPr>
                <w:rFonts w:ascii="Arial" w:cs="Arial" w:eastAsia="Arial" w:hAnsi="Arial"/>
                <w:sz w:val="14"/>
                <w:szCs w:val="14"/>
                <w:b w:val="1"/>
                <w:bCs w:val="1"/>
                <w:color w:val="auto"/>
              </w:rPr>
              <w:t xml:space="preserve">Management Units </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210"/>
        </w:trPr>
        <w:tc>
          <w:tcPr>
            <w:tcW w:w="3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6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2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vMerge w:val="restart"/>
          </w:tcPr>
          <w:p>
            <w:pPr>
              <w:ind w:left="180"/>
              <w:spacing w:after="0"/>
              <w:rPr>
                <w:sz w:val="20"/>
                <w:szCs w:val="20"/>
                <w:color w:val="auto"/>
              </w:rPr>
            </w:pPr>
            <w:r>
              <w:rPr>
                <w:rFonts w:ascii="Arial" w:cs="Arial" w:eastAsia="Arial" w:hAnsi="Arial"/>
                <w:sz w:val="18"/>
                <w:szCs w:val="18"/>
                <w:color w:val="auto"/>
              </w:rPr>
              <w:t>Granted</w:t>
            </w:r>
          </w:p>
        </w:tc>
        <w:tc>
          <w:tcPr>
            <w:tcW w:w="160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00" w:type="dxa"/>
            <w:vAlign w:val="bottom"/>
            <w:vMerge w:val="continue"/>
          </w:tcPr>
          <w:p>
            <w:pPr>
              <w:spacing w:after="0"/>
              <w:rPr>
                <w:sz w:val="17"/>
                <w:szCs w:val="17"/>
                <w:color w:val="auto"/>
              </w:rPr>
            </w:pPr>
          </w:p>
        </w:tc>
        <w:tc>
          <w:tcPr>
            <w:tcW w:w="1600" w:type="dxa"/>
            <w:vAlign w:val="bottom"/>
          </w:tcPr>
          <w:p>
            <w:pPr>
              <w:jc w:val="right"/>
              <w:spacing w:after="0" w:line="196" w:lineRule="exact"/>
              <w:rPr>
                <w:sz w:val="20"/>
                <w:szCs w:val="20"/>
                <w:color w:val="auto"/>
              </w:rPr>
            </w:pPr>
            <w:r>
              <w:rPr>
                <w:rFonts w:ascii="Arial" w:cs="Arial" w:eastAsia="Arial" w:hAnsi="Arial"/>
                <w:sz w:val="18"/>
                <w:szCs w:val="18"/>
                <w:color w:val="auto"/>
              </w:rPr>
              <w:t>(0.4)</w:t>
            </w:r>
          </w:p>
        </w:tc>
        <w:tc>
          <w:tcPr>
            <w:tcW w:w="300" w:type="dxa"/>
            <w:vAlign w:val="bottom"/>
            <w:vMerge w:val="continue"/>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0.4</w:t>
            </w:r>
          </w:p>
        </w:tc>
        <w:tc>
          <w:tcPr>
            <w:tcW w:w="280" w:type="dxa"/>
            <w:vAlign w:val="bottom"/>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Earned</w:t>
            </w:r>
          </w:p>
        </w:tc>
        <w:tc>
          <w:tcPr>
            <w:tcW w:w="190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N/A</w:t>
            </w:r>
          </w:p>
        </w:tc>
        <w:tc>
          <w:tcPr>
            <w:tcW w:w="16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N/A</w:t>
            </w:r>
          </w:p>
        </w:tc>
        <w:tc>
          <w:tcPr>
            <w:tcW w:w="16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0"/>
        </w:trPr>
        <w:tc>
          <w:tcPr>
            <w:tcW w:w="3400" w:type="dxa"/>
            <w:vAlign w:val="bottom"/>
          </w:tcPr>
          <w:p>
            <w:pPr>
              <w:spacing w:after="0"/>
              <w:rPr>
                <w:sz w:val="20"/>
                <w:szCs w:val="20"/>
                <w:color w:val="auto"/>
              </w:rPr>
            </w:pPr>
            <w:r>
              <w:rPr>
                <w:rFonts w:ascii="Arial" w:cs="Arial" w:eastAsia="Arial" w:hAnsi="Arial"/>
                <w:sz w:val="18"/>
                <w:szCs w:val="18"/>
                <w:color w:val="auto"/>
              </w:rPr>
              <w:t>Balance at September 30, 2014</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28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2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200" w:hanging="652"/>
        <w:spacing w:after="0" w:line="227" w:lineRule="auto"/>
        <w:tabs>
          <w:tab w:leader="none" w:pos="648"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Of the $62 million grant date fair value, approximately $54 million had been recognized through September 30, 2014. Approximately $5 million of such amount was recognized as expense during the nine months ended September 30, 2014.</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Consolidated Equity-Indexed Compensation Plan Information</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table below summarizes the expense recognized and the value of vested LTIPs (settled both in common units and cash) under our equity-indexed compensation plans and includes both liability-classified and equity-classified awards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40" w:type="dxa"/>
            <w:vAlign w:val="bottom"/>
            <w:gridSpan w:val="3"/>
          </w:tcPr>
          <w:p>
            <w:pPr>
              <w:jc w:val="right"/>
              <w:ind w:right="414"/>
              <w:spacing w:after="0"/>
              <w:rPr>
                <w:sz w:val="20"/>
                <w:szCs w:val="20"/>
                <w:color w:val="auto"/>
              </w:rPr>
            </w:pPr>
            <w:r>
              <w:rPr>
                <w:rFonts w:ascii="Arial" w:cs="Arial" w:eastAsia="Arial" w:hAnsi="Arial"/>
                <w:sz w:val="14"/>
                <w:szCs w:val="14"/>
                <w:b w:val="1"/>
                <w:bCs w:val="1"/>
                <w:color w:val="auto"/>
                <w:w w:val="95"/>
              </w:rPr>
              <w:t>Three Months Ended</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Nine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3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634"/>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388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Equity-indexed compensation expense</w:t>
            </w:r>
          </w:p>
        </w:tc>
        <w:tc>
          <w:tcPr>
            <w:tcW w:w="1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4"/>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LTIP unit-settled vestings</w:t>
            </w:r>
          </w:p>
        </w:tc>
        <w:tc>
          <w:tcPr>
            <w:tcW w:w="1960" w:type="dxa"/>
            <w:vAlign w:val="bottom"/>
            <w:gridSpan w:val="2"/>
          </w:tcPr>
          <w:p>
            <w:pPr>
              <w:jc w:val="right"/>
              <w:ind w:right="68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1020" w:type="dxa"/>
            <w:vAlign w:val="bottom"/>
          </w:tcPr>
          <w:p>
            <w:pPr>
              <w:jc w:val="right"/>
              <w:ind w:right="834"/>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000" w:type="dxa"/>
            <w:vAlign w:val="bottom"/>
            <w:gridSpan w:val="2"/>
          </w:tcPr>
          <w:p>
            <w:pPr>
              <w:jc w:val="right"/>
              <w:ind w:right="679"/>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52</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LTIP cash-settled vestings</w:t>
            </w:r>
          </w:p>
        </w:tc>
        <w:tc>
          <w:tcPr>
            <w:tcW w:w="1960" w:type="dxa"/>
            <w:vAlign w:val="bottom"/>
            <w:gridSpan w:val="2"/>
            <w:shd w:val="clear" w:color="auto" w:fill="CCEEFF"/>
          </w:tcPr>
          <w:p>
            <w:pPr>
              <w:jc w:val="right"/>
              <w:ind w:right="68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834"/>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18"/>
                <w:szCs w:val="18"/>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DER cash payments</w:t>
            </w:r>
          </w:p>
        </w:tc>
        <w:tc>
          <w:tcPr>
            <w:tcW w:w="1960" w:type="dxa"/>
            <w:vAlign w:val="bottom"/>
            <w:gridSpan w:val="2"/>
          </w:tcPr>
          <w:p>
            <w:pPr>
              <w:jc w:val="right"/>
              <w:ind w:right="68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1020" w:type="dxa"/>
            <w:vAlign w:val="bottom"/>
          </w:tcPr>
          <w:p>
            <w:pPr>
              <w:jc w:val="right"/>
              <w:ind w:right="834"/>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000" w:type="dxa"/>
            <w:vAlign w:val="bottom"/>
            <w:gridSpan w:val="2"/>
          </w:tcPr>
          <w:p>
            <w:pPr>
              <w:jc w:val="right"/>
              <w:ind w:right="679"/>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0"/>
                <w:szCs w:val="20"/>
                <w:color w:val="auto"/>
              </w:rPr>
            </w:pPr>
          </w:p>
        </w:tc>
      </w:tr>
      <w:tr>
        <w:trPr>
          <w:trHeight w:val="418"/>
        </w:trPr>
        <w:tc>
          <w:tcPr>
            <w:tcW w:w="3880" w:type="dxa"/>
            <w:vAlign w:val="bottom"/>
          </w:tcPr>
          <w:p>
            <w:pPr>
              <w:spacing w:after="0"/>
              <w:rPr>
                <w:sz w:val="24"/>
                <w:szCs w:val="24"/>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88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10—Derivatives and Risk Management Activities</w:t>
      </w:r>
    </w:p>
    <w:p>
      <w:pPr>
        <w:spacing w:after="0" w:line="229" w:lineRule="exact"/>
        <w:rPr>
          <w:sz w:val="20"/>
          <w:szCs w:val="20"/>
          <w:color w:val="auto"/>
        </w:rPr>
      </w:pPr>
    </w:p>
    <w:p>
      <w:pPr>
        <w:ind w:right="140" w:firstLine="648"/>
        <w:spacing w:after="0" w:line="287" w:lineRule="auto"/>
        <w:rPr>
          <w:sz w:val="20"/>
          <w:szCs w:val="20"/>
          <w:color w:val="auto"/>
        </w:rPr>
      </w:pPr>
      <w:r>
        <w:rPr>
          <w:rFonts w:ascii="Arial" w:cs="Arial" w:eastAsia="Arial" w:hAnsi="Arial"/>
          <w:sz w:val="16"/>
          <w:szCs w:val="16"/>
          <w:color w:val="auto"/>
        </w:rPr>
        <w:t>We identify the risks that underlie our core business activities and use risk management strategies to mitigate those risks when we determine that there is value in doing so. Our policy is to use derivative instruments for risk management purposes and not for the purpose of speculating on hydrocarbon commodity (referred to herein as “commodity”) price changes. We use various derivative instruments to (i) manage our exposure to commodity price risk as well as to optimize our profits, (ii) manage our exposure to interest rate risk and (iii) manage our exposure to currency exchange rate risk. Our commodity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Both at the inception of the hedge and on an ongoing basis, we assess whether the derivatives used in a transaction are highly effective in offsetting changes in cash flows or the fair value of hedged items.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 Hedging</w:t>
      </w:r>
    </w:p>
    <w:p>
      <w:pPr>
        <w:spacing w:after="0" w:line="225"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color w:val="auto"/>
        </w:rPr>
        <w:t>Our core business activities involve certain commodity price-related risks that we manage in various ways, including through the use of derivative instruments. Our policy is to (i) only purchase inventory for which we have a market, (ii) structure our sales contracts so that price fluctuations do not materially affect our operating income and (iii) not acquire and hold physical inventory or derivatives for the purpose of speculating on commodity price changes. The material commodity-related risks inherent in our business activities can be divided into the following general categories:</w:t>
      </w:r>
    </w:p>
    <w:p>
      <w:pPr>
        <w:spacing w:after="0" w:line="154"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i w:val="1"/>
          <w:iCs w:val="1"/>
          <w:color w:val="auto"/>
        </w:rPr>
        <w:t xml:space="preserve">Commodity Purchases and Sales </w:t>
      </w:r>
      <w:r>
        <w:rPr>
          <w:rFonts w:ascii="Arial" w:cs="Arial" w:eastAsia="Arial" w:hAnsi="Arial"/>
          <w:sz w:val="17"/>
          <w:szCs w:val="17"/>
          <w:color w:val="auto"/>
        </w:rPr>
        <w:t>— In the normal course of our operations, we purchase and sell commodities. We use derivatives to manage the</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risks and to optimize profits. As of September 30, 2014, net derivative positions related to these activities included:</w:t>
      </w:r>
    </w:p>
    <w:p>
      <w:pPr>
        <w:spacing w:after="0" w:line="147" w:lineRule="exact"/>
        <w:rPr>
          <w:sz w:val="20"/>
          <w:szCs w:val="20"/>
          <w:color w:val="auto"/>
        </w:rPr>
      </w:pPr>
    </w:p>
    <w:p>
      <w:pPr>
        <w:ind w:left="980" w:right="720" w:hanging="324"/>
        <w:spacing w:after="0" w:line="277" w:lineRule="auto"/>
        <w:tabs>
          <w:tab w:leader="none" w:pos="9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average of 248,700 barrels per day net long position (total of 7.7 million barrels) associated with our crude oil purchases, which was unwound ratably during October 2014 to match monthly average pricing.</w:t>
      </w:r>
    </w:p>
    <w:p>
      <w:pPr>
        <w:spacing w:after="0" w:line="170" w:lineRule="exact"/>
        <w:rPr>
          <w:rFonts w:ascii="Arial" w:cs="Arial" w:eastAsia="Arial" w:hAnsi="Arial"/>
          <w:sz w:val="18"/>
          <w:szCs w:val="18"/>
          <w:color w:val="auto"/>
        </w:rPr>
      </w:pPr>
    </w:p>
    <w:p>
      <w:pPr>
        <w:ind w:left="980" w:right="340" w:hanging="324"/>
        <w:spacing w:after="0" w:line="342" w:lineRule="auto"/>
        <w:tabs>
          <w:tab w:leader="none" w:pos="944"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net short time spread position averaging approximately 19,900 barrels per day (total of 11.5 million barrels), which hedges a portion of our anticipated crude oil lease gathering purchases through June 2016. Our use of these derivatives does not expose us to outright price risk.</w:t>
      </w:r>
    </w:p>
    <w:p>
      <w:pPr>
        <w:spacing w:after="0" w:line="123" w:lineRule="exact"/>
        <w:rPr>
          <w:rFonts w:ascii="Arial" w:cs="Arial" w:eastAsia="Arial" w:hAnsi="Arial"/>
          <w:sz w:val="16"/>
          <w:szCs w:val="16"/>
          <w:color w:val="auto"/>
        </w:rPr>
      </w:pPr>
    </w:p>
    <w:p>
      <w:pPr>
        <w:ind w:left="980" w:right="120" w:hanging="324"/>
        <w:spacing w:after="0" w:line="308" w:lineRule="auto"/>
        <w:tabs>
          <w:tab w:leader="none" w:pos="944"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 average of 15,200 barrels per day (total of 6.5 million barrels) of crude oil grade spread positions through December 2015. These derivatives allow us to lock in grade basis differentials. Our use of these derivatives does not expose us to outright price risk.</w:t>
      </w:r>
    </w:p>
    <w:p>
      <w:pPr>
        <w:spacing w:after="0" w:line="146" w:lineRule="exact"/>
        <w:rPr>
          <w:rFonts w:ascii="Arial" w:cs="Arial" w:eastAsia="Arial" w:hAnsi="Arial"/>
          <w:sz w:val="17"/>
          <w:szCs w:val="17"/>
          <w:color w:val="auto"/>
        </w:rPr>
      </w:pPr>
    </w:p>
    <w:p>
      <w:pPr>
        <w:ind w:left="980" w:right="1040" w:hanging="324"/>
        <w:spacing w:after="0" w:line="277" w:lineRule="auto"/>
        <w:tabs>
          <w:tab w:leader="none" w:pos="9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net short position of approximately 25.1 Bcf through April 2016 related to anticipated sales of natural gas inventory and base gas requirements.</w:t>
      </w:r>
    </w:p>
    <w:p>
      <w:pPr>
        <w:spacing w:after="0" w:line="170" w:lineRule="exact"/>
        <w:rPr>
          <w:rFonts w:ascii="Arial" w:cs="Arial" w:eastAsia="Arial" w:hAnsi="Arial"/>
          <w:sz w:val="18"/>
          <w:szCs w:val="18"/>
          <w:color w:val="auto"/>
        </w:rPr>
      </w:pPr>
    </w:p>
    <w:p>
      <w:pPr>
        <w:ind w:left="980" w:right="420" w:hanging="324"/>
        <w:spacing w:after="0" w:line="277" w:lineRule="auto"/>
        <w:tabs>
          <w:tab w:leader="none" w:pos="9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net short position of approximately 12.1 million barrels through December 2015 related to the anticipated sales of our crude oil, NGL and refined products inventory.</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 xml:space="preserve">Pipeline Loss Allowance Oil </w:t>
      </w:r>
      <w:r>
        <w:rPr>
          <w:rFonts w:ascii="Arial" w:cs="Arial" w:eastAsia="Arial" w:hAnsi="Arial"/>
          <w:sz w:val="18"/>
          <w:szCs w:val="18"/>
          <w:color w:val="auto"/>
        </w:rPr>
        <w:t>— As is common in the pipeline transportation industry, our tariffs incorporate a loss allowance factor that is intended</w:t>
      </w:r>
      <w:r>
        <w:rPr>
          <w:rFonts w:ascii="Arial" w:cs="Arial" w:eastAsia="Arial" w:hAnsi="Arial"/>
          <w:sz w:val="18"/>
          <w:szCs w:val="18"/>
          <w:i w:val="1"/>
          <w:iCs w:val="1"/>
          <w:color w:val="auto"/>
        </w:rPr>
        <w:t xml:space="preserve"> </w:t>
      </w:r>
      <w:r>
        <w:rPr>
          <w:rFonts w:ascii="Arial" w:cs="Arial" w:eastAsia="Arial" w:hAnsi="Arial"/>
          <w:sz w:val="18"/>
          <w:szCs w:val="18"/>
          <w:color w:val="auto"/>
        </w:rPr>
        <w:t>to offset losses due to evaporation, measurement and other losses in transit. We utilize derivative instruments to hedge a portion of the anticipated sales of the allowance oil that is to be collected under our tariffs. As of September 30, 2014, our PLA hedges included a net short position for an average of approximately 1,400 barrels per day (total of 1.1 million barrels) through December 2016 and a long call position of approximately 0.6 million barrels through December 2016.</w:t>
      </w:r>
    </w:p>
    <w:p>
      <w:pPr>
        <w:spacing w:after="0" w:line="188" w:lineRule="exact"/>
        <w:rPr>
          <w:sz w:val="20"/>
          <w:szCs w:val="20"/>
          <w:color w:val="auto"/>
        </w:rPr>
      </w:pPr>
    </w:p>
    <w:p>
      <w:pPr>
        <w:jc w:val="both"/>
        <w:ind w:right="260" w:firstLine="648"/>
        <w:spacing w:after="0" w:line="312" w:lineRule="auto"/>
        <w:rPr>
          <w:sz w:val="20"/>
          <w:szCs w:val="20"/>
          <w:color w:val="auto"/>
        </w:rPr>
      </w:pPr>
      <w:r>
        <w:rPr>
          <w:rFonts w:ascii="Arial" w:cs="Arial" w:eastAsia="Arial" w:hAnsi="Arial"/>
          <w:sz w:val="16"/>
          <w:szCs w:val="16"/>
          <w:i w:val="1"/>
          <w:iCs w:val="1"/>
          <w:color w:val="auto"/>
        </w:rPr>
        <w:t xml:space="preserve">Natural Gas Processing/NGL Fractionation </w:t>
      </w:r>
      <w:r>
        <w:rPr>
          <w:rFonts w:ascii="Arial" w:cs="Arial" w:eastAsia="Arial" w:hAnsi="Arial"/>
          <w:sz w:val="16"/>
          <w:szCs w:val="16"/>
          <w:color w:val="auto"/>
        </w:rPr>
        <w:t>— As part of our supply and logistics activities, we purchase natural gas for processing and NGL mix</w:t>
      </w:r>
      <w:r>
        <w:rPr>
          <w:rFonts w:ascii="Arial" w:cs="Arial" w:eastAsia="Arial" w:hAnsi="Arial"/>
          <w:sz w:val="16"/>
          <w:szCs w:val="16"/>
          <w:i w:val="1"/>
          <w:iCs w:val="1"/>
          <w:color w:val="auto"/>
        </w:rPr>
        <w:t xml:space="preserve"> </w:t>
      </w:r>
      <w:r>
        <w:rPr>
          <w:rFonts w:ascii="Arial" w:cs="Arial" w:eastAsia="Arial" w:hAnsi="Arial"/>
          <w:sz w:val="16"/>
          <w:szCs w:val="16"/>
          <w:color w:val="auto"/>
        </w:rPr>
        <w:t>for fractionation, and we sell the resulting individual specification products (including ethane, propane, butane and condensate). In conjunction with these activities, we hedge the price risk associated with the purchase of the natural gas and the subsequent sale of the individual specification products. As of</w:t>
      </w:r>
    </w:p>
    <w:p>
      <w:pPr>
        <w:sectPr>
          <w:pgSz w:w="11900" w:h="16838" w:orient="portrait"/>
          <w:cols w:equalWidth="0" w:num="1">
            <w:col w:w="11460"/>
          </w:cols>
          <w:pgMar w:left="240" w:top="93" w:right="199" w:bottom="0" w:gutter="0" w:footer="0" w:header="0"/>
        </w:sectPr>
      </w:pPr>
    </w:p>
    <w:bookmarkStart w:id="12" w:name="page13"/>
    <w:bookmarkEnd w:id="12"/>
    <w:p>
      <w:pPr>
        <w:spacing w:after="0" w:line="49"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September 30, 2014, we had a long natural gas position of approximately 33.3 Bcf through December 2016, a short propane position of approximately 5.4 million barrels through December 2016 and a short butane position of approximately 1.6 million barrels through December 2016.</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To the extent they qualify and we decide to make the election, all of our commodity derivatives where we elect hedge accounting are designated as cash flow hedges. We have determined that substantially all of our physical purchase and sale agreements qualify for the normal purchase normal sale scope exception. Physical commodity contracts that meet the definition of a derivative but are ineligible, or not designated, for the normal purchase normal sale scope exception are recorded on the balance sheet at fair value, with changes in fair value recognized in earnings.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Hedging</w:t>
      </w:r>
    </w:p>
    <w:p>
      <w:pPr>
        <w:spacing w:after="0" w:line="225"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We use interest rate derivatives to hedge interest rate risk associated with anticipated debt issuances and outstanding debt instruments. The derivative instruments we use to manage this risk consist primarily of interest rate swaps and treasury locks. As of September 30, 2014, AOCI includes deferred losses of $108 million that relate to open and terminated interest rate derivatives that were designated for hedge accounting. The terminated interest rate derivatives were cash-settled in connection with the issuance or refinancing of debt agreements. The deferred loss related to these instruments is being amortized to interest expense over the terms of the hedged debt instruments.</w:t>
      </w:r>
    </w:p>
    <w:p>
      <w:pPr>
        <w:spacing w:after="0" w:line="173"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We have entered into forward starting interest rate swaps to hedge the underlying benchmark interest rate related to forecasted debt issuances through 2015. The following table summarizes the terms of our forward starting interest rate swaps as of September 30, 2014 (notional amounts in millions):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Hedged Transaction</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3"/>
              </w:rPr>
              <w:t>Number and Types of</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Notional</w:t>
            </w:r>
          </w:p>
        </w:tc>
        <w:tc>
          <w:tcPr>
            <w:tcW w:w="1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Expected</w:t>
            </w: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Average Rate</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Accounting</w:t>
            </w:r>
          </w:p>
        </w:tc>
        <w:tc>
          <w:tcPr>
            <w:tcW w:w="0" w:type="dxa"/>
            <w:vAlign w:val="bottom"/>
          </w:tcPr>
          <w:p>
            <w:pPr>
              <w:spacing w:after="0"/>
              <w:rPr>
                <w:sz w:val="1"/>
                <w:szCs w:val="1"/>
                <w:color w:val="auto"/>
              </w:rPr>
            </w:pPr>
          </w:p>
        </w:tc>
      </w:tr>
      <w:tr>
        <w:trPr>
          <w:trHeight w:val="171"/>
        </w:trPr>
        <w:tc>
          <w:tcPr>
            <w:tcW w:w="2660" w:type="dxa"/>
            <w:vAlign w:val="bottom"/>
            <w:gridSpan w:val="2"/>
            <w:vMerge w:val="continue"/>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2"/>
              </w:rPr>
              <w:t>Derivatives Employed</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Termination Date</w:t>
            </w: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Locked</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Treatment</w:t>
            </w:r>
          </w:p>
        </w:tc>
        <w:tc>
          <w:tcPr>
            <w:tcW w:w="0" w:type="dxa"/>
            <w:vAlign w:val="bottom"/>
          </w:tcPr>
          <w:p>
            <w:pPr>
              <w:spacing w:after="0"/>
              <w:rPr>
                <w:sz w:val="1"/>
                <w:szCs w:val="1"/>
                <w:color w:val="auto"/>
              </w:rPr>
            </w:pPr>
          </w:p>
        </w:tc>
      </w:tr>
      <w:tr>
        <w:trPr>
          <w:trHeight w:val="195"/>
        </w:trPr>
        <w:tc>
          <w:tcPr>
            <w:tcW w:w="23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Anticipated debt offering</w:t>
            </w:r>
          </w:p>
        </w:tc>
        <w:tc>
          <w:tcPr>
            <w:tcW w:w="300" w:type="dxa"/>
            <w:vAlign w:val="bottom"/>
            <w:tcBorders>
              <w:top w:val="single" w:sz="8" w:color="CCEEFF"/>
            </w:tcBorders>
            <w:shd w:val="clear" w:color="auto" w:fill="CCEEFF"/>
          </w:tcPr>
          <w:p>
            <w:pPr>
              <w:spacing w:after="0"/>
              <w:rPr>
                <w:sz w:val="16"/>
                <w:szCs w:val="16"/>
                <w:color w:val="auto"/>
              </w:rPr>
            </w:pPr>
          </w:p>
        </w:tc>
        <w:tc>
          <w:tcPr>
            <w:tcW w:w="20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10 forward starting swaps</w:t>
            </w:r>
          </w:p>
        </w:tc>
        <w:tc>
          <w:tcPr>
            <w:tcW w:w="3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250</w:t>
            </w:r>
          </w:p>
        </w:tc>
        <w:tc>
          <w:tcPr>
            <w:tcW w:w="28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6/15/2015</w:t>
            </w:r>
          </w:p>
        </w:tc>
        <w:tc>
          <w:tcPr>
            <w:tcW w:w="3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3"/>
              </w:rPr>
              <w:t>3.60%</w:t>
            </w:r>
          </w:p>
        </w:tc>
        <w:tc>
          <w:tcPr>
            <w:tcW w:w="30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Cash flow hedge</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(30-year)</w:t>
            </w: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anticipation of our April 2014 issuance of senior notes, we entered into an aggregate of five treasury lock agreements in March and April 2014 for a combined notional amount of $250 million at a locked in rate of 3.62%. The treasury locks were designated as cash flow hedges, thus, changes in fair value are deferred in AOCI. In connection with our April 2014 senior notes issuance, these treasury locks were terminated prior to maturity for an aggregate cash payment of $7 million. The effective portion of the treasury locks was deferred in AOCI and will be amortized to interest expense over the life of the senior notes.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Risk Hedging</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Because a significant portion of our Canadian business is conducted in CAD and, at times, a portion of our debt is denominated in CAD, we use foreign currency derivatives to minimize the risk of unfavorable changes in exchange rates. These instruments include foreign currency exchange contracts and forwards.</w:t>
      </w:r>
    </w:p>
    <w:p>
      <w:pPr>
        <w:spacing w:after="0" w:line="18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As of September 30, 2014, our outstanding foreign currency derivatives include derivatives we use to (i) hedge currency exchange risk associated with USD-denominated commodity purchases and sales in Canada and (ii) hedge currency exchange risk created by the use of USD-denominated commodity derivatives to hedge commodity price risk associated with CAD-denominated commodity purchases and sales.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open forward exchange contracts as of September 30, 2014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USD</w:t>
            </w:r>
          </w:p>
        </w:tc>
        <w:tc>
          <w:tcPr>
            <w:tcW w:w="180" w:type="dxa"/>
            <w:vAlign w:val="bottom"/>
          </w:tcPr>
          <w:p>
            <w:pPr>
              <w:spacing w:after="0"/>
              <w:rPr>
                <w:sz w:val="14"/>
                <w:szCs w:val="14"/>
                <w:color w:val="auto"/>
              </w:rPr>
            </w:pPr>
          </w:p>
        </w:tc>
        <w:tc>
          <w:tcPr>
            <w:tcW w:w="9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CAD</w:t>
            </w:r>
          </w:p>
        </w:tc>
        <w:tc>
          <w:tcPr>
            <w:tcW w:w="2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Average Exchange Rate USD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to CAD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40" w:type="dxa"/>
            <w:vAlign w:val="bottom"/>
            <w:tcBorders>
              <w:top w:val="single" w:sz="8" w:color="CCEEFF"/>
            </w:tcBorders>
            <w:shd w:val="clear" w:color="auto" w:fill="CCEEFF"/>
          </w:tcPr>
          <w:p>
            <w:pPr>
              <w:jc w:val="right"/>
              <w:ind w:right="2090"/>
              <w:spacing w:after="0" w:line="196" w:lineRule="exact"/>
              <w:rPr>
                <w:sz w:val="20"/>
                <w:szCs w:val="20"/>
                <w:color w:val="auto"/>
              </w:rPr>
            </w:pPr>
            <w:r>
              <w:rPr>
                <w:rFonts w:ascii="Arial" w:cs="Arial" w:eastAsia="Arial" w:hAnsi="Arial"/>
                <w:sz w:val="18"/>
                <w:szCs w:val="18"/>
                <w:b w:val="1"/>
                <w:bCs w:val="1"/>
                <w:color w:val="auto"/>
                <w:w w:val="90"/>
              </w:rPr>
              <w:t>Forward exchange contracts that exchange CAD for USD:</w:t>
            </w: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jc w:val="right"/>
              <w:ind w:right="210"/>
              <w:spacing w:after="0"/>
              <w:rPr>
                <w:sz w:val="20"/>
                <w:szCs w:val="20"/>
                <w:color w:val="auto"/>
              </w:rPr>
            </w:pPr>
            <w:r>
              <w:rPr>
                <w:rFonts w:ascii="Arial" w:cs="Arial" w:eastAsia="Arial" w:hAnsi="Arial"/>
                <w:sz w:val="18"/>
                <w:szCs w:val="18"/>
                <w:color w:val="auto"/>
              </w:rPr>
              <w:t>2014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284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319</w:t>
            </w:r>
          </w:p>
        </w:tc>
        <w:tc>
          <w:tcPr>
            <w:tcW w:w="2300" w:type="dxa"/>
            <w:vAlign w:val="bottom"/>
          </w:tcPr>
          <w:p>
            <w:pPr>
              <w:jc w:val="center"/>
              <w:spacing w:after="0"/>
              <w:rPr>
                <w:sz w:val="20"/>
                <w:szCs w:val="20"/>
                <w:color w:val="auto"/>
              </w:rPr>
            </w:pPr>
            <w:r>
              <w:rPr>
                <w:rFonts w:ascii="Arial" w:cs="Arial" w:eastAsia="Arial" w:hAnsi="Arial"/>
                <w:sz w:val="18"/>
                <w:szCs w:val="18"/>
                <w:color w:val="auto"/>
                <w:w w:val="90"/>
              </w:rPr>
              <w:t>$1.00 - $1.12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2015</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178</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$1.00 - $1.12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4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2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280" w:type="dxa"/>
            <w:vAlign w:val="bottom"/>
            <w:tcBorders>
              <w:bottom w:val="single" w:sz="8" w:color="CCEEFF"/>
            </w:tcBorders>
          </w:tcPr>
          <w:p>
            <w:pPr>
              <w:spacing w:after="0"/>
              <w:rPr>
                <w:sz w:val="21"/>
                <w:szCs w:val="21"/>
                <w:color w:val="auto"/>
              </w:rPr>
            </w:pPr>
          </w:p>
        </w:tc>
        <w:tc>
          <w:tcPr>
            <w:tcW w:w="23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0"/>
              </w:rPr>
              <w:t>$1.00 - $1.12</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tcPr>
          <w:p>
            <w:pPr>
              <w:jc w:val="right"/>
              <w:ind w:right="2090"/>
              <w:spacing w:after="0"/>
              <w:rPr>
                <w:sz w:val="20"/>
                <w:szCs w:val="20"/>
                <w:color w:val="auto"/>
              </w:rPr>
            </w:pPr>
            <w:r>
              <w:rPr>
                <w:rFonts w:ascii="Arial" w:cs="Arial" w:eastAsia="Arial" w:hAnsi="Arial"/>
                <w:sz w:val="18"/>
                <w:szCs w:val="18"/>
                <w:b w:val="1"/>
                <w:bCs w:val="1"/>
                <w:color w:val="auto"/>
                <w:w w:val="90"/>
              </w:rPr>
              <w:t>Forward exchange contracts that exchange USD for CAD:</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2014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313</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$1.00 - $1.10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jc w:val="right"/>
              <w:ind w:right="21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178</w:t>
            </w:r>
          </w:p>
        </w:tc>
        <w:tc>
          <w:tcPr>
            <w:tcW w:w="1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195</w:t>
            </w:r>
          </w:p>
        </w:tc>
        <w:tc>
          <w:tcPr>
            <w:tcW w:w="2300" w:type="dxa"/>
            <w:vAlign w:val="bottom"/>
          </w:tcPr>
          <w:p>
            <w:pPr>
              <w:jc w:val="center"/>
              <w:spacing w:after="0"/>
              <w:rPr>
                <w:sz w:val="20"/>
                <w:szCs w:val="20"/>
                <w:color w:val="auto"/>
              </w:rPr>
            </w:pPr>
            <w:r>
              <w:rPr>
                <w:rFonts w:ascii="Arial" w:cs="Arial" w:eastAsia="Arial" w:hAnsi="Arial"/>
                <w:sz w:val="18"/>
                <w:szCs w:val="18"/>
                <w:color w:val="auto"/>
                <w:w w:val="90"/>
              </w:rPr>
              <w:t>$1.00 - $1.09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30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$1.00 - $1.10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jc w:val="right"/>
              <w:ind w:right="770"/>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66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3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Financial Impact</w:t>
      </w:r>
    </w:p>
    <w:p>
      <w:pPr>
        <w:spacing w:after="0" w:line="225"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We record all open derivatives on the balance sheet as either assets or liabilities measured at fair value. Changes in the fair value of derivatives are recognized currently in earnings unless specific hedge accounting criteria are met. For derivatives that qualify as cash flow hedges, changes in fair value of the effective portion of the hedges are deferred in AOCI and recognized in earnings in the periods during which the underlying physical transactions are recognized in earnings. Derivatives that do not qualify for hedge accounting and the portion of cash flow hedges that are not highly effective in offsetting changes in cash flows of the hedged items are recognized in earnings each period. Cash settlements associated with our derivative activities are reflected as cash flows from operating activities in our condensed consolidated statements of cash flows.</w:t>
      </w:r>
    </w:p>
    <w:p>
      <w:pPr>
        <w:spacing w:after="0" w:line="17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 summary of the impact of our derivative activities recognized in earnings for the three and nine months ended September 30, 2014 and 2013 is as follows (in millions):</w:t>
      </w:r>
    </w:p>
    <w:p>
      <w:pPr>
        <w:sectPr>
          <w:pgSz w:w="11900" w:h="16887" w:orient="portrait"/>
          <w:cols w:equalWidth="0" w:num="1">
            <w:col w:w="11460"/>
          </w:cols>
          <w:pgMar w:left="240" w:top="125" w:right="199" w:bottom="0" w:gutter="0" w:footer="0" w:header="0"/>
        </w:sectPr>
      </w:pPr>
    </w:p>
    <w:p>
      <w:pPr>
        <w:spacing w:after="0" w:line="162" w:lineRule="exact"/>
        <w:rPr>
          <w:sz w:val="20"/>
          <w:szCs w:val="20"/>
          <w:color w:val="auto"/>
        </w:rPr>
      </w:pPr>
    </w:p>
    <w:p>
      <w:pPr>
        <w:ind w:left="3380"/>
        <w:spacing w:after="0"/>
        <w:tabs>
          <w:tab w:leader="none" w:pos="7940" w:val="left"/>
        </w:tabs>
        <w:rPr>
          <w:sz w:val="20"/>
          <w:szCs w:val="20"/>
          <w:color w:val="auto"/>
        </w:rPr>
      </w:pPr>
      <w:r>
        <w:rPr>
          <w:rFonts w:ascii="Arial" w:cs="Arial" w:eastAsia="Arial" w:hAnsi="Arial"/>
          <w:sz w:val="14"/>
          <w:szCs w:val="14"/>
          <w:b w:val="1"/>
          <w:bCs w:val="1"/>
          <w:color w:val="auto"/>
        </w:rPr>
        <w:t>Three Months Ended September 30, 2014</w:t>
      </w:r>
      <w:r>
        <w:rPr>
          <w:sz w:val="20"/>
          <w:szCs w:val="20"/>
          <w:color w:val="auto"/>
        </w:rPr>
        <w:tab/>
      </w:r>
      <w:r>
        <w:rPr>
          <w:rFonts w:ascii="Arial" w:cs="Arial" w:eastAsia="Arial" w:hAnsi="Arial"/>
          <w:sz w:val="13"/>
          <w:szCs w:val="13"/>
          <w:b w:val="1"/>
          <w:bCs w:val="1"/>
          <w:color w:val="auto"/>
        </w:rPr>
        <w:t>Three Months Ended September 30, 2013</w:t>
      </w:r>
    </w:p>
    <w:p>
      <w:pPr>
        <w:spacing w:after="0" w:line="20" w:lineRule="exact"/>
        <w:rPr>
          <w:sz w:val="20"/>
          <w:szCs w:val="20"/>
          <w:color w:val="auto"/>
        </w:rPr>
      </w:pPr>
    </w:p>
    <w:p>
      <w:pPr>
        <w:sectPr>
          <w:pgSz w:w="11900" w:h="16887" w:orient="portrait"/>
          <w:cols w:equalWidth="0" w:num="1">
            <w:col w:w="11460"/>
          </w:cols>
          <w:pgMar w:left="240" w:top="125" w:right="199" w:bottom="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960" w:type="dxa"/>
            <w:vAlign w:val="bottom"/>
            <w:tcBorders>
              <w:top w:val="single" w:sz="8" w:color="auto"/>
            </w:tcBorders>
            <w:gridSpan w:val="5"/>
          </w:tcPr>
          <w:p>
            <w:pPr>
              <w:jc w:val="center"/>
              <w:ind w:right="17"/>
              <w:spacing w:after="0" w:line="126" w:lineRule="exact"/>
              <w:rPr>
                <w:sz w:val="20"/>
                <w:szCs w:val="20"/>
                <w:color w:val="auto"/>
              </w:rPr>
            </w:pPr>
            <w:r>
              <w:rPr>
                <w:rFonts w:ascii="Arial" w:cs="Arial" w:eastAsia="Arial" w:hAnsi="Arial"/>
                <w:sz w:val="14"/>
                <w:szCs w:val="14"/>
                <w:b w:val="1"/>
                <w:bCs w:val="1"/>
                <w:color w:val="auto"/>
                <w:w w:val="94"/>
              </w:rPr>
              <w:t>Derivatives in Hedging</w:t>
            </w:r>
          </w:p>
        </w:tc>
        <w:tc>
          <w:tcPr>
            <w:tcW w:w="2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180" w:type="dxa"/>
            <w:vAlign w:val="bottom"/>
            <w:tcBorders>
              <w:top w:val="single" w:sz="8" w:color="auto"/>
            </w:tcBorders>
            <w:gridSpan w:val="5"/>
          </w:tcPr>
          <w:p>
            <w:pPr>
              <w:jc w:val="center"/>
              <w:ind w:right="320"/>
              <w:spacing w:after="0" w:line="126" w:lineRule="exact"/>
              <w:rPr>
                <w:sz w:val="20"/>
                <w:szCs w:val="20"/>
                <w:color w:val="auto"/>
              </w:rPr>
            </w:pPr>
            <w:r>
              <w:rPr>
                <w:rFonts w:ascii="Arial" w:cs="Arial" w:eastAsia="Arial" w:hAnsi="Arial"/>
                <w:sz w:val="14"/>
                <w:szCs w:val="14"/>
                <w:b w:val="1"/>
                <w:bCs w:val="1"/>
                <w:color w:val="auto"/>
                <w:w w:val="94"/>
              </w:rPr>
              <w:t>Derivatives in Hedging</w:t>
            </w: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jc w:val="center"/>
              <w:ind w:right="17"/>
              <w:spacing w:after="0"/>
              <w:rPr>
                <w:sz w:val="20"/>
                <w:szCs w:val="20"/>
                <w:color w:val="auto"/>
              </w:rPr>
            </w:pPr>
            <w:r>
              <w:rPr>
                <w:rFonts w:ascii="Arial" w:cs="Arial" w:eastAsia="Arial" w:hAnsi="Arial"/>
                <w:sz w:val="14"/>
                <w:szCs w:val="14"/>
                <w:b w:val="1"/>
                <w:bCs w:val="1"/>
                <w:color w:val="auto"/>
                <w:w w:val="89"/>
              </w:rPr>
              <w:t>Relationships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Derivatives</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center"/>
              <w:ind w:right="17"/>
              <w:spacing w:after="0"/>
              <w:rPr>
                <w:sz w:val="20"/>
                <w:szCs w:val="20"/>
                <w:color w:val="auto"/>
              </w:rPr>
            </w:pPr>
            <w:r>
              <w:rPr>
                <w:rFonts w:ascii="Arial" w:cs="Arial" w:eastAsia="Arial" w:hAnsi="Arial"/>
                <w:sz w:val="14"/>
                <w:szCs w:val="14"/>
                <w:b w:val="1"/>
                <w:bCs w:val="1"/>
                <w:color w:val="auto"/>
                <w:w w:val="89"/>
              </w:rPr>
              <w:t>Relationships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Derivatives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Gain/(loss)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8"/>
              </w:rPr>
              <w:t>Gain/(loss)</w:t>
            </w:r>
          </w:p>
        </w:tc>
        <w:tc>
          <w:tcPr>
            <w:tcW w:w="120" w:type="dxa"/>
            <w:vAlign w:val="bottom"/>
          </w:tcPr>
          <w:p>
            <w:pPr>
              <w:spacing w:after="0"/>
              <w:rPr>
                <w:sz w:val="10"/>
                <w:szCs w:val="10"/>
                <w:color w:val="auto"/>
              </w:rPr>
            </w:pPr>
          </w:p>
        </w:tc>
        <w:tc>
          <w:tcPr>
            <w:tcW w:w="10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reclassified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Not</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reclassified</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Not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from</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1"/>
              </w:rPr>
              <w:t>gain/(loss)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Designated</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from</w:t>
            </w:r>
          </w:p>
        </w:tc>
        <w:tc>
          <w:tcPr>
            <w:tcW w:w="12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gain/(loss)</w:t>
            </w:r>
          </w:p>
        </w:tc>
        <w:tc>
          <w:tcPr>
            <w:tcW w:w="10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Designated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Location of gain/(loss)</w:t>
            </w: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AOCI into</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9"/>
              </w:rPr>
              <w:t>recognized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0"/>
              </w:rPr>
              <w:t>as a</w:t>
            </w:r>
          </w:p>
        </w:tc>
        <w:tc>
          <w:tcPr>
            <w:tcW w:w="160" w:type="dxa"/>
            <w:vAlign w:val="bottom"/>
          </w:tcPr>
          <w:p>
            <w:pPr>
              <w:spacing w:after="0"/>
              <w:rPr>
                <w:sz w:val="12"/>
                <w:szCs w:val="12"/>
                <w:color w:val="auto"/>
              </w:rPr>
            </w:pPr>
          </w:p>
        </w:tc>
        <w:tc>
          <w:tcPr>
            <w:tcW w:w="8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9"/>
              </w:rPr>
              <w:t>AOCI into</w:t>
            </w:r>
          </w:p>
        </w:tc>
        <w:tc>
          <w:tcPr>
            <w:tcW w:w="12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0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as a</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4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 xml:space="preserve">income </w:t>
            </w:r>
            <w:r>
              <w:rPr>
                <w:rFonts w:ascii="Arial" w:cs="Arial" w:eastAsia="Arial" w:hAnsi="Arial"/>
                <w:sz w:val="8"/>
                <w:szCs w:val="8"/>
                <w:b w:val="1"/>
                <w:bCs w:val="1"/>
                <w:color w:val="auto"/>
                <w:w w:val="92"/>
              </w:rPr>
              <w:t>(1)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37"/>
              <w:spacing w:after="0"/>
              <w:rPr>
                <w:sz w:val="20"/>
                <w:szCs w:val="20"/>
                <w:color w:val="auto"/>
              </w:rPr>
            </w:pPr>
            <w:r>
              <w:rPr>
                <w:rFonts w:ascii="Arial" w:cs="Arial" w:eastAsia="Arial" w:hAnsi="Arial"/>
                <w:sz w:val="14"/>
                <w:szCs w:val="14"/>
                <w:b w:val="1"/>
                <w:bCs w:val="1"/>
                <w:color w:val="auto"/>
                <w:w w:val="91"/>
              </w:rPr>
              <w:t>in income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Hedge</w:t>
            </w: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 xml:space="preserve">income </w:t>
            </w:r>
            <w:r>
              <w:rPr>
                <w:rFonts w:ascii="Arial" w:cs="Arial" w:eastAsia="Arial" w:hAnsi="Arial"/>
                <w:sz w:val="8"/>
                <w:szCs w:val="8"/>
                <w:b w:val="1"/>
                <w:bCs w:val="1"/>
                <w:color w:val="auto"/>
                <w:w w:val="92"/>
              </w:rPr>
              <w:t>(1)</w:t>
            </w:r>
          </w:p>
        </w:tc>
        <w:tc>
          <w:tcPr>
            <w:tcW w:w="12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 income</w:t>
            </w:r>
          </w:p>
        </w:tc>
        <w:tc>
          <w:tcPr>
            <w:tcW w:w="10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Hedge</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Commodity Derivatives</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rPr>
              <w:t>Supply and Logistics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segment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Facilities segment revenues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Field operating costs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Interest Rate Derivatives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w w:val="99"/>
              </w:rPr>
              <w:t>Foreign Currency Derivatives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rPr>
              <w:t>Supply and Logistics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segment revenues</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20"/>
                <w:szCs w:val="20"/>
                <w:color w:val="auto"/>
              </w:rPr>
            </w:pPr>
          </w:p>
        </w:tc>
        <w:tc>
          <w:tcPr>
            <w:tcW w:w="8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 income/(expense),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520" w:type="dxa"/>
            <w:vAlign w:val="bottom"/>
            <w:gridSpan w:val="3"/>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Gain/(Loss) on</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Derivatives Recognized in</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2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3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(36)</w:t>
            </w:r>
          </w:p>
        </w:tc>
        <w:tc>
          <w:tcPr>
            <w:tcW w:w="16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2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106</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(89)</w:t>
            </w:r>
          </w:p>
        </w:tc>
        <w:tc>
          <w:tcPr>
            <w:tcW w:w="2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7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2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Net Income</w:t>
            </w:r>
          </w:p>
        </w:tc>
        <w:tc>
          <w:tcPr>
            <w:tcW w:w="100" w:type="dxa"/>
            <w:vAlign w:val="bottom"/>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200" w:type="dxa"/>
            <w:vAlign w:val="bottom"/>
            <w:gridSpan w:val="2"/>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40" w:type="dxa"/>
            <w:vAlign w:val="bottom"/>
            <w:tcBorders>
              <w:right w:val="single" w:sz="8" w:color="auto"/>
            </w:tcBorders>
            <w:gridSpan w:val="2"/>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200" w:type="dxa"/>
            <w:vAlign w:val="bottom"/>
            <w:gridSpan w:val="2"/>
            <w:vMerge w:val="continue"/>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1260" w:type="dxa"/>
            <w:vAlign w:val="bottom"/>
            <w:tcBorders>
              <w:bottom w:val="single" w:sz="8" w:color="010101"/>
            </w:tcBorders>
            <w:gridSpan w:val="2"/>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540" w:type="dxa"/>
            <w:vAlign w:val="bottom"/>
            <w:gridSpan w:val="4"/>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9"/>
          </w:tcPr>
          <w:p>
            <w:pPr>
              <w:jc w:val="right"/>
              <w:ind w:right="80"/>
              <w:spacing w:after="0"/>
              <w:rPr>
                <w:sz w:val="20"/>
                <w:szCs w:val="20"/>
                <w:color w:val="auto"/>
              </w:rPr>
            </w:pPr>
            <w:r>
              <w:rPr>
                <w:rFonts w:ascii="Arial" w:cs="Arial" w:eastAsia="Arial" w:hAnsi="Arial"/>
                <w:sz w:val="14"/>
                <w:szCs w:val="14"/>
                <w:b w:val="1"/>
                <w:bCs w:val="1"/>
                <w:color w:val="auto"/>
              </w:rPr>
              <w:t>Nine Months Ended September 30, 2014</w:t>
            </w: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4"/>
                <w:szCs w:val="14"/>
                <w:b w:val="1"/>
                <w:bCs w:val="1"/>
                <w:color w:val="auto"/>
              </w:rPr>
              <w:t>Nine Months Ended September 30, 2013</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60" w:type="dxa"/>
            <w:vAlign w:val="bottom"/>
            <w:gridSpan w:val="5"/>
          </w:tcPr>
          <w:p>
            <w:pPr>
              <w:jc w:val="center"/>
              <w:ind w:right="17"/>
              <w:spacing w:after="0" w:line="119" w:lineRule="exact"/>
              <w:rPr>
                <w:sz w:val="20"/>
                <w:szCs w:val="20"/>
                <w:color w:val="auto"/>
              </w:rPr>
            </w:pPr>
            <w:r>
              <w:rPr>
                <w:rFonts w:ascii="Arial" w:cs="Arial" w:eastAsia="Arial" w:hAnsi="Arial"/>
                <w:sz w:val="13"/>
                <w:szCs w:val="13"/>
                <w:b w:val="1"/>
                <w:bCs w:val="1"/>
                <w:color w:val="auto"/>
              </w:rPr>
              <w:t>Derivatives in Hedging</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80" w:type="dxa"/>
            <w:vAlign w:val="bottom"/>
            <w:gridSpan w:val="5"/>
          </w:tcPr>
          <w:p>
            <w:pPr>
              <w:jc w:val="center"/>
              <w:ind w:right="320"/>
              <w:spacing w:after="0" w:line="119" w:lineRule="exact"/>
              <w:rPr>
                <w:sz w:val="20"/>
                <w:szCs w:val="20"/>
                <w:color w:val="auto"/>
              </w:rPr>
            </w:pPr>
            <w:r>
              <w:rPr>
                <w:rFonts w:ascii="Arial" w:cs="Arial" w:eastAsia="Arial" w:hAnsi="Arial"/>
                <w:sz w:val="13"/>
                <w:szCs w:val="13"/>
                <w:b w:val="1"/>
                <w:bCs w:val="1"/>
                <w:color w:val="auto"/>
              </w:rPr>
              <w:t>Derivatives in Hedging</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jc w:val="center"/>
              <w:ind w:right="17"/>
              <w:spacing w:after="0"/>
              <w:rPr>
                <w:sz w:val="20"/>
                <w:szCs w:val="20"/>
                <w:color w:val="auto"/>
              </w:rPr>
            </w:pPr>
            <w:r>
              <w:rPr>
                <w:rFonts w:ascii="Arial" w:cs="Arial" w:eastAsia="Arial" w:hAnsi="Arial"/>
                <w:sz w:val="14"/>
                <w:szCs w:val="14"/>
                <w:b w:val="1"/>
                <w:bCs w:val="1"/>
                <w:color w:val="auto"/>
                <w:w w:val="89"/>
              </w:rPr>
              <w:t>Relationships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Derivatives</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center"/>
              <w:ind w:right="17"/>
              <w:spacing w:after="0"/>
              <w:rPr>
                <w:sz w:val="20"/>
                <w:szCs w:val="20"/>
                <w:color w:val="auto"/>
              </w:rPr>
            </w:pPr>
            <w:r>
              <w:rPr>
                <w:rFonts w:ascii="Arial" w:cs="Arial" w:eastAsia="Arial" w:hAnsi="Arial"/>
                <w:sz w:val="14"/>
                <w:szCs w:val="14"/>
                <w:b w:val="1"/>
                <w:bCs w:val="1"/>
                <w:color w:val="auto"/>
                <w:w w:val="89"/>
              </w:rPr>
              <w:t>Relationships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Derivatives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Gain/(loss)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8"/>
              </w:rPr>
              <w:t>Gain/(loss)</w:t>
            </w:r>
          </w:p>
        </w:tc>
        <w:tc>
          <w:tcPr>
            <w:tcW w:w="120" w:type="dxa"/>
            <w:vAlign w:val="bottom"/>
          </w:tcPr>
          <w:p>
            <w:pPr>
              <w:spacing w:after="0"/>
              <w:rPr>
                <w:sz w:val="10"/>
                <w:szCs w:val="10"/>
                <w:color w:val="auto"/>
              </w:rPr>
            </w:pPr>
          </w:p>
        </w:tc>
        <w:tc>
          <w:tcPr>
            <w:tcW w:w="10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reclassified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Not</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reclassified</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Not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from</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1"/>
              </w:rPr>
              <w:t>gain/(loss)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Designated</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from</w:t>
            </w:r>
          </w:p>
        </w:tc>
        <w:tc>
          <w:tcPr>
            <w:tcW w:w="12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gain/(loss)</w:t>
            </w:r>
          </w:p>
        </w:tc>
        <w:tc>
          <w:tcPr>
            <w:tcW w:w="10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Designated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Location of gain/(loss)</w:t>
            </w: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AOCI into</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9"/>
              </w:rPr>
              <w:t>recognized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0"/>
              </w:rPr>
              <w:t>as a</w:t>
            </w:r>
          </w:p>
        </w:tc>
        <w:tc>
          <w:tcPr>
            <w:tcW w:w="160" w:type="dxa"/>
            <w:vAlign w:val="bottom"/>
          </w:tcPr>
          <w:p>
            <w:pPr>
              <w:spacing w:after="0"/>
              <w:rPr>
                <w:sz w:val="12"/>
                <w:szCs w:val="12"/>
                <w:color w:val="auto"/>
              </w:rPr>
            </w:pPr>
          </w:p>
        </w:tc>
        <w:tc>
          <w:tcPr>
            <w:tcW w:w="8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9"/>
              </w:rPr>
              <w:t>AOCI into</w:t>
            </w:r>
          </w:p>
        </w:tc>
        <w:tc>
          <w:tcPr>
            <w:tcW w:w="12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0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as a</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4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 xml:space="preserve">income </w:t>
            </w:r>
            <w:r>
              <w:rPr>
                <w:rFonts w:ascii="Arial" w:cs="Arial" w:eastAsia="Arial" w:hAnsi="Arial"/>
                <w:sz w:val="8"/>
                <w:szCs w:val="8"/>
                <w:b w:val="1"/>
                <w:bCs w:val="1"/>
                <w:color w:val="auto"/>
                <w:w w:val="92"/>
              </w:rPr>
              <w:t>(1)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37"/>
              <w:spacing w:after="0"/>
              <w:rPr>
                <w:sz w:val="20"/>
                <w:szCs w:val="20"/>
                <w:color w:val="auto"/>
              </w:rPr>
            </w:pPr>
            <w:r>
              <w:rPr>
                <w:rFonts w:ascii="Arial" w:cs="Arial" w:eastAsia="Arial" w:hAnsi="Arial"/>
                <w:sz w:val="14"/>
                <w:szCs w:val="14"/>
                <w:b w:val="1"/>
                <w:bCs w:val="1"/>
                <w:color w:val="auto"/>
                <w:w w:val="91"/>
              </w:rPr>
              <w:t>in income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Hedge</w:t>
            </w: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 xml:space="preserve">income </w:t>
            </w:r>
            <w:r>
              <w:rPr>
                <w:rFonts w:ascii="Arial" w:cs="Arial" w:eastAsia="Arial" w:hAnsi="Arial"/>
                <w:sz w:val="8"/>
                <w:szCs w:val="8"/>
                <w:b w:val="1"/>
                <w:bCs w:val="1"/>
                <w:color w:val="auto"/>
                <w:w w:val="92"/>
              </w:rPr>
              <w:t>(1)</w:t>
            </w:r>
          </w:p>
        </w:tc>
        <w:tc>
          <w:tcPr>
            <w:tcW w:w="12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 income</w:t>
            </w:r>
          </w:p>
        </w:tc>
        <w:tc>
          <w:tcPr>
            <w:tcW w:w="10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Hedge</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Commodity Derivatives</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rPr>
              <w:t>Supply and Logistics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segment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right w:val="single" w:sz="8" w:color="auto"/>
            </w:tcBorders>
            <w:gridSpan w:val="2"/>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Facilities segment revenues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right w:val="single" w:sz="8" w:color="auto"/>
            </w:tcBorders>
            <w:gridSpan w:val="2"/>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Field operating costs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Interest Rate Derivatives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right w:val="single" w:sz="8" w:color="auto"/>
            </w:tcBorders>
            <w:gridSpan w:val="2"/>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w w:val="99"/>
              </w:rPr>
              <w:t>Foreign Currency Derivatives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rPr>
              <w:t>Supply and Logistics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segment revenues</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20"/>
                <w:szCs w:val="20"/>
                <w:color w:val="auto"/>
              </w:rPr>
            </w:pPr>
          </w:p>
        </w:tc>
        <w:tc>
          <w:tcPr>
            <w:tcW w:w="8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right w:val="single" w:sz="8" w:color="auto"/>
            </w:tcBorders>
            <w:gridSpan w:val="2"/>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 income/(expense),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520" w:type="dxa"/>
            <w:vAlign w:val="bottom"/>
            <w:gridSpan w:val="3"/>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Gain/(Loss) on</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Derivatives Recognized in</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2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3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(37)</w:t>
            </w:r>
          </w:p>
        </w:tc>
        <w:tc>
          <w:tcPr>
            <w:tcW w:w="16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(53)</w:t>
            </w:r>
          </w:p>
        </w:tc>
        <w:tc>
          <w:tcPr>
            <w:tcW w:w="2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124</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2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7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2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Net Income</w:t>
            </w:r>
          </w:p>
        </w:tc>
        <w:tc>
          <w:tcPr>
            <w:tcW w:w="100" w:type="dxa"/>
            <w:vAlign w:val="bottom"/>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200" w:type="dxa"/>
            <w:vAlign w:val="bottom"/>
            <w:gridSpan w:val="2"/>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40" w:type="dxa"/>
            <w:vAlign w:val="bottom"/>
            <w:tcBorders>
              <w:right w:val="single" w:sz="8" w:color="auto"/>
            </w:tcBorders>
            <w:gridSpan w:val="2"/>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200" w:type="dxa"/>
            <w:vAlign w:val="bottom"/>
            <w:gridSpan w:val="2"/>
            <w:vMerge w:val="continue"/>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-4486275</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-4486275</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40" w:hanging="652"/>
        <w:spacing w:after="0"/>
        <w:tabs>
          <w:tab w:leader="none" w:pos="648"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During the three and nine months ended September 30, 2014, all of our hedged transactions were probable of occurring. During the three months ended September 30, 2013 we reclassified losses of $2 million from AOCI to Facilities segment revenues as a result of anticipated hedged transactions that were probable of not occurring. During the nine months ended September 30, 2013, we reclassified gains of $3 million and losses of $1 million from AOCI to Supply and Logistics segment revenues and Facilities segment revenues, respectively, as a result of anticipated hedged transactions that were probable of not occurring.</w:t>
      </w: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60"/>
          </w:cols>
          <w:pgMar w:left="240" w:top="120" w:right="199" w:bottom="0" w:gutter="0" w:footer="0" w:header="0"/>
        </w:sectPr>
      </w:pPr>
    </w:p>
    <w:bookmarkStart w:id="14" w:name="page15"/>
    <w:bookmarkEnd w:id="14"/>
    <w:p>
      <w:pPr>
        <w:spacing w:after="0" w:line="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derivative assets and liabilities on our condensed consolidated balance sheet on a gross basis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2014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w w:val="90"/>
              </w:rPr>
              <w:t>Asset Derivatives</w:t>
            </w: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80" w:type="dxa"/>
            <w:vAlign w:val="bottom"/>
            <w:tcBorders>
              <w:bottom w:val="single" w:sz="8" w:color="auto"/>
            </w:tcBorders>
            <w:gridSpan w:val="2"/>
          </w:tcPr>
          <w:p>
            <w:pPr>
              <w:ind w:left="1220"/>
              <w:spacing w:after="0"/>
              <w:rPr>
                <w:sz w:val="20"/>
                <w:szCs w:val="20"/>
                <w:color w:val="auto"/>
              </w:rPr>
            </w:pPr>
            <w:r>
              <w:rPr>
                <w:rFonts w:ascii="Arial" w:cs="Arial" w:eastAsia="Arial" w:hAnsi="Arial"/>
                <w:sz w:val="14"/>
                <w:szCs w:val="14"/>
                <w:b w:val="1"/>
                <w:bCs w:val="1"/>
                <w:color w:val="auto"/>
              </w:rPr>
              <w:t>Liability Derivatives</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28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80" w:type="dxa"/>
            <w:vAlign w:val="bottom"/>
            <w:gridSpan w:val="2"/>
          </w:tcPr>
          <w:p>
            <w:pPr>
              <w:ind w:left="780"/>
              <w:spacing w:after="0" w:line="119" w:lineRule="exact"/>
              <w:rPr>
                <w:sz w:val="20"/>
                <w:szCs w:val="20"/>
                <w:color w:val="auto"/>
              </w:rPr>
            </w:pPr>
            <w:r>
              <w:rPr>
                <w:rFonts w:ascii="Arial" w:cs="Arial" w:eastAsia="Arial" w:hAnsi="Arial"/>
                <w:sz w:val="13"/>
                <w:szCs w:val="13"/>
                <w:b w:val="1"/>
                <w:bCs w:val="1"/>
                <w:color w:val="auto"/>
              </w:rPr>
              <w:t>Balance Sheet</w:t>
            </w:r>
          </w:p>
        </w:tc>
        <w:tc>
          <w:tcPr>
            <w:tcW w:w="140" w:type="dxa"/>
            <w:vAlign w:val="bottom"/>
          </w:tcPr>
          <w:p>
            <w:pPr>
              <w:spacing w:after="0"/>
              <w:rPr>
                <w:sz w:val="10"/>
                <w:szCs w:val="10"/>
                <w:color w:val="auto"/>
              </w:rPr>
            </w:pPr>
          </w:p>
        </w:tc>
        <w:tc>
          <w:tcPr>
            <w:tcW w:w="9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2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80" w:type="dxa"/>
            <w:vAlign w:val="bottom"/>
            <w:gridSpan w:val="2"/>
          </w:tcPr>
          <w:p>
            <w:pPr>
              <w:ind w:left="920"/>
              <w:spacing w:after="0"/>
              <w:rPr>
                <w:sz w:val="20"/>
                <w:szCs w:val="20"/>
                <w:color w:val="auto"/>
              </w:rPr>
            </w:pPr>
            <w:r>
              <w:rPr>
                <w:rFonts w:ascii="Arial" w:cs="Arial" w:eastAsia="Arial" w:hAnsi="Arial"/>
                <w:sz w:val="14"/>
                <w:szCs w:val="14"/>
                <w:b w:val="1"/>
                <w:bCs w:val="1"/>
                <w:color w:val="auto"/>
              </w:rPr>
              <w:t>Location</w:t>
            </w: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44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Derivatives designated as hedging</w:t>
            </w:r>
          </w:p>
        </w:tc>
        <w:tc>
          <w:tcPr>
            <w:tcW w:w="160" w:type="dxa"/>
            <w:vAlign w:val="bottom"/>
            <w:tcBorders>
              <w:top w:val="single" w:sz="8" w:color="CCEEFF"/>
            </w:tcBorders>
            <w:shd w:val="clear" w:color="auto" w:fill="CCEEFF"/>
          </w:tcPr>
          <w:p>
            <w:pPr>
              <w:spacing w:after="0"/>
              <w:rPr>
                <w:sz w:val="15"/>
                <w:szCs w:val="15"/>
                <w:color w:val="auto"/>
              </w:rPr>
            </w:pPr>
          </w:p>
        </w:tc>
        <w:tc>
          <w:tcPr>
            <w:tcW w:w="24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right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instruments:</w:t>
            </w:r>
          </w:p>
        </w:tc>
        <w:tc>
          <w:tcPr>
            <w:tcW w:w="16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Commodity derivatives</w:t>
            </w:r>
          </w:p>
        </w:tc>
        <w:tc>
          <w:tcPr>
            <w:tcW w:w="2580" w:type="dxa"/>
            <w:vAlign w:val="bottom"/>
            <w:gridSpan w:val="2"/>
          </w:tcPr>
          <w:p>
            <w:pPr>
              <w:ind w:left="160"/>
              <w:spacing w:after="0"/>
              <w:rPr>
                <w:sz w:val="20"/>
                <w:szCs w:val="20"/>
                <w:color w:val="auto"/>
              </w:rPr>
            </w:pPr>
            <w:r>
              <w:rPr>
                <w:rFonts w:ascii="Arial" w:cs="Arial" w:eastAsia="Arial" w:hAnsi="Arial"/>
                <w:sz w:val="18"/>
                <w:szCs w:val="18"/>
                <w:color w:val="auto"/>
              </w:rPr>
              <w:t>Other current assets</w:t>
            </w:r>
          </w:p>
        </w:tc>
        <w:tc>
          <w:tcPr>
            <w:tcW w:w="1120" w:type="dxa"/>
            <w:vAlign w:val="bottom"/>
            <w:gridSpan w:val="2"/>
          </w:tcPr>
          <w:p>
            <w:pPr>
              <w:jc w:val="right"/>
              <w:ind w:right="656"/>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long-term assets</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Interest rate derivatives</w:t>
            </w: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vMerge w:val="restart"/>
            <w:shd w:val="clear" w:color="auto" w:fill="CCEEFF"/>
          </w:tcPr>
          <w:p>
            <w:pPr>
              <w:ind w:left="160"/>
              <w:spacing w:after="0" w:line="201" w:lineRule="exact"/>
              <w:rPr>
                <w:sz w:val="20"/>
                <w:szCs w:val="20"/>
                <w:color w:val="auto"/>
              </w:rPr>
            </w:pPr>
            <w:r>
              <w:rPr>
                <w:rFonts w:ascii="Arial" w:cs="Arial" w:eastAsia="Arial" w:hAnsi="Arial"/>
                <w:sz w:val="18"/>
                <w:szCs w:val="18"/>
                <w:color w:val="auto"/>
              </w:rPr>
              <w:t>Total derivatives designated as hedging</w:t>
            </w:r>
          </w:p>
        </w:tc>
        <w:tc>
          <w:tcPr>
            <w:tcW w:w="16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44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spacing w:after="0"/>
              <w:rPr>
                <w:sz w:val="15"/>
                <w:szCs w:val="15"/>
                <w:color w:val="auto"/>
              </w:rPr>
            </w:pPr>
          </w:p>
        </w:tc>
        <w:tc>
          <w:tcPr>
            <w:tcW w:w="840" w:type="dxa"/>
            <w:vAlign w:val="bottom"/>
            <w:vMerge w:val="restart"/>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11</w:t>
            </w:r>
          </w:p>
        </w:tc>
        <w:tc>
          <w:tcPr>
            <w:tcW w:w="140" w:type="dxa"/>
            <w:vAlign w:val="bottom"/>
            <w:tcBorders>
              <w:right w:val="single" w:sz="8" w:color="auto"/>
            </w:tcBorders>
            <w:vMerge w:val="restart"/>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instruments</w:t>
            </w:r>
          </w:p>
        </w:tc>
        <w:tc>
          <w:tcPr>
            <w:tcW w:w="16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40" w:type="dxa"/>
            <w:vAlign w:val="bottom"/>
            <w:tcBorders>
              <w:right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4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Derivatives not designated as hedging</w:t>
            </w:r>
          </w:p>
        </w:tc>
        <w:tc>
          <w:tcPr>
            <w:tcW w:w="16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instruments:</w:t>
            </w:r>
          </w:p>
        </w:tc>
        <w:tc>
          <w:tcPr>
            <w:tcW w:w="16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Commodity derivatives</w:t>
            </w:r>
          </w:p>
        </w:tc>
        <w:tc>
          <w:tcPr>
            <w:tcW w:w="2580" w:type="dxa"/>
            <w:vAlign w:val="bottom"/>
            <w:gridSpan w:val="2"/>
          </w:tcPr>
          <w:p>
            <w:pPr>
              <w:ind w:left="160"/>
              <w:spacing w:after="0"/>
              <w:rPr>
                <w:sz w:val="20"/>
                <w:szCs w:val="20"/>
                <w:color w:val="auto"/>
              </w:rPr>
            </w:pPr>
            <w:r>
              <w:rPr>
                <w:rFonts w:ascii="Arial" w:cs="Arial" w:eastAsia="Arial" w:hAnsi="Arial"/>
                <w:sz w:val="18"/>
                <w:szCs w:val="18"/>
                <w:color w:val="auto"/>
              </w:rPr>
              <w:t>Other current assets</w:t>
            </w:r>
          </w:p>
        </w:tc>
        <w:tc>
          <w:tcPr>
            <w:tcW w:w="1120" w:type="dxa"/>
            <w:vAlign w:val="bottom"/>
            <w:gridSpan w:val="2"/>
          </w:tcPr>
          <w:p>
            <w:pPr>
              <w:jc w:val="right"/>
              <w:ind w:right="656"/>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65</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long-term assets</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580" w:type="dxa"/>
            <w:vAlign w:val="bottom"/>
            <w:gridSpan w:val="2"/>
          </w:tcPr>
          <w:p>
            <w:pPr>
              <w:ind w:left="16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derivatives</w:t>
            </w:r>
          </w:p>
        </w:tc>
        <w:tc>
          <w:tcPr>
            <w:tcW w:w="16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vMerge w:val="restart"/>
          </w:tcPr>
          <w:p>
            <w:pPr>
              <w:ind w:left="160"/>
              <w:spacing w:after="0" w:line="201" w:lineRule="exact"/>
              <w:rPr>
                <w:sz w:val="20"/>
                <w:szCs w:val="20"/>
                <w:color w:val="auto"/>
              </w:rPr>
            </w:pPr>
            <w:r>
              <w:rPr>
                <w:rFonts w:ascii="Arial" w:cs="Arial" w:eastAsia="Arial" w:hAnsi="Arial"/>
                <w:sz w:val="18"/>
                <w:szCs w:val="18"/>
                <w:color w:val="auto"/>
                <w:w w:val="93"/>
              </w:rPr>
              <w:t>Total derivatives not designated as hedging</w:t>
            </w:r>
          </w:p>
        </w:tc>
        <w:tc>
          <w:tcPr>
            <w:tcW w:w="1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4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80" w:type="dxa"/>
            <w:vAlign w:val="bottom"/>
            <w:vMerge w:val="restart"/>
          </w:tcPr>
          <w:p>
            <w:pPr>
              <w:spacing w:after="0"/>
              <w:rPr>
                <w:sz w:val="15"/>
                <w:szCs w:val="15"/>
                <w:color w:val="auto"/>
              </w:rPr>
            </w:pPr>
          </w:p>
        </w:tc>
        <w:tc>
          <w:tcPr>
            <w:tcW w:w="840" w:type="dxa"/>
            <w:vAlign w:val="bottom"/>
            <w:vMerge w:val="restart"/>
          </w:tcPr>
          <w:p>
            <w:pPr>
              <w:jc w:val="right"/>
              <w:ind w:right="656"/>
              <w:spacing w:after="0"/>
              <w:rPr>
                <w:sz w:val="20"/>
                <w:szCs w:val="20"/>
                <w:color w:val="auto"/>
              </w:rPr>
            </w:pPr>
            <w:r>
              <w:rPr>
                <w:rFonts w:ascii="Arial" w:cs="Arial" w:eastAsia="Arial" w:hAnsi="Arial"/>
                <w:sz w:val="18"/>
                <w:szCs w:val="18"/>
                <w:color w:val="auto"/>
                <w:w w:val="79"/>
              </w:rPr>
              <w:t>$</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89"/>
              </w:rPr>
              <w:t>72</w:t>
            </w:r>
          </w:p>
        </w:tc>
        <w:tc>
          <w:tcPr>
            <w:tcW w:w="1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440" w:type="dxa"/>
            <w:vAlign w:val="bottom"/>
          </w:tcPr>
          <w:p>
            <w:pPr>
              <w:ind w:left="340"/>
              <w:spacing w:after="0"/>
              <w:rPr>
                <w:sz w:val="20"/>
                <w:szCs w:val="20"/>
                <w:color w:val="auto"/>
              </w:rPr>
            </w:pPr>
            <w:r>
              <w:rPr>
                <w:rFonts w:ascii="Arial" w:cs="Arial" w:eastAsia="Arial" w:hAnsi="Arial"/>
                <w:sz w:val="18"/>
                <w:szCs w:val="18"/>
                <w:color w:val="auto"/>
              </w:rPr>
              <w:t>instruments</w:t>
            </w:r>
          </w:p>
        </w:tc>
        <w:tc>
          <w:tcPr>
            <w:tcW w:w="16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280" w:type="dxa"/>
            <w:vAlign w:val="bottom"/>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200" w:type="dxa"/>
            <w:vAlign w:val="bottom"/>
            <w:vMerge w:val="continue"/>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vMerge w:val="continue"/>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right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rPr>
              <w:t>Total derivatives</w:t>
            </w:r>
          </w:p>
        </w:tc>
        <w:tc>
          <w:tcPr>
            <w:tcW w:w="1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120" w:type="dxa"/>
            <w:vAlign w:val="bottom"/>
            <w:gridSpan w:val="2"/>
          </w:tcPr>
          <w:p>
            <w:pPr>
              <w:jc w:val="right"/>
              <w:ind w:right="656"/>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83</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summarizes the derivative assets and liabilities on our condensed consolidated balance sheet on a gross basis as of December 31, 2013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w w:val="90"/>
              </w:rPr>
              <w:t>Asset Derivatives</w:t>
            </w: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tcBorders>
              <w:bottom w:val="single" w:sz="8" w:color="auto"/>
            </w:tcBorders>
            <w:gridSpan w:val="2"/>
          </w:tcPr>
          <w:p>
            <w:pPr>
              <w:ind w:left="1220"/>
              <w:spacing w:after="0"/>
              <w:rPr>
                <w:sz w:val="20"/>
                <w:szCs w:val="20"/>
                <w:color w:val="auto"/>
              </w:rPr>
            </w:pPr>
            <w:r>
              <w:rPr>
                <w:rFonts w:ascii="Arial" w:cs="Arial" w:eastAsia="Arial" w:hAnsi="Arial"/>
                <w:sz w:val="14"/>
                <w:szCs w:val="14"/>
                <w:b w:val="1"/>
                <w:bCs w:val="1"/>
                <w:color w:val="auto"/>
              </w:rPr>
              <w:t>Liability Derivatives</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0"/>
                <w:szCs w:val="10"/>
                <w:color w:val="auto"/>
              </w:rPr>
            </w:pPr>
          </w:p>
        </w:tc>
        <w:tc>
          <w:tcPr>
            <w:tcW w:w="2580" w:type="dxa"/>
            <w:vAlign w:val="bottom"/>
            <w:gridSpan w:val="2"/>
          </w:tcPr>
          <w:p>
            <w:pPr>
              <w:ind w:left="780"/>
              <w:spacing w:after="0" w:line="119" w:lineRule="exact"/>
              <w:rPr>
                <w:sz w:val="20"/>
                <w:szCs w:val="20"/>
                <w:color w:val="auto"/>
              </w:rPr>
            </w:pPr>
            <w:r>
              <w:rPr>
                <w:rFonts w:ascii="Arial" w:cs="Arial" w:eastAsia="Arial" w:hAnsi="Arial"/>
                <w:sz w:val="13"/>
                <w:szCs w:val="13"/>
                <w:b w:val="1"/>
                <w:bCs w:val="1"/>
                <w:color w:val="auto"/>
              </w:rPr>
              <w:t>Balance Sheet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2"/>
          </w:tcPr>
          <w:p>
            <w:pPr>
              <w:ind w:left="920"/>
              <w:spacing w:after="0"/>
              <w:rPr>
                <w:sz w:val="20"/>
                <w:szCs w:val="20"/>
                <w:color w:val="auto"/>
              </w:rPr>
            </w:pPr>
            <w:r>
              <w:rPr>
                <w:rFonts w:ascii="Arial" w:cs="Arial" w:eastAsia="Arial" w:hAnsi="Arial"/>
                <w:sz w:val="14"/>
                <w:szCs w:val="14"/>
                <w:b w:val="1"/>
                <w:bCs w:val="1"/>
                <w:color w:val="auto"/>
              </w:rPr>
              <w:t>Location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44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Derivatives designated as hedging</w:t>
            </w:r>
          </w:p>
        </w:tc>
        <w:tc>
          <w:tcPr>
            <w:tcW w:w="160" w:type="dxa"/>
            <w:vAlign w:val="bottom"/>
            <w:tcBorders>
              <w:top w:val="single" w:sz="8" w:color="CCEEFF"/>
            </w:tcBorders>
            <w:shd w:val="clear" w:color="auto" w:fill="CCEEFF"/>
          </w:tcPr>
          <w:p>
            <w:pPr>
              <w:spacing w:after="0"/>
              <w:rPr>
                <w:sz w:val="15"/>
                <w:szCs w:val="15"/>
                <w:color w:val="auto"/>
              </w:rPr>
            </w:pPr>
          </w:p>
        </w:tc>
        <w:tc>
          <w:tcPr>
            <w:tcW w:w="24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right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instruments:</w:t>
            </w:r>
          </w:p>
        </w:tc>
        <w:tc>
          <w:tcPr>
            <w:tcW w:w="16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Commodity derivatives</w:t>
            </w:r>
          </w:p>
        </w:tc>
        <w:tc>
          <w:tcPr>
            <w:tcW w:w="2580" w:type="dxa"/>
            <w:vAlign w:val="bottom"/>
            <w:gridSpan w:val="2"/>
          </w:tcPr>
          <w:p>
            <w:pPr>
              <w:ind w:left="160"/>
              <w:spacing w:after="0"/>
              <w:rPr>
                <w:sz w:val="20"/>
                <w:szCs w:val="20"/>
                <w:color w:val="auto"/>
              </w:rPr>
            </w:pPr>
            <w:r>
              <w:rPr>
                <w:rFonts w:ascii="Arial" w:cs="Arial" w:eastAsia="Arial" w:hAnsi="Arial"/>
                <w:sz w:val="18"/>
                <w:szCs w:val="18"/>
                <w:color w:val="auto"/>
              </w:rPr>
              <w:t>Other current assets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long-term assets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rate derivatives</w:t>
            </w:r>
          </w:p>
        </w:tc>
        <w:tc>
          <w:tcPr>
            <w:tcW w:w="258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Other long-term assets</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bottom w:val="single" w:sz="8" w:color="CCEEFF"/>
              <w:right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440" w:type="dxa"/>
            <w:vAlign w:val="bottom"/>
            <w:shd w:val="clear" w:color="auto" w:fill="CCEEFF"/>
          </w:tcPr>
          <w:p>
            <w:pPr>
              <w:ind w:left="160"/>
              <w:spacing w:after="0" w:line="182" w:lineRule="exact"/>
              <w:rPr>
                <w:sz w:val="20"/>
                <w:szCs w:val="20"/>
                <w:color w:val="auto"/>
              </w:rPr>
            </w:pPr>
            <w:r>
              <w:rPr>
                <w:rFonts w:ascii="Arial" w:cs="Arial" w:eastAsia="Arial" w:hAnsi="Arial"/>
                <w:sz w:val="18"/>
                <w:szCs w:val="18"/>
                <w:color w:val="auto"/>
              </w:rPr>
              <w:t>Total derivatives designated as hedging</w:t>
            </w:r>
          </w:p>
        </w:tc>
        <w:tc>
          <w:tcPr>
            <w:tcW w:w="16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4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4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instruments</w:t>
            </w:r>
          </w:p>
        </w:tc>
        <w:tc>
          <w:tcPr>
            <w:tcW w:w="16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4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Derivatives not designated as hedging</w:t>
            </w:r>
          </w:p>
        </w:tc>
        <w:tc>
          <w:tcPr>
            <w:tcW w:w="16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instruments:</w:t>
            </w:r>
          </w:p>
        </w:tc>
        <w:tc>
          <w:tcPr>
            <w:tcW w:w="16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Commodity derivatives</w:t>
            </w:r>
          </w:p>
        </w:tc>
        <w:tc>
          <w:tcPr>
            <w:tcW w:w="2580" w:type="dxa"/>
            <w:vAlign w:val="bottom"/>
            <w:gridSpan w:val="2"/>
          </w:tcPr>
          <w:p>
            <w:pPr>
              <w:ind w:left="160"/>
              <w:spacing w:after="0"/>
              <w:rPr>
                <w:sz w:val="20"/>
                <w:szCs w:val="20"/>
                <w:color w:val="auto"/>
              </w:rPr>
            </w:pPr>
            <w:r>
              <w:rPr>
                <w:rFonts w:ascii="Arial" w:cs="Arial" w:eastAsia="Arial" w:hAnsi="Arial"/>
                <w:sz w:val="18"/>
                <w:szCs w:val="18"/>
                <w:color w:val="auto"/>
              </w:rPr>
              <w:t>Other current assets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long-term assets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580" w:type="dxa"/>
            <w:vAlign w:val="bottom"/>
            <w:gridSpan w:val="2"/>
          </w:tcPr>
          <w:p>
            <w:pPr>
              <w:ind w:left="16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Foreign currency derivatives</w:t>
            </w: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vMerge w:val="restart"/>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Total derivatives not designated as hedging</w:t>
            </w:r>
          </w:p>
        </w:tc>
        <w:tc>
          <w:tcPr>
            <w:tcW w:w="16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44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4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instruments</w:t>
            </w:r>
          </w:p>
        </w:tc>
        <w:tc>
          <w:tcPr>
            <w:tcW w:w="16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derivatives</w:t>
            </w:r>
          </w:p>
        </w:tc>
        <w:tc>
          <w:tcPr>
            <w:tcW w:w="160" w:type="dxa"/>
            <w:vAlign w:val="bottom"/>
            <w:shd w:val="clear" w:color="auto" w:fill="CCEEFF"/>
          </w:tcPr>
          <w:p>
            <w:pPr>
              <w:spacing w:after="0"/>
              <w:rPr>
                <w:sz w:val="21"/>
                <w:szCs w:val="21"/>
                <w:color w:val="auto"/>
              </w:rPr>
            </w:pPr>
          </w:p>
        </w:tc>
        <w:tc>
          <w:tcPr>
            <w:tcW w:w="242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21"/>
                <w:szCs w:val="21"/>
                <w:color w:val="auto"/>
              </w:rPr>
            </w:pPr>
          </w:p>
        </w:tc>
        <w:tc>
          <w:tcPr>
            <w:tcW w:w="24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Our derivative transactions are governed through ISDA (International Swaps and Derivatives Association) master agreements and clearing brokerage agreements. These agreements include stipulations regarding the right of set off in the event that we or our counterparty default on our performance obligations. If a default were to occur, both parties have the right to net amounts payable and receivable into a single net settlement between parties.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As of September 30, 2014, we had a net broker receivable of $35 million (consisting of initial margin of $74 million reduced by $39 million of variation margin that had been returned to us). As of December 31, 2013, we had a net broker receivable of $161 million (consisting of initial margin of $85 million increased by $76 million of variation margin that had been posted by us).</w:t>
      </w:r>
    </w:p>
    <w:p>
      <w:pPr>
        <w:spacing w:after="0" w:line="178"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tables present information about derivatives and financial assets and liabilities that are subject to offsetting, including enforceable master netting arrangements at September 30, 2014 and December 31, 2013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220" w:type="dxa"/>
            <w:vAlign w:val="bottom"/>
            <w:gridSpan w:val="6"/>
          </w:tcPr>
          <w:p>
            <w:pPr>
              <w:jc w:val="right"/>
              <w:ind w:right="1100"/>
              <w:spacing w:after="0"/>
              <w:rPr>
                <w:sz w:val="20"/>
                <w:szCs w:val="20"/>
                <w:color w:val="auto"/>
              </w:rPr>
            </w:pPr>
            <w:r>
              <w:rPr>
                <w:rFonts w:ascii="Arial" w:cs="Arial" w:eastAsia="Arial" w:hAnsi="Arial"/>
                <w:sz w:val="14"/>
                <w:szCs w:val="14"/>
                <w:b w:val="1"/>
                <w:bCs w:val="1"/>
                <w:color w:val="auto"/>
              </w:rPr>
              <w:t>September 30, 2014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4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160" w:type="dxa"/>
            <w:vAlign w:val="bottom"/>
            <w:tcBorders>
              <w:top w:val="single" w:sz="8" w:color="auto"/>
            </w:tcBorders>
          </w:tcPr>
          <w:p>
            <w:pPr>
              <w:jc w:val="center"/>
              <w:ind w:left="130"/>
              <w:spacing w:after="0" w:line="119" w:lineRule="exact"/>
              <w:rPr>
                <w:sz w:val="20"/>
                <w:szCs w:val="20"/>
                <w:color w:val="auto"/>
              </w:rPr>
            </w:pPr>
            <w:r>
              <w:rPr>
                <w:rFonts w:ascii="Arial" w:cs="Arial" w:eastAsia="Arial" w:hAnsi="Arial"/>
                <w:sz w:val="13"/>
                <w:szCs w:val="13"/>
                <w:b w:val="1"/>
                <w:bCs w:val="1"/>
                <w:color w:val="auto"/>
              </w:rPr>
              <w:t>Derivative</w:t>
            </w:r>
          </w:p>
        </w:tc>
        <w:tc>
          <w:tcPr>
            <w:tcW w:w="2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center"/>
              <w:ind w:right="24"/>
              <w:spacing w:after="0" w:line="119" w:lineRule="exact"/>
              <w:rPr>
                <w:sz w:val="20"/>
                <w:szCs w:val="20"/>
                <w:color w:val="auto"/>
              </w:rPr>
            </w:pPr>
            <w:r>
              <w:rPr>
                <w:rFonts w:ascii="Arial" w:cs="Arial" w:eastAsia="Arial" w:hAnsi="Arial"/>
                <w:sz w:val="13"/>
                <w:szCs w:val="13"/>
                <w:b w:val="1"/>
                <w:bCs w:val="1"/>
                <w:color w:val="auto"/>
              </w:rPr>
              <w:t>Derivative</w:t>
            </w: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Derivative</w:t>
            </w:r>
          </w:p>
        </w:tc>
        <w:tc>
          <w:tcPr>
            <w:tcW w:w="1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center"/>
              <w:ind w:right="24"/>
              <w:spacing w:after="0" w:line="119" w:lineRule="exact"/>
              <w:rPr>
                <w:sz w:val="20"/>
                <w:szCs w:val="20"/>
                <w:color w:val="auto"/>
              </w:rPr>
            </w:pPr>
            <w:r>
              <w:rPr>
                <w:rFonts w:ascii="Arial" w:cs="Arial" w:eastAsia="Arial" w:hAnsi="Arial"/>
                <w:sz w:val="13"/>
                <w:szCs w:val="13"/>
                <w:b w:val="1"/>
                <w:bCs w:val="1"/>
                <w:color w:val="auto"/>
              </w:rPr>
              <w:t>Derivative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jc w:val="center"/>
              <w:ind w:left="130"/>
              <w:spacing w:after="0"/>
              <w:rPr>
                <w:sz w:val="20"/>
                <w:szCs w:val="20"/>
                <w:color w:val="auto"/>
              </w:rPr>
            </w:pPr>
            <w:r>
              <w:rPr>
                <w:rFonts w:ascii="Arial" w:cs="Arial" w:eastAsia="Arial" w:hAnsi="Arial"/>
                <w:sz w:val="14"/>
                <w:szCs w:val="14"/>
                <w:b w:val="1"/>
                <w:bCs w:val="1"/>
                <w:color w:val="auto"/>
                <w:w w:val="87"/>
              </w:rPr>
              <w:t>Asset Positions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Liability Positions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Asset Positions</w:t>
            </w:r>
          </w:p>
        </w:tc>
        <w:tc>
          <w:tcPr>
            <w:tcW w:w="10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Liability Positions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Netting Adjustments:</w:t>
            </w:r>
          </w:p>
        </w:tc>
        <w:tc>
          <w:tcPr>
            <w:tcW w:w="1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Gross position - asset/(liability)</w:t>
            </w:r>
          </w:p>
        </w:tc>
        <w:tc>
          <w:tcPr>
            <w:tcW w:w="2520" w:type="dxa"/>
            <w:vAlign w:val="bottom"/>
            <w:gridSpan w:val="2"/>
          </w:tcPr>
          <w:p>
            <w:pPr>
              <w:jc w:val="right"/>
              <w:ind w:right="101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83</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(77)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133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6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8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15" w:name="page16"/>
    <w:bookmarkEnd w:id="15"/>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Netting adjustment</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w:t>
            </w: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8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w:t>
            </w: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Cash collateral paid/(received)</w:t>
            </w: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ind w:left="580"/>
              <w:spacing w:after="0"/>
              <w:rPr>
                <w:sz w:val="20"/>
                <w:szCs w:val="20"/>
                <w:color w:val="auto"/>
              </w:rPr>
            </w:pPr>
            <w:r>
              <w:rPr>
                <w:rFonts w:ascii="Arial" w:cs="Arial" w:eastAsia="Arial" w:hAnsi="Arial"/>
                <w:sz w:val="18"/>
                <w:szCs w:val="18"/>
                <w:color w:val="auto"/>
                <w:w w:val="79"/>
              </w:rPr>
              <w:t>35</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161</w:t>
            </w:r>
          </w:p>
        </w:tc>
        <w:tc>
          <w:tcPr>
            <w:tcW w:w="58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position - asset/(liability)</w:t>
            </w:r>
          </w:p>
        </w:tc>
        <w:tc>
          <w:tcPr>
            <w:tcW w:w="5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jc w:val="right"/>
              <w:ind w:right="4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ind w:left="580"/>
              <w:spacing w:after="0"/>
              <w:rPr>
                <w:sz w:val="20"/>
                <w:szCs w:val="20"/>
                <w:color w:val="auto"/>
              </w:rPr>
            </w:pPr>
            <w:r>
              <w:rPr>
                <w:rFonts w:ascii="Arial" w:cs="Arial" w:eastAsia="Arial" w:hAnsi="Arial"/>
                <w:sz w:val="18"/>
                <w:szCs w:val="18"/>
                <w:color w:val="auto"/>
                <w:w w:val="79"/>
              </w:rPr>
              <w:t>73</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80" w:type="dxa"/>
            <w:vAlign w:val="bottom"/>
            <w:tcBorders>
              <w:right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8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Location After Netting Adjustments:</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Other current assets</w:t>
            </w:r>
          </w:p>
        </w:tc>
        <w:tc>
          <w:tcPr>
            <w:tcW w:w="1120" w:type="dxa"/>
            <w:vAlign w:val="bottom"/>
            <w:gridSpan w:val="2"/>
          </w:tcPr>
          <w:p>
            <w:pPr>
              <w:jc w:val="right"/>
              <w:ind w:right="445"/>
              <w:spacing w:after="0"/>
              <w:rPr>
                <w:sz w:val="20"/>
                <w:szCs w:val="20"/>
                <w:color w:val="auto"/>
              </w:rPr>
            </w:pPr>
            <w:r>
              <w:rPr>
                <w:rFonts w:ascii="Arial" w:cs="Arial" w:eastAsia="Arial" w:hAnsi="Arial"/>
                <w:sz w:val="18"/>
                <w:szCs w:val="18"/>
                <w:color w:val="auto"/>
              </w:rPr>
              <w:t>$</w:t>
            </w:r>
          </w:p>
        </w:tc>
        <w:tc>
          <w:tcPr>
            <w:tcW w:w="760" w:type="dxa"/>
            <w:vAlign w:val="bottom"/>
          </w:tcPr>
          <w:p>
            <w:pPr>
              <w:ind w:left="580"/>
              <w:spacing w:after="0"/>
              <w:rPr>
                <w:sz w:val="20"/>
                <w:szCs w:val="20"/>
                <w:color w:val="auto"/>
              </w:rPr>
            </w:pPr>
            <w:r>
              <w:rPr>
                <w:rFonts w:ascii="Arial" w:cs="Arial" w:eastAsia="Arial" w:hAnsi="Arial"/>
                <w:sz w:val="18"/>
                <w:szCs w:val="18"/>
                <w:color w:val="auto"/>
                <w:w w:val="79"/>
              </w:rPr>
              <w:t>64</w:t>
            </w:r>
          </w:p>
        </w:tc>
        <w:tc>
          <w:tcPr>
            <w:tcW w:w="300" w:type="dxa"/>
            <w:vAlign w:val="bottom"/>
          </w:tcPr>
          <w:p>
            <w:pPr>
              <w:spacing w:after="0"/>
              <w:rPr>
                <w:sz w:val="18"/>
                <w:szCs w:val="18"/>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116</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620" w:type="dxa"/>
            <w:vAlign w:val="bottom"/>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w:t>
            </w:r>
          </w:p>
        </w:tc>
        <w:tc>
          <w:tcPr>
            <w:tcW w:w="5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Borders>
              <w:top w:val="single" w:sz="8" w:color="auto"/>
            </w:tcBorders>
          </w:tcPr>
          <w:p>
            <w:pPr>
              <w:jc w:val="right"/>
              <w:ind w:right="4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ind w:left="580"/>
              <w:spacing w:after="0"/>
              <w:rPr>
                <w:sz w:val="20"/>
                <w:szCs w:val="20"/>
                <w:color w:val="auto"/>
              </w:rPr>
            </w:pPr>
            <w:r>
              <w:rPr>
                <w:rFonts w:ascii="Arial" w:cs="Arial" w:eastAsia="Arial" w:hAnsi="Arial"/>
                <w:sz w:val="18"/>
                <w:szCs w:val="18"/>
                <w:color w:val="auto"/>
                <w:w w:val="79"/>
              </w:rPr>
              <w:t>73</w:t>
            </w:r>
          </w:p>
        </w:tc>
        <w:tc>
          <w:tcPr>
            <w:tcW w:w="300" w:type="dxa"/>
            <w:vAlign w:val="bottom"/>
          </w:tcPr>
          <w:p>
            <w:pPr>
              <w:spacing w:after="0"/>
              <w:rPr>
                <w:sz w:val="19"/>
                <w:szCs w:val="19"/>
                <w:color w:val="auto"/>
              </w:rPr>
            </w:pPr>
          </w:p>
        </w:tc>
        <w:tc>
          <w:tcPr>
            <w:tcW w:w="62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8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5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280" w:type="dxa"/>
            <w:vAlign w:val="bottom"/>
          </w:tcPr>
          <w:p>
            <w:pPr>
              <w:spacing w:after="0"/>
              <w:rPr>
                <w:sz w:val="19"/>
                <w:szCs w:val="19"/>
                <w:color w:val="auto"/>
              </w:rPr>
            </w:pPr>
          </w:p>
        </w:tc>
        <w:tc>
          <w:tcPr>
            <w:tcW w:w="5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648"/>
        <w:spacing w:after="0" w:line="291" w:lineRule="auto"/>
        <w:rPr>
          <w:sz w:val="20"/>
          <w:szCs w:val="20"/>
          <w:color w:val="auto"/>
        </w:rPr>
      </w:pPr>
      <w:r>
        <w:rPr>
          <w:rFonts w:ascii="Arial" w:cs="Arial" w:eastAsia="Arial" w:hAnsi="Arial"/>
          <w:sz w:val="16"/>
          <w:szCs w:val="16"/>
          <w:color w:val="auto"/>
        </w:rPr>
        <w:t>As of September 30, 2014, there was a net loss of $118 million deferred in AOCI including tax effects. The deferred net loss recorded in AOCI is expected to be reclassified to future earnings contemporaneously with (i) the earnings recognition of the underlying hedged commodity transaction or</w:t>
      </w:r>
    </w:p>
    <w:p>
      <w:pPr>
        <w:jc w:val="both"/>
        <w:ind w:right="300" w:firstLine="8"/>
        <w:spacing w:after="0" w:line="254" w:lineRule="auto"/>
        <w:tabs>
          <w:tab w:leader="none" w:pos="26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interest expense accruals associated with underlying debt instruments. Of the total net loss deferred in AOCI at September 30, 2014, we expect to reclassify a net gain of $1 million to earnings in the next twelve months. The remaining deferred loss of $119 million is expected to be reclassified to earnings through 2045. A portion of these amounts are based on market prices as of September 30, 2014; thus, actual amounts to be reclassified will differ and could vary materially as a result of changes in market conditions.</w:t>
      </w:r>
    </w:p>
    <w:p>
      <w:pPr>
        <w:spacing w:after="0" w:line="19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net deferred gain/(loss), including tax effects, recognized in AOCI for derivatives for the three and nine months ended September 30, 2014 and 2013 are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3"/>
          </w:tcPr>
          <w:p>
            <w:pPr>
              <w:jc w:val="center"/>
              <w:ind w:left="460"/>
              <w:spacing w:after="0"/>
              <w:rPr>
                <w:sz w:val="20"/>
                <w:szCs w:val="20"/>
                <w:color w:val="auto"/>
              </w:rPr>
            </w:pPr>
            <w:r>
              <w:rPr>
                <w:rFonts w:ascii="Arial" w:cs="Arial" w:eastAsia="Arial" w:hAnsi="Arial"/>
                <w:sz w:val="14"/>
                <w:szCs w:val="14"/>
                <w:b w:val="1"/>
                <w:bCs w:val="1"/>
                <w:color w:val="auto"/>
                <w:w w:val="94"/>
              </w:rPr>
              <w:t>Nine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center"/>
              <w:ind w:left="460"/>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50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w w:val="89"/>
              </w:rPr>
              <w:t>2013</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60"/>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Commodity derivatives, net</w:t>
            </w:r>
          </w:p>
        </w:tc>
        <w:tc>
          <w:tcPr>
            <w:tcW w:w="15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800"/>
              <w:spacing w:after="0"/>
              <w:rPr>
                <w:sz w:val="20"/>
                <w:szCs w:val="20"/>
                <w:color w:val="auto"/>
              </w:rPr>
            </w:pPr>
            <w:r>
              <w:rPr>
                <w:rFonts w:ascii="Arial" w:cs="Arial" w:eastAsia="Arial" w:hAnsi="Arial"/>
                <w:sz w:val="17"/>
                <w:szCs w:val="17"/>
                <w:color w:val="auto"/>
                <w:w w:val="72"/>
              </w:rPr>
              <w:t>(10)</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Interest rate derivatives, net</w:t>
            </w: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ind w:left="800"/>
              <w:spacing w:after="0"/>
              <w:rPr>
                <w:sz w:val="20"/>
                <w:szCs w:val="20"/>
                <w:color w:val="auto"/>
              </w:rPr>
            </w:pPr>
            <w:r>
              <w:rPr>
                <w:rFonts w:ascii="Arial" w:cs="Arial" w:eastAsia="Arial" w:hAnsi="Arial"/>
                <w:sz w:val="18"/>
                <w:szCs w:val="18"/>
                <w:color w:val="auto"/>
              </w:rPr>
              <w:t>(47)</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r>
      <w:tr>
        <w:trPr>
          <w:trHeight w:val="223"/>
        </w:trPr>
        <w:tc>
          <w:tcPr>
            <w:tcW w:w="35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4"/>
              </w:rPr>
              <w:t>(57</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360" w:firstLine="648"/>
        <w:spacing w:after="0" w:line="286" w:lineRule="auto"/>
        <w:rPr>
          <w:sz w:val="20"/>
          <w:szCs w:val="20"/>
          <w:color w:val="auto"/>
        </w:rPr>
      </w:pPr>
      <w:r>
        <w:rPr>
          <w:rFonts w:ascii="Arial" w:cs="Arial" w:eastAsia="Arial" w:hAnsi="Arial"/>
          <w:sz w:val="17"/>
          <w:szCs w:val="17"/>
          <w:color w:val="auto"/>
        </w:rPr>
        <w:t>At September 30, 2014 and December 31, 2013, none of our outstanding derivatives contained credit-risk related contingent features that would result in a material adverse impact to us upon any change in our credit ratings. Although we may be required to post margin on our cleared derivatives as described above, we do not require our non-cleared derivative counterparties to post collateral with us.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Derivative Financial Assets and Liabilities</w:t>
      </w:r>
    </w:p>
    <w:p>
      <w:pPr>
        <w:spacing w:after="0" w:line="229" w:lineRule="exact"/>
        <w:rPr>
          <w:sz w:val="20"/>
          <w:szCs w:val="20"/>
          <w:color w:val="auto"/>
        </w:rPr>
      </w:pPr>
    </w:p>
    <w:p>
      <w:pPr>
        <w:jc w:val="both"/>
        <w:ind w:right="360"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as of September 30, 2014 and December 31, 2013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0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Recurring Fair Value Measures </w:t>
            </w:r>
            <w:r>
              <w:rPr>
                <w:rFonts w:ascii="Arial" w:cs="Arial" w:eastAsia="Arial" w:hAnsi="Arial"/>
                <w:sz w:val="8"/>
                <w:szCs w:val="8"/>
                <w:b w:val="1"/>
                <w:bCs w:val="1"/>
                <w:color w:val="auto"/>
              </w:rPr>
              <w:t>(1)</w:t>
            </w:r>
          </w:p>
        </w:tc>
        <w:tc>
          <w:tcPr>
            <w:tcW w:w="240" w:type="dxa"/>
            <w:vAlign w:val="bottom"/>
            <w:vMerge w:val="restart"/>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4"/>
                <w:szCs w:val="14"/>
                <w:b w:val="1"/>
                <w:bCs w:val="1"/>
                <w:color w:val="auto"/>
                <w:w w:val="91"/>
              </w:rPr>
              <w:t>Fair Value as of September 30, 2014</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2"/>
              </w:rPr>
              <w:t>Fair Value as of December 31, 2013</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Level 2</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Level 3</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Commodity derivatives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Interest rate derivatives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derivatives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Total net derivative asset/(liability)</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Derivative assets and liabilities are presented above on a net basis but do not include related cash margin deposits.</w:t>
      </w:r>
    </w:p>
    <w:p>
      <w:pPr>
        <w:spacing w:after="0" w:line="201"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1</w:t>
      </w:r>
    </w:p>
    <w:p>
      <w:pPr>
        <w:spacing w:after="0" w:line="225" w:lineRule="exact"/>
        <w:rPr>
          <w:rFonts w:ascii="Arial" w:cs="Arial" w:eastAsia="Arial" w:hAnsi="Arial"/>
          <w:sz w:val="23"/>
          <w:szCs w:val="23"/>
          <w:color w:val="auto"/>
          <w:vertAlign w:val="superscript"/>
        </w:rPr>
      </w:pPr>
    </w:p>
    <w:p>
      <w:pPr>
        <w:ind w:left="660" w:right="160"/>
        <w:spacing w:after="0" w:line="277" w:lineRule="auto"/>
        <w:rPr>
          <w:rFonts w:ascii="Arial" w:cs="Arial" w:eastAsia="Arial" w:hAnsi="Arial"/>
          <w:sz w:val="23"/>
          <w:szCs w:val="23"/>
          <w:color w:val="auto"/>
          <w:vertAlign w:val="superscript"/>
        </w:rPr>
      </w:pPr>
      <w:r>
        <w:rPr>
          <w:rFonts w:ascii="Arial" w:cs="Arial" w:eastAsia="Arial" w:hAnsi="Arial"/>
          <w:sz w:val="18"/>
          <w:szCs w:val="18"/>
          <w:color w:val="auto"/>
        </w:rPr>
        <w:t>Level 1 of the fair value hierarchy includes exchange-traded commodity derivatives such as futures and options. The fair value of exchange-traded commodity derivatives is based on unadjusted quoted prices in active markets.</w:t>
      </w:r>
    </w:p>
    <w:p>
      <w:pPr>
        <w:spacing w:after="0" w:line="170"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Level 2</w:t>
      </w:r>
    </w:p>
    <w:p>
      <w:pPr>
        <w:spacing w:after="0" w:line="225" w:lineRule="exact"/>
        <w:rPr>
          <w:sz w:val="20"/>
          <w:szCs w:val="20"/>
          <w:color w:val="auto"/>
        </w:rPr>
      </w:pPr>
    </w:p>
    <w:p>
      <w:pPr>
        <w:ind w:left="660" w:right="460"/>
        <w:spacing w:after="0" w:line="286" w:lineRule="auto"/>
        <w:rPr>
          <w:sz w:val="20"/>
          <w:szCs w:val="20"/>
          <w:color w:val="auto"/>
        </w:rPr>
      </w:pPr>
      <w:r>
        <w:rPr>
          <w:rFonts w:ascii="Arial" w:cs="Arial" w:eastAsia="Arial" w:hAnsi="Arial"/>
          <w:sz w:val="17"/>
          <w:szCs w:val="17"/>
          <w:color w:val="auto"/>
        </w:rPr>
        <w:t>Level 2 of the fair value hierarchy includes exchange-cleared commodity derivatives and over-the-counter commodity, interest rate and foreign currency derivatives that are traded in active markets. In addition, it includes certain physical commodity contracts. The fair value of these derivatives is based on broker price quotations which are corroborated with market observable inputs.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3</w:t>
      </w:r>
    </w:p>
    <w:p>
      <w:pPr>
        <w:spacing w:after="0" w:line="225" w:lineRule="exact"/>
        <w:rPr>
          <w:sz w:val="20"/>
          <w:szCs w:val="20"/>
          <w:color w:val="auto"/>
        </w:rPr>
      </w:pPr>
    </w:p>
    <w:p>
      <w:pPr>
        <w:ind w:left="660" w:right="340"/>
        <w:spacing w:after="0" w:line="302" w:lineRule="auto"/>
        <w:rPr>
          <w:sz w:val="20"/>
          <w:szCs w:val="20"/>
          <w:color w:val="auto"/>
        </w:rPr>
      </w:pPr>
      <w:r>
        <w:rPr>
          <w:rFonts w:ascii="Arial" w:cs="Arial" w:eastAsia="Arial" w:hAnsi="Arial"/>
          <w:sz w:val="16"/>
          <w:szCs w:val="16"/>
          <w:color w:val="auto"/>
        </w:rPr>
        <w:t>Level 3 of the fair value hierarchy includes certain physical commodity contracts. The fair value of our Level 3 physical commodity contracts is based on a valuation model utilizing broker-quoted forward commodity prices, and timing estimates, which involve management judgment. The significant unobservable inputs used in the fair value measurement of our Level 3 derivatives are forward prices obtained from brokers. A significant increase or decrease in these forward prices could result in a material change in fair value to our Level 3 derivatives.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Asset/(Liability)</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classified as Level 3 (in millions):</w:t>
      </w:r>
    </w:p>
    <w:p>
      <w:pPr>
        <w:sectPr>
          <w:pgSz w:w="11900" w:h="16848" w:orient="portrait"/>
          <w:cols w:equalWidth="0" w:num="1">
            <w:col w:w="11420"/>
          </w:cols>
          <w:pgMar w:left="240" w:top="140" w:right="239" w:bottom="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w w:val="89"/>
              </w:rPr>
              <w:t>2013</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Unrealized gains/(losses):</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Included in earnings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Included in other comprehensive income</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Settlements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Derivatives entered into during the period</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Transfers out of Level 3</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Ending Balance</w:t>
            </w:r>
          </w:p>
        </w:tc>
        <w:tc>
          <w:tcPr>
            <w:tcW w:w="18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gridSpan w:val="2"/>
            <w:vMerge w:val="continue"/>
          </w:tcPr>
          <w:p>
            <w:pPr>
              <w:spacing w:after="0"/>
              <w:rPr>
                <w:sz w:val="21"/>
                <w:szCs w:val="21"/>
                <w:color w:val="auto"/>
              </w:rPr>
            </w:pPr>
          </w:p>
        </w:tc>
        <w:tc>
          <w:tcPr>
            <w:tcW w:w="180" w:type="dxa"/>
            <w:vAlign w:val="bottom"/>
            <w:vMerge w:val="continue"/>
          </w:tcPr>
          <w:p>
            <w:pPr>
              <w:spacing w:after="0"/>
              <w:rPr>
                <w:sz w:val="21"/>
                <w:szCs w:val="21"/>
                <w:color w:val="auto"/>
              </w:rPr>
            </w:pPr>
          </w:p>
        </w:tc>
        <w:tc>
          <w:tcPr>
            <w:tcW w:w="840" w:type="dxa"/>
            <w:vAlign w:val="bottom"/>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vMerge w:val="continue"/>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vMerge w:val="continue"/>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vMerge w:val="continue"/>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00" w:type="dxa"/>
            <w:vAlign w:val="bottom"/>
          </w:tcPr>
          <w:p>
            <w:pPr>
              <w:spacing w:after="0" w:line="201" w:lineRule="exact"/>
              <w:rPr>
                <w:sz w:val="20"/>
                <w:szCs w:val="20"/>
                <w:color w:val="auto"/>
              </w:rPr>
            </w:pPr>
            <w:r>
              <w:rPr>
                <w:rFonts w:ascii="Arial" w:cs="Arial" w:eastAsia="Arial" w:hAnsi="Arial"/>
                <w:sz w:val="18"/>
                <w:szCs w:val="18"/>
                <w:color w:val="auto"/>
                <w:w w:val="92"/>
              </w:rPr>
              <w:t>Change in unrealized gains/(losses) included in earnings relating</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to Level 3 derivatives still held at the end of the periods</w:t>
            </w:r>
          </w:p>
        </w:tc>
        <w:tc>
          <w:tcPr>
            <w:tcW w:w="1020" w:type="dxa"/>
            <w:vAlign w:val="bottom"/>
            <w:gridSpan w:val="2"/>
          </w:tcPr>
          <w:p>
            <w:pPr>
              <w:jc w:val="right"/>
              <w:ind w:right="686"/>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240" w:hanging="652"/>
        <w:spacing w:after="0" w:line="227" w:lineRule="auto"/>
        <w:tabs>
          <w:tab w:leader="none" w:pos="648"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We reported unrealized gains and losses associated with Level 3 commodity derivatives in our condensed consolidated statements of operations as Supply and Logistics segment revenues.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In the ordinary course of business, we are involved in various legal proceedings. To the extent we are able to assess the likelihood of a</w:t>
      </w:r>
      <w:r>
        <w:rPr>
          <w:rFonts w:ascii="Arial" w:cs="Arial" w:eastAsia="Arial" w:hAnsi="Arial"/>
          <w:sz w:val="17"/>
          <w:szCs w:val="17"/>
          <w:i w:val="1"/>
          <w:iCs w:val="1"/>
          <w:color w:val="auto"/>
        </w:rPr>
        <w:t xml:space="preserve"> </w:t>
      </w:r>
      <w:r>
        <w:rPr>
          <w:rFonts w:ascii="Arial" w:cs="Arial" w:eastAsia="Arial" w:hAnsi="Arial"/>
          <w:sz w:val="17"/>
          <w:szCs w:val="17"/>
          <w:color w:val="auto"/>
        </w:rPr>
        <w:t>negative outcome for these proceedings, our assessments of such likelihood range from remote to probable. If we determine that a negative outcome is probable and the amount of loss is reasonably estimable, we accrue the estimated amount. We do not believe that the outcome of these legal proceedings, individually or in the aggregate, will have a material adverse effect on our financial condition, results of operations or cash flows. Although we believe that our operations are presently in material compliance with applicable requirements, as we acquire and incorporate additional assets it is possible that the EPA or other governmental entities may seek to impose fines, penalties or performance obligations on us (or on a portion of our operations) as a result of any past noncompliance whether such noncompliance initially developed before or after our acquisition.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Although we believe that our efforts to enhance our leak prevention and detection capabilities have produced positive results,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experienced (and likely will experience future) releases of hydrocarbon products into the environment from our pipeline, rail and storage operations. These releases can result from unpredictable man-made or natural forces and may reach surface water bodies, groundwater aquifers or other sensitive environments. Whether current or past, damages and liabilities associated with any such releases from our assets may substantially affect our business.</w:t>
      </w:r>
    </w:p>
    <w:p>
      <w:pPr>
        <w:spacing w:after="0" w:line="154"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At September 30, 2014, our estimated undiscounted reserve for environmental liabilities totaled $87 million, of which $13 million was classified as short-term and $74 million was classified as long-term. At December 31, 2013, our estimated undiscounted reserve for environmental liabilities totaled</w:t>
      </w:r>
    </w:p>
    <w:p>
      <w:pPr>
        <w:spacing w:after="0" w:line="271" w:lineRule="auto"/>
        <w:rPr>
          <w:sz w:val="20"/>
          <w:szCs w:val="20"/>
          <w:color w:val="auto"/>
        </w:rPr>
      </w:pPr>
      <w:r>
        <w:rPr>
          <w:rFonts w:ascii="Arial" w:cs="Arial" w:eastAsia="Arial" w:hAnsi="Arial"/>
          <w:sz w:val="17"/>
          <w:szCs w:val="17"/>
          <w:color w:val="auto"/>
        </w:rPr>
        <w:t>$93 million, of which $11 million was classified as short-term and $82 million was classified as long-term. The short- and long-term environmental liabilities referenced above are reflected in “Accounts payable and accrued liabilities” and “Other long-term liabilities and deferred credits,” respectively, on our condensed consolidated balance sheets. At September 30, 2014 and December 31, 2013, we had recorded receivables totaling $9 million and $10 million, respectively, for amounts probable of recovery under insurance and from third parties under indemnification agreements, which are predominantly reflected in “Trade accounts receivable and other receivables, net” on our condensed consolidated balance sheets.</w:t>
      </w:r>
    </w:p>
    <w:p>
      <w:pPr>
        <w:spacing w:after="0" w:line="17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In some cases, the actual cash expenditures may not occur for three years or longer. Our estimates used in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legal claims giving rise to additional liabilities. Therefore, although we believe that the reserve is adequate, costs incurred may be in excess of the reserve and may potentially have a material adverse effect on our financial condition, results of operations or cash flows.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i w:val="1"/>
          <w:iCs w:val="1"/>
          <w:color w:val="auto"/>
        </w:rPr>
        <w:t xml:space="preserve">Bay Springs Pipeline Release. </w:t>
      </w:r>
      <w:r>
        <w:rPr>
          <w:rFonts w:ascii="Arial" w:cs="Arial" w:eastAsia="Arial" w:hAnsi="Arial"/>
          <w:sz w:val="17"/>
          <w:szCs w:val="17"/>
          <w:color w:val="auto"/>
        </w:rPr>
        <w:t>During February 2013, we experienced a crude oil release of approximately 120 barrels on a portion of one of our</w:t>
      </w:r>
      <w:r>
        <w:rPr>
          <w:rFonts w:ascii="Arial" w:cs="Arial" w:eastAsia="Arial" w:hAnsi="Arial"/>
          <w:sz w:val="17"/>
          <w:szCs w:val="17"/>
          <w:i w:val="1"/>
          <w:iCs w:val="1"/>
          <w:color w:val="auto"/>
        </w:rPr>
        <w:t xml:space="preserve"> </w:t>
      </w:r>
      <w:r>
        <w:rPr>
          <w:rFonts w:ascii="Arial" w:cs="Arial" w:eastAsia="Arial" w:hAnsi="Arial"/>
          <w:sz w:val="17"/>
          <w:szCs w:val="17"/>
          <w:color w:val="auto"/>
        </w:rPr>
        <w:t>pipelines near Bay Springs, Mississippi. Most of the released oil was contained within our pipeline right of way, but some of the released oil entered a nearby waterway where it was contained with booms. The EPA has issued an administrative order requiring us to take various actions in response to the release, including remediation, reporting and other actions. We have satisfied the requirements of the administrative order; however, we may be subjected to a civil penalty. The aggregate cost to clean up and remediate the site was approximately $6 million.</w:t>
      </w:r>
    </w:p>
    <w:p>
      <w:pPr>
        <w:spacing w:after="0" w:line="173"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i w:val="1"/>
          <w:iCs w:val="1"/>
          <w:color w:val="auto"/>
        </w:rPr>
        <w:t>Kemp River Pipeline Release</w:t>
      </w:r>
      <w:r>
        <w:rPr>
          <w:rFonts w:ascii="Arial" w:cs="Arial" w:eastAsia="Arial" w:hAnsi="Arial"/>
          <w:sz w:val="17"/>
          <w:szCs w:val="17"/>
          <w:color w:val="auto"/>
        </w:rPr>
        <w:t>. During May and June 2013, two separate releases were discovered on our Kemp River pipeline in Northern Alberta,</w:t>
      </w:r>
      <w:r>
        <w:rPr>
          <w:rFonts w:ascii="Arial" w:cs="Arial" w:eastAsia="Arial" w:hAnsi="Arial"/>
          <w:sz w:val="17"/>
          <w:szCs w:val="17"/>
          <w:i w:val="1"/>
          <w:iCs w:val="1"/>
          <w:color w:val="auto"/>
        </w:rPr>
        <w:t xml:space="preserve"> </w:t>
      </w:r>
      <w:r>
        <w:rPr>
          <w:rFonts w:ascii="Arial" w:cs="Arial" w:eastAsia="Arial" w:hAnsi="Arial"/>
          <w:sz w:val="17"/>
          <w:szCs w:val="17"/>
          <w:color w:val="auto"/>
        </w:rPr>
        <w:t>Canada that, in the aggregate, resulted in the release of approximately 700 barrels of condensate and light crude oil. Clean-up and remediation activities are being conducted in cooperation with the applicable regulatory agencies. AER’s final investigation is not complete. To date, no charges, fines or penalties have been assessed against PMC with respect to these releases; however, it is possible that fines or penalties may be assessed against PMC in the future. We estimate that the aggregate clean-up and remediation costs associated with these releases will be approximately $15 million. Through September 30, 2014, we spent approximately $8 million in connection with clean-up and remediation activities.</w:t>
      </w:r>
    </w:p>
    <w:p>
      <w:pPr>
        <w:sectPr>
          <w:pgSz w:w="11900" w:h="16838" w:orient="portrait"/>
          <w:cols w:equalWidth="0" w:num="1">
            <w:col w:w="11420"/>
          </w:cols>
          <w:pgMar w:left="240" w:top="320" w:right="239" w:bottom="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12—Operating Segments</w:t>
      </w:r>
    </w:p>
    <w:p>
      <w:pPr>
        <w:spacing w:after="0" w:line="229"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We manage our operations through three operating segments: (i) Transportation, (ii) Facilities and (iii) Supply and Logistics. Our Chief Operating Decision Maker (our Chief Executive Officer) evaluates segment performance based on measures including segment profit and maintenance capital investment. We define segment profit as revenues and equity earnings in unconsolidated entities less (i) purchases and related costs, (ii) field operating costs and (iii) segment general and administrative expenses. Each of the items above excludes depreciation and amortization. Maintenance capital consists of capital expenditures for the replacement of partially or fully depreciated assets in order to maintain the operating and/or earnings capacity of our existing assets.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reflects certain financial data for each segment for the periods indicated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Transportation</w:t>
            </w:r>
          </w:p>
        </w:tc>
        <w:tc>
          <w:tcPr>
            <w:tcW w:w="300" w:type="dxa"/>
            <w:vAlign w:val="bottom"/>
          </w:tcPr>
          <w:p>
            <w:pPr>
              <w:spacing w:after="0"/>
              <w:rPr>
                <w:sz w:val="14"/>
                <w:szCs w:val="14"/>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Facilities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Supply and Logistics</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Three Months Ended September 30, 2014</w:t>
            </w:r>
          </w:p>
        </w:tc>
        <w:tc>
          <w:tcPr>
            <w:tcW w:w="2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line="216"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External Customers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198</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10,788</w:t>
            </w:r>
          </w:p>
        </w:tc>
        <w:tc>
          <w:tcPr>
            <w:tcW w:w="50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200" w:type="dxa"/>
            <w:vAlign w:val="bottom"/>
          </w:tcPr>
          <w:p>
            <w:pPr>
              <w:spacing w:after="0"/>
              <w:rPr>
                <w:sz w:val="18"/>
                <w:szCs w:val="18"/>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226</w:t>
            </w:r>
          </w:p>
        </w:tc>
        <w:tc>
          <w:tcPr>
            <w:tcW w:w="3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140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 of reportable segments</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vMerge w:val="restart"/>
          </w:tcPr>
          <w:p>
            <w:pPr>
              <w:spacing w:after="0"/>
              <w:rPr>
                <w:sz w:val="20"/>
                <w:szCs w:val="20"/>
                <w:color w:val="auto"/>
              </w:rPr>
            </w:pPr>
            <w:r>
              <w:rPr>
                <w:rFonts w:ascii="Arial" w:cs="Arial" w:eastAsia="Arial" w:hAnsi="Arial"/>
                <w:sz w:val="18"/>
                <w:szCs w:val="18"/>
                <w:color w:val="auto"/>
              </w:rPr>
              <w:t>Equity earnings in unconsolidated entities</w:t>
            </w: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06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w:t>
            </w:r>
          </w:p>
        </w:tc>
        <w:tc>
          <w:tcPr>
            <w:tcW w:w="3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60" w:type="dxa"/>
            <w:vAlign w:val="bottom"/>
            <w:tcBorders>
              <w:bottom w:val="single" w:sz="8" w:color="CCEEFF"/>
            </w:tcBorders>
            <w:shd w:val="clear" w:color="auto" w:fill="CCEEFF"/>
          </w:tcPr>
          <w:p>
            <w:pPr>
              <w:spacing w:after="0" w:line="197" w:lineRule="exact"/>
              <w:rPr>
                <w:sz w:val="20"/>
                <w:szCs w:val="20"/>
                <w:color w:val="auto"/>
              </w:rPr>
            </w:pPr>
            <w:r>
              <w:rPr>
                <w:rFonts w:ascii="Arial" w:cs="Arial" w:eastAsia="Arial" w:hAnsi="Arial"/>
                <w:sz w:val="17"/>
                <w:szCs w:val="17"/>
                <w:color w:val="auto"/>
              </w:rPr>
              <w:t xml:space="preserve">Segment profit </w:t>
            </w:r>
            <w:r>
              <w:rPr>
                <w:rFonts w:ascii="Arial" w:cs="Arial" w:eastAsia="Arial" w:hAnsi="Arial"/>
                <w:sz w:val="22"/>
                <w:szCs w:val="22"/>
                <w:color w:val="auto"/>
                <w:vertAlign w:val="superscript"/>
              </w:rPr>
              <w:t>(3) (4)</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231</w:t>
            </w:r>
          </w:p>
        </w:tc>
        <w:tc>
          <w:tcPr>
            <w:tcW w:w="3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147</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152</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vMerge w:val="restart"/>
          </w:tcPr>
          <w:p>
            <w:pPr>
              <w:spacing w:after="0"/>
              <w:rPr>
                <w:sz w:val="20"/>
                <w:szCs w:val="20"/>
                <w:color w:val="auto"/>
              </w:rPr>
            </w:pPr>
            <w:r>
              <w:rPr>
                <w:rFonts w:ascii="Arial" w:cs="Arial" w:eastAsia="Arial" w:hAnsi="Arial"/>
                <w:sz w:val="18"/>
                <w:szCs w:val="18"/>
                <w:color w:val="auto"/>
              </w:rPr>
              <w:t>Maintenance capital</w:t>
            </w: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06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w:t>
            </w:r>
          </w:p>
        </w:tc>
        <w:tc>
          <w:tcPr>
            <w:tcW w:w="3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Three Months Ended September 30, 2013</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External Customers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179</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138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10,386</w:t>
            </w:r>
          </w:p>
        </w:tc>
        <w:tc>
          <w:tcPr>
            <w:tcW w:w="50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10,703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199</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revenues of reportable segments</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3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10,386</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11,044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Equity earnings in unconsolidated entities</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w:t>
            </w:r>
          </w:p>
        </w:tc>
        <w:tc>
          <w:tcPr>
            <w:tcW w:w="3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vMerge w:val="restart"/>
          </w:tcPr>
          <w:p>
            <w:pPr>
              <w:spacing w:after="0" w:line="236" w:lineRule="exact"/>
              <w:rPr>
                <w:sz w:val="20"/>
                <w:szCs w:val="20"/>
                <w:color w:val="auto"/>
              </w:rPr>
            </w:pPr>
            <w:r>
              <w:rPr>
                <w:rFonts w:ascii="Arial" w:cs="Arial" w:eastAsia="Arial" w:hAnsi="Arial"/>
                <w:sz w:val="18"/>
                <w:szCs w:val="18"/>
                <w:color w:val="auto"/>
              </w:rPr>
              <w:t xml:space="preserve">Segment profit </w:t>
            </w:r>
            <w:r>
              <w:rPr>
                <w:rFonts w:ascii="Arial" w:cs="Arial" w:eastAsia="Arial" w:hAnsi="Arial"/>
                <w:sz w:val="23"/>
                <w:szCs w:val="23"/>
                <w:color w:val="auto"/>
                <w:vertAlign w:val="superscript"/>
              </w:rPr>
              <w:t>(3) (4)</w:t>
            </w: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06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198</w:t>
            </w:r>
          </w:p>
        </w:tc>
        <w:tc>
          <w:tcPr>
            <w:tcW w:w="30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146</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w:t>
            </w:r>
          </w:p>
        </w:tc>
        <w:tc>
          <w:tcPr>
            <w:tcW w:w="16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Maintenance capital</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w:t>
            </w:r>
          </w:p>
        </w:tc>
        <w:tc>
          <w:tcPr>
            <w:tcW w:w="3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Transportation</w:t>
            </w:r>
          </w:p>
        </w:tc>
        <w:tc>
          <w:tcPr>
            <w:tcW w:w="300" w:type="dxa"/>
            <w:vAlign w:val="bottom"/>
          </w:tcPr>
          <w:p>
            <w:pPr>
              <w:spacing w:after="0"/>
              <w:rPr>
                <w:sz w:val="24"/>
                <w:szCs w:val="24"/>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Facilities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Supply and Logistics</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Nine Months Ended September 30, 2014</w:t>
            </w:r>
          </w:p>
        </w:tc>
        <w:tc>
          <w:tcPr>
            <w:tcW w:w="2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line="216"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External Customers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574</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32,988</w:t>
            </w:r>
          </w:p>
        </w:tc>
        <w:tc>
          <w:tcPr>
            <w:tcW w:w="50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200" w:type="dxa"/>
            <w:vAlign w:val="bottom"/>
          </w:tcPr>
          <w:p>
            <w:pPr>
              <w:spacing w:after="0"/>
              <w:rPr>
                <w:sz w:val="18"/>
                <w:szCs w:val="18"/>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648</w:t>
            </w:r>
          </w:p>
        </w:tc>
        <w:tc>
          <w:tcPr>
            <w:tcW w:w="3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415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 of reportable segments</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33,021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35,101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vMerge w:val="restart"/>
          </w:tcPr>
          <w:p>
            <w:pPr>
              <w:spacing w:after="0"/>
              <w:rPr>
                <w:sz w:val="20"/>
                <w:szCs w:val="20"/>
                <w:color w:val="auto"/>
              </w:rPr>
            </w:pPr>
            <w:r>
              <w:rPr>
                <w:rFonts w:ascii="Arial" w:cs="Arial" w:eastAsia="Arial" w:hAnsi="Arial"/>
                <w:sz w:val="18"/>
                <w:szCs w:val="18"/>
                <w:color w:val="auto"/>
              </w:rPr>
              <w:t>Equity earnings in unconsolidated entities</w:t>
            </w: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06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w:t>
            </w:r>
          </w:p>
        </w:tc>
        <w:tc>
          <w:tcPr>
            <w:tcW w:w="3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60" w:type="dxa"/>
            <w:vAlign w:val="bottom"/>
            <w:tcBorders>
              <w:bottom w:val="single" w:sz="8" w:color="CCEEFF"/>
            </w:tcBorders>
            <w:shd w:val="clear" w:color="auto" w:fill="CCEEFF"/>
          </w:tcPr>
          <w:p>
            <w:pPr>
              <w:spacing w:after="0" w:line="197" w:lineRule="exact"/>
              <w:rPr>
                <w:sz w:val="20"/>
                <w:szCs w:val="20"/>
                <w:color w:val="auto"/>
              </w:rPr>
            </w:pPr>
            <w:r>
              <w:rPr>
                <w:rFonts w:ascii="Arial" w:cs="Arial" w:eastAsia="Arial" w:hAnsi="Arial"/>
                <w:sz w:val="17"/>
                <w:szCs w:val="17"/>
                <w:color w:val="auto"/>
              </w:rPr>
              <w:t xml:space="preserve">Segment profit </w:t>
            </w:r>
            <w:r>
              <w:rPr>
                <w:rFonts w:ascii="Arial" w:cs="Arial" w:eastAsia="Arial" w:hAnsi="Arial"/>
                <w:sz w:val="22"/>
                <w:szCs w:val="22"/>
                <w:color w:val="auto"/>
                <w:vertAlign w:val="superscript"/>
              </w:rPr>
              <w:t>(3) (4)</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658</w:t>
            </w:r>
          </w:p>
        </w:tc>
        <w:tc>
          <w:tcPr>
            <w:tcW w:w="3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435</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534</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1,627</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vMerge w:val="restart"/>
          </w:tcPr>
          <w:p>
            <w:pPr>
              <w:spacing w:after="0"/>
              <w:rPr>
                <w:sz w:val="20"/>
                <w:szCs w:val="20"/>
                <w:color w:val="auto"/>
              </w:rPr>
            </w:pPr>
            <w:r>
              <w:rPr>
                <w:rFonts w:ascii="Arial" w:cs="Arial" w:eastAsia="Arial" w:hAnsi="Arial"/>
                <w:sz w:val="18"/>
                <w:szCs w:val="18"/>
                <w:color w:val="auto"/>
              </w:rPr>
              <w:t>Maintenance capital</w:t>
            </w: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06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111</w:t>
            </w:r>
          </w:p>
        </w:tc>
        <w:tc>
          <w:tcPr>
            <w:tcW w:w="3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w:t>
            </w:r>
          </w:p>
        </w:tc>
        <w:tc>
          <w:tcPr>
            <w:tcW w:w="16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Nine Months Ended September 30, 2013</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External Customers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517</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558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30,542</w:t>
            </w:r>
          </w:p>
        </w:tc>
        <w:tc>
          <w:tcPr>
            <w:tcW w:w="50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31,617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594</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revenues of reportable segments</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1,111</w:t>
            </w:r>
          </w:p>
        </w:tc>
        <w:tc>
          <w:tcPr>
            <w:tcW w:w="3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983</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30,544</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32,638</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Equity earnings in unconsolidated entities</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w:t>
            </w:r>
          </w:p>
        </w:tc>
        <w:tc>
          <w:tcPr>
            <w:tcW w:w="3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vMerge w:val="restart"/>
          </w:tcPr>
          <w:p>
            <w:pPr>
              <w:spacing w:after="0" w:line="236" w:lineRule="exact"/>
              <w:rPr>
                <w:sz w:val="20"/>
                <w:szCs w:val="20"/>
                <w:color w:val="auto"/>
              </w:rPr>
            </w:pPr>
            <w:r>
              <w:rPr>
                <w:rFonts w:ascii="Arial" w:cs="Arial" w:eastAsia="Arial" w:hAnsi="Arial"/>
                <w:sz w:val="18"/>
                <w:szCs w:val="18"/>
                <w:color w:val="auto"/>
              </w:rPr>
              <w:t xml:space="preserve">Segment profit </w:t>
            </w:r>
            <w:r>
              <w:rPr>
                <w:rFonts w:ascii="Arial" w:cs="Arial" w:eastAsia="Arial" w:hAnsi="Arial"/>
                <w:sz w:val="23"/>
                <w:szCs w:val="23"/>
                <w:color w:val="auto"/>
                <w:vertAlign w:val="superscript"/>
              </w:rPr>
              <w:t>(3) (4)</w:t>
            </w: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06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522</w:t>
            </w:r>
          </w:p>
        </w:tc>
        <w:tc>
          <w:tcPr>
            <w:tcW w:w="30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445</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673</w:t>
            </w:r>
          </w:p>
        </w:tc>
        <w:tc>
          <w:tcPr>
            <w:tcW w:w="16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1,640</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Maintenance capital</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84</w:t>
            </w:r>
          </w:p>
        </w:tc>
        <w:tc>
          <w:tcPr>
            <w:tcW w:w="3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337"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300" w:hanging="11"/>
        <w:spacing w:after="0" w:line="342" w:lineRule="auto"/>
        <w:rPr>
          <w:sz w:val="20"/>
          <w:szCs w:val="20"/>
          <w:color w:val="auto"/>
        </w:rPr>
      </w:pPr>
      <w:r>
        <w:rPr>
          <w:rFonts w:ascii="Arial" w:cs="Arial" w:eastAsia="Arial" w:hAnsi="Arial"/>
          <w:sz w:val="16"/>
          <w:szCs w:val="16"/>
          <w:color w:val="auto"/>
        </w:rPr>
        <w:t>Effective January 1, 2014, our natural gas sales and costs, primarily attributable to the activities performed by our natural gas storage commercial optimization group, are reported in the Supply and Logistics segment. Such items were previously reported in the Facilities segment.</w:t>
      </w:r>
    </w:p>
    <w:p>
      <w:pPr>
        <w:spacing w:after="0" w:line="124" w:lineRule="exact"/>
        <w:rPr>
          <w:sz w:val="20"/>
          <w:szCs w:val="20"/>
          <w:color w:val="auto"/>
        </w:rPr>
      </w:pPr>
    </w:p>
    <w:p>
      <w:pPr>
        <w:ind w:left="20" w:right="20" w:hanging="11"/>
        <w:spacing w:after="0" w:line="264" w:lineRule="auto"/>
        <w:rPr>
          <w:sz w:val="20"/>
          <w:szCs w:val="20"/>
          <w:color w:val="auto"/>
        </w:rPr>
      </w:pPr>
      <w:r>
        <w:rPr>
          <w:rFonts w:ascii="Arial" w:cs="Arial" w:eastAsia="Arial" w:hAnsi="Arial"/>
          <w:sz w:val="18"/>
          <w:szCs w:val="18"/>
          <w:color w:val="auto"/>
        </w:rPr>
        <w:t>Segment revenues and purchases and related costs include intersegment amounts. Intersegment sales are conducted at posted tariff rates, rates similar to those charged to third parties or rates that we believe approximate market. For further discussion, see “Analysis of Operating Segments” under Item 7 of our 2013 Annual Report on Form 10-K.</w:t>
      </w:r>
    </w:p>
    <w:p>
      <w:pPr>
        <w:spacing w:after="0" w:line="181" w:lineRule="exact"/>
        <w:rPr>
          <w:sz w:val="20"/>
          <w:szCs w:val="20"/>
          <w:color w:val="auto"/>
        </w:rPr>
      </w:pPr>
    </w:p>
    <w:p>
      <w:pPr>
        <w:ind w:left="20" w:right="40" w:hanging="11"/>
        <w:spacing w:after="0" w:line="264" w:lineRule="auto"/>
        <w:rPr>
          <w:sz w:val="20"/>
          <w:szCs w:val="20"/>
          <w:color w:val="auto"/>
        </w:rPr>
      </w:pPr>
      <w:r>
        <w:rPr>
          <w:rFonts w:ascii="Arial" w:cs="Arial" w:eastAsia="Arial" w:hAnsi="Arial"/>
          <w:sz w:val="18"/>
          <w:szCs w:val="18"/>
          <w:color w:val="auto"/>
        </w:rPr>
        <w:t>Supply and Logistics segment profit includes interest expense (related to hedged inventory purchases) of $4 million and $8 million for the three months ended September 30, 2014 and 2013, respectively, and $11 million and $21 million for the nine months ended September 30, 2014 and 2013, respectively.</w:t>
      </w:r>
    </w:p>
    <w:p>
      <w:pPr>
        <w:spacing w:after="0" w:line="181"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80"/>
          </w:cols>
          <w:pgMar w:left="240" w:top="337" w:right="239" w:bottom="0" w:gutter="0" w:footer="0" w:header="0"/>
          <w:type w:val="continuous"/>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4" w:lineRule="exact"/>
        <w:rPr>
          <w:sz w:val="20"/>
          <w:szCs w:val="20"/>
          <w:color w:val="auto"/>
        </w:rPr>
      </w:pPr>
    </w:p>
    <w:p>
      <w:pPr>
        <w:ind w:left="640" w:hanging="632"/>
        <w:spacing w:after="0"/>
        <w:tabs>
          <w:tab w:leader="none" w:pos="640"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The following table reconciles segment profit to net income attributable to PAA (in millions):</w:t>
      </w:r>
    </w:p>
    <w:p>
      <w:pPr>
        <w:sectPr>
          <w:pgSz w:w="11900" w:h="16838" w:orient="portrait"/>
          <w:cols w:equalWidth="0" w:num="1">
            <w:col w:w="11420"/>
          </w:cols>
          <w:pgMar w:left="240" w:top="337" w:right="239" w:bottom="0" w:gutter="0" w:footer="0" w:header="0"/>
          <w:type w:val="continuous"/>
        </w:sectPr>
      </w:pPr>
    </w:p>
    <w:bookmarkStart w:id="18" w:name="page19"/>
    <w:bookmarkEnd w:id="18"/>
    <w:tbl>
      <w:tblPr>
        <w:tblLayout w:type="fixed"/>
        <w:tblInd w:w="66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2360" w:type="dxa"/>
            <w:vAlign w:val="bottom"/>
            <w:gridSpan w:val="5"/>
          </w:tcPr>
          <w:p>
            <w:pPr>
              <w:jc w:val="right"/>
              <w:ind w:right="265"/>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gridSpan w:val="5"/>
          </w:tcPr>
          <w:p>
            <w:pPr>
              <w:jc w:val="right"/>
              <w:ind w:right="190"/>
              <w:spacing w:after="0"/>
              <w:rPr>
                <w:sz w:val="20"/>
                <w:szCs w:val="20"/>
                <w:color w:val="auto"/>
              </w:rPr>
            </w:pPr>
            <w:r>
              <w:rPr>
                <w:rFonts w:ascii="Arial" w:cs="Arial" w:eastAsia="Arial" w:hAnsi="Arial"/>
                <w:sz w:val="14"/>
                <w:szCs w:val="14"/>
                <w:b w:val="1"/>
                <w:bCs w:val="1"/>
                <w:color w:val="auto"/>
              </w:rPr>
              <w:t>Nine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9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485"/>
              <w:spacing w:after="0"/>
              <w:rPr>
                <w:sz w:val="20"/>
                <w:szCs w:val="20"/>
                <w:color w:val="auto"/>
              </w:rPr>
            </w:pPr>
            <w:r>
              <w:rPr>
                <w:rFonts w:ascii="Arial" w:cs="Arial" w:eastAsia="Arial" w:hAnsi="Arial"/>
                <w:sz w:val="14"/>
                <w:szCs w:val="14"/>
                <w:b w:val="1"/>
                <w:bCs w:val="1"/>
                <w:color w:val="auto"/>
                <w:w w:val="96"/>
              </w:rPr>
              <w:t>September 30,</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4"/>
                <w:szCs w:val="14"/>
                <w:b w:val="1"/>
                <w:bCs w:val="1"/>
                <w:color w:val="auto"/>
                <w:w w:val="98"/>
              </w:rPr>
              <w:t>September 30,</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960" w:type="dxa"/>
            <w:vAlign w:val="bottom"/>
          </w:tcPr>
          <w:p>
            <w:pPr>
              <w:spacing w:after="0"/>
              <w:rPr>
                <w:sz w:val="12"/>
                <w:szCs w:val="12"/>
                <w:color w:val="auto"/>
              </w:rPr>
            </w:pPr>
          </w:p>
        </w:tc>
        <w:tc>
          <w:tcPr>
            <w:tcW w:w="860" w:type="dxa"/>
            <w:vAlign w:val="bottom"/>
          </w:tcPr>
          <w:p>
            <w:pPr>
              <w:jc w:val="right"/>
              <w:ind w:right="7"/>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45"/>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860" w:type="dxa"/>
            <w:vAlign w:val="bottom"/>
            <w:tcBorders>
              <w:top w:val="single" w:sz="8" w:color="auto"/>
            </w:tcBorders>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45"/>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1,627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1,640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6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(293)</w:t>
            </w: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(265)</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w:t>
            </w: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Other income/(expense), net</w:t>
            </w:r>
          </w:p>
        </w:tc>
        <w:tc>
          <w:tcPr>
            <w:tcW w:w="86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0"/>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tax</w:t>
            </w:r>
          </w:p>
        </w:tc>
        <w:tc>
          <w:tcPr>
            <w:tcW w:w="8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1,086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Income tax expense</w:t>
            </w:r>
          </w:p>
        </w:tc>
        <w:tc>
          <w:tcPr>
            <w:tcW w:w="86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r>
      <w:tr>
        <w:trPr>
          <w:trHeight w:val="210"/>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8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60" w:type="dxa"/>
            <w:vAlign w:val="bottom"/>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86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r>
      <w:tr>
        <w:trPr>
          <w:trHeight w:val="210"/>
        </w:trPr>
        <w:tc>
          <w:tcPr>
            <w:tcW w:w="4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PAA</w:t>
            </w:r>
          </w:p>
        </w:tc>
        <w:tc>
          <w:tcPr>
            <w:tcW w:w="860" w:type="dxa"/>
            <w:vAlign w:val="bottom"/>
            <w:tcBorders>
              <w:top w:val="single" w:sz="8" w:color="auto"/>
              <w:bottom w:val="single" w:sz="8" w:color="auto"/>
            </w:tcBorders>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45"/>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1,052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9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13—Related Party Transactions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See Note 14 to our Consolidated Financial Statements included in Part IV of our 2013 Annual Report on Form 10-K for a complete discussion of our related party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Occidental Petroleum Corporation</w:t>
      </w:r>
    </w:p>
    <w:p>
      <w:pPr>
        <w:spacing w:after="0" w:line="225"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As of September 30, 2014, a subsidiary of Occidental Petroleum Corporation (“Oxy”) owned approximately 25% of our general partner and had a representative on the board of directors of GP LLC. During the three and nine months ended September 30, 2014 and 2013, we recognized sales and transportation revenues and purchased petroleum products from companies affiliated with Oxy. These transactions were conducted at posted tariff rates or prices that we believe approximate market. See detail below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gridSpan w:val="3"/>
          </w:tcPr>
          <w:p>
            <w:pPr>
              <w:jc w:val="center"/>
              <w:ind w:left="461"/>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center"/>
              <w:ind w:left="461"/>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61"/>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w w:val="89"/>
              </w:rPr>
              <w:t>2013</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61"/>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5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w w:val="79"/>
              </w:rPr>
              <w:t>369</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Purchases and related costs</w:t>
            </w:r>
          </w:p>
        </w:tc>
        <w:tc>
          <w:tcPr>
            <w:tcW w:w="18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233</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w:t>
            </w:r>
          </w:p>
        </w:tc>
        <w:tc>
          <w:tcPr>
            <w:tcW w:w="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701</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currently have a netting arrangement with Oxy. Our gross receivable and payable amounts with affiliates of Oxy were as follows (in millions):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20" w:type="dxa"/>
            <w:vAlign w:val="bottom"/>
            <w:tcBorders>
              <w:bottom w:val="single" w:sz="8" w:color="CCEEFF"/>
            </w:tcBorders>
          </w:tcPr>
          <w:p>
            <w:pPr>
              <w:spacing w:after="0"/>
              <w:rPr>
                <w:sz w:val="14"/>
                <w:szCs w:val="14"/>
                <w:color w:val="auto"/>
              </w:rPr>
            </w:pPr>
          </w:p>
        </w:tc>
        <w:tc>
          <w:tcPr>
            <w:tcW w:w="30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 and other receivables</w:t>
            </w:r>
          </w:p>
        </w:tc>
        <w:tc>
          <w:tcPr>
            <w:tcW w:w="30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080" w:type="dxa"/>
            <w:vAlign w:val="bottom"/>
          </w:tcPr>
          <w:p>
            <w:pPr>
              <w:jc w:val="right"/>
              <w:ind w:right="1730"/>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520" w:type="dxa"/>
            <w:vAlign w:val="bottom"/>
            <w:tcBorders>
              <w:bottom w:val="single" w:sz="8" w:color="010101"/>
            </w:tcBorders>
          </w:tcPr>
          <w:p>
            <w:pPr>
              <w:spacing w:after="0"/>
              <w:rPr>
                <w:sz w:val="11"/>
                <w:szCs w:val="11"/>
                <w:color w:val="auto"/>
              </w:rPr>
            </w:pPr>
          </w:p>
        </w:tc>
        <w:tc>
          <w:tcPr>
            <w:tcW w:w="30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4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4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14—Subsequent Events</w:t>
      </w:r>
    </w:p>
    <w:p>
      <w:pPr>
        <w:spacing w:after="0" w:line="229" w:lineRule="exact"/>
        <w:rPr>
          <w:sz w:val="20"/>
          <w:szCs w:val="20"/>
          <w:color w:val="auto"/>
        </w:rPr>
      </w:pPr>
    </w:p>
    <w:p>
      <w:pPr>
        <w:jc w:val="both"/>
        <w:ind w:right="60" w:firstLine="648"/>
        <w:spacing w:after="0" w:line="293" w:lineRule="auto"/>
        <w:rPr>
          <w:sz w:val="20"/>
          <w:szCs w:val="20"/>
          <w:color w:val="auto"/>
        </w:rPr>
      </w:pPr>
      <w:r>
        <w:rPr>
          <w:rFonts w:ascii="Arial" w:cs="Arial" w:eastAsia="Arial" w:hAnsi="Arial"/>
          <w:sz w:val="16"/>
          <w:szCs w:val="16"/>
          <w:color w:val="auto"/>
        </w:rPr>
        <w:t>As of November 5, 2014, we entered into a definitive purchase and sale agreement with Oxy that provides for our purchase of Oxy’s 50% interest in BridgeTex Pipeline Company LLC (“BridgeTex”) for $1.075 billion. BridgeTex owns a 300,000 barrel-per-day crude oil pipeline (“BridgeTex Pipeline”) that extends from Colorado City in West Texas to Texas City. The remaining 50% interest in BridgeTex is owned by Magellan Midstream Partners, L.P. (“MMP”), which is also the operator of the BridgeTex Pipeline. Contemporaneous with the purchase by us of Oxy’s 50% interest in BridgeTex, BridgeTex has agreed to sell the southern leg of the pipeline system which runs from Houston to Texas City (the “Texas City Leg”) to MMP, and MMP has agreed to enter into a long term capacity lease with BridgeTex pursuant to which BridgeTex shippers will have access to capacity on the Texas City Leg.</w:t>
      </w:r>
    </w:p>
    <w:p>
      <w:pPr>
        <w:spacing w:after="0" w:line="165"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In addition to customary closing conditions and the contemporaneous consummation of the sale of the Texas City Leg and execution of the capacity lease, our acquisition of Oxy’s 50% interest in BridgeTex is subject to the completion by PAGP, prior to December 31, 2014, of an underwritten secondary offering pursuant to which Oxy would sell a portion of its equity interest in PAGP. In order to facilitate such offering and the overall transaction, (i) the board of directors of PAGP’s general partner has agreed to an early release of the 15-month lock-up arrangement that was originally imposed on certain PAGP equity owners, including Oxy, in connection with PAGP’s initial public offering in October 2013, (ii) certain affiliates of Kayne Anderson Investment Management, Inc., The Energy &amp; Minerals Group and PAA Management, L.P. have agreed to waive their participation rights in such offering and (iii) Oxy, certain affiliates of Kayne Anderson Investment Management, Inc., The Energy &amp; Minerals Group and PAA Management, L.P. have agreed to refrain from selling any of their respective interests in PAGP for a period of up to 90 days following such offering. If an offering is not completed prior to December 31, 2014, both PAA and Oxy have the right to terminate the purchase and sale agreement.</w:t>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2013 Annual Report on Form 10-K. For more detailed information regarding the basis of</w:t>
      </w:r>
    </w:p>
    <w:p>
      <w:pPr>
        <w:sectPr>
          <w:pgSz w:w="11900" w:h="16838" w:orient="portrait"/>
          <w:cols w:equalWidth="0" w:num="1">
            <w:col w:w="11460"/>
          </w:cols>
          <w:pgMar w:left="240" w:top="320" w:right="199" w:bottom="0" w:gutter="0" w:footer="0" w:header="0"/>
        </w:sectPr>
      </w:pPr>
    </w:p>
    <w:bookmarkStart w:id="19" w:name="page20"/>
    <w:bookmarkEnd w:id="19"/>
    <w:p>
      <w:pPr>
        <w:ind w:right="100"/>
        <w:spacing w:after="0" w:line="277" w:lineRule="auto"/>
        <w:rPr>
          <w:sz w:val="20"/>
          <w:szCs w:val="20"/>
          <w:color w:val="auto"/>
        </w:rPr>
      </w:pPr>
      <w:r>
        <w:rPr>
          <w:rFonts w:ascii="Arial" w:cs="Arial" w:eastAsia="Arial" w:hAnsi="Arial"/>
          <w:sz w:val="18"/>
          <w:szCs w:val="18"/>
          <w:color w:val="auto"/>
        </w:rPr>
        <w:t>presentation for the following financial information, see the condensed consolidated financial statements and related notes that are contained in Part I, Item 1 of this Quarterly Report on Form 10-Q.</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discussion and analysis includes the following:</w:t>
      </w:r>
    </w:p>
    <w:p>
      <w:pPr>
        <w:spacing w:after="0" w:line="225" w:lineRule="exact"/>
        <w:rPr>
          <w:sz w:val="20"/>
          <w:szCs w:val="20"/>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Acquisitions and Internal Growth Projects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We own and operate midstream energy infrastructure and provide logistics services for crude oil, NGL, natural gas and refined products. We own an extensive network of pipeline transportation, terminalling, storage and gathering assets in key crude oil and NGL producing basins and transportation corridors and at major market hubs in the United States and Canada. We were formed in 1998, and our operations are conducted directly and indirectly through our operating subsidiaries and are managed through three operating segments: (i) Transportation, (ii) Facilities and (iii) Supply and Logistics.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Operating Results, Capital Investments and Significant Activities</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During the first nine months of 2014, we recognized net income attributable to PAA of $994 million as compared to net income attributable to PAA of $1.052 billion recognized during the first nine months of 2013. These results include total segment profit that was relatively flat between periods, but higher costs as discussed further below.</w:t>
      </w:r>
    </w:p>
    <w:p>
      <w:pPr>
        <w:spacing w:after="0" w:line="181"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Our segment profit includes favorable results from our Transportation segment, primarily driven by the continued increase in North American crude oil production and our related, recently completed internal growth projects. These favorable results were offset by less favorable results from our NGL marketing activities in our Supply and Logistics segment, partially offset by a favorable period-over-period impact from the mark-to-market of derivative instruments. Our results were also impacted by decreased margins from our crude oil marketing activities; however, these unfavorable results were primarily attributable to the comparative first-quarter periods, as we experienced more favorable results in the second and third quarters of 2014. In addition, our Facilities and Supply and Logistics segments were negatively impacted by costs incurred in our natural gas storage activities to manage deliverability requirements in conjunction with the severe cold weather experienced during the first quarter of 2014.</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significant items during the period were:</w:t>
      </w:r>
    </w:p>
    <w:p>
      <w:pPr>
        <w:spacing w:after="0" w:line="225" w:lineRule="exact"/>
        <w:rPr>
          <w:sz w:val="20"/>
          <w:szCs w:val="20"/>
          <w:color w:val="auto"/>
        </w:rPr>
      </w:pPr>
    </w:p>
    <w:p>
      <w:pPr>
        <w:ind w:left="980" w:right="280" w:hanging="324"/>
        <w:spacing w:after="0" w:line="277" w:lineRule="auto"/>
        <w:tabs>
          <w:tab w:leader="none" w:pos="9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depreciation and amortization expense resulting from internal growth projects completed since September 30, 2013 and accelerated depreciation on certain pipeline assets;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interest expense resulting from higher average debt outstanding during the 2014 period;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income tax expense resulting from higher year over year earnings from our taxable Canadian operations;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reduction in net income attributable to noncontrolling interests.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Internal Growth Projects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summarizes our capital expenditures for acquisitions, internal growth projects and maintenance capital for the periods indicated (in millions):</w:t>
      </w:r>
    </w:p>
    <w:p>
      <w:pPr>
        <w:spacing w:after="0" w:line="162" w:lineRule="exact"/>
        <w:rPr>
          <w:sz w:val="20"/>
          <w:szCs w:val="20"/>
          <w:color w:val="auto"/>
        </w:rPr>
      </w:pPr>
    </w:p>
    <w:p>
      <w:pPr>
        <w:jc w:val="center"/>
        <w:ind w:left="7500"/>
        <w:spacing w:after="0"/>
        <w:rPr>
          <w:sz w:val="20"/>
          <w:szCs w:val="20"/>
          <w:color w:val="auto"/>
        </w:rPr>
      </w:pPr>
      <w:r>
        <w:rPr>
          <w:rFonts w:ascii="Arial" w:cs="Arial" w:eastAsia="Arial" w:hAnsi="Arial"/>
          <w:sz w:val="14"/>
          <w:szCs w:val="14"/>
          <w:b w:val="1"/>
          <w:bCs w:val="1"/>
          <w:color w:val="auto"/>
        </w:rPr>
        <w:t>Nine Months Ended</w:t>
      </w:r>
    </w:p>
    <w:p>
      <w:pPr>
        <w:jc w:val="center"/>
        <w:ind w:left="750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680" w:type="dxa"/>
            <w:vAlign w:val="bottom"/>
            <w:tcBorders>
              <w:bottom w:val="single" w:sz="8" w:color="CCEEFF"/>
            </w:tcBorders>
          </w:tcPr>
          <w:p>
            <w:pPr>
              <w:spacing w:after="0"/>
              <w:rPr>
                <w:sz w:val="12"/>
                <w:szCs w:val="12"/>
                <w:color w:val="auto"/>
              </w:rPr>
            </w:pPr>
          </w:p>
        </w:tc>
        <w:tc>
          <w:tcPr>
            <w:tcW w:w="2940" w:type="dxa"/>
            <w:vAlign w:val="bottom"/>
            <w:tcBorders>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66"/>
              <w:spacing w:after="0" w:line="142" w:lineRule="exact"/>
              <w:rPr>
                <w:sz w:val="20"/>
                <w:szCs w:val="20"/>
                <w:color w:val="auto"/>
              </w:rPr>
            </w:pPr>
            <w:r>
              <w:rPr>
                <w:rFonts w:ascii="Arial" w:cs="Arial" w:eastAsia="Arial" w:hAnsi="Arial"/>
                <w:sz w:val="14"/>
                <w:szCs w:val="14"/>
                <w:b w:val="1"/>
                <w:bCs w:val="1"/>
                <w:color w:val="auto"/>
              </w:rPr>
              <w:t>2014</w:t>
            </w:r>
          </w:p>
        </w:tc>
        <w:tc>
          <w:tcPr>
            <w:tcW w:w="5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614"/>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Acquisition capital</w:t>
            </w:r>
          </w:p>
        </w:tc>
        <w:tc>
          <w:tcPr>
            <w:tcW w:w="29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86"/>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Internal growth projects</w:t>
            </w:r>
          </w:p>
        </w:tc>
        <w:tc>
          <w:tcPr>
            <w:tcW w:w="2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1,552</w:t>
            </w:r>
          </w:p>
        </w:tc>
        <w:tc>
          <w:tcPr>
            <w:tcW w:w="4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1,253</w:t>
            </w:r>
          </w:p>
        </w:tc>
        <w:tc>
          <w:tcPr>
            <w:tcW w:w="8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Maintenance capital</w:t>
            </w:r>
          </w:p>
        </w:tc>
        <w:tc>
          <w:tcPr>
            <w:tcW w:w="29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151</w:t>
            </w:r>
          </w:p>
        </w:tc>
        <w:tc>
          <w:tcPr>
            <w:tcW w:w="4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18"/>
                <w:szCs w:val="18"/>
                <w:color w:val="auto"/>
              </w:rPr>
            </w:pPr>
          </w:p>
        </w:tc>
      </w:tr>
      <w:tr>
        <w:trPr>
          <w:trHeight w:val="210"/>
        </w:trPr>
        <w:tc>
          <w:tcPr>
            <w:tcW w:w="4680" w:type="dxa"/>
            <w:vAlign w:val="bottom"/>
          </w:tcPr>
          <w:p>
            <w:pPr>
              <w:ind w:left="180"/>
              <w:spacing w:after="0"/>
              <w:rPr>
                <w:sz w:val="20"/>
                <w:szCs w:val="20"/>
                <w:color w:val="auto"/>
              </w:rPr>
            </w:pPr>
            <w:r>
              <w:rPr>
                <w:rFonts w:ascii="Arial" w:cs="Arial" w:eastAsia="Arial" w:hAnsi="Arial"/>
                <w:sz w:val="18"/>
                <w:szCs w:val="18"/>
                <w:color w:val="auto"/>
              </w:rPr>
              <w:t>Total</w:t>
            </w:r>
          </w:p>
        </w:tc>
        <w:tc>
          <w:tcPr>
            <w:tcW w:w="294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986"/>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1,713</w:t>
            </w:r>
          </w:p>
        </w:tc>
        <w:tc>
          <w:tcPr>
            <w:tcW w:w="3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6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Growth Projects</w:t>
      </w:r>
    </w:p>
    <w:p>
      <w:pPr>
        <w:sectPr>
          <w:pgSz w:w="11900" w:h="16838" w:orient="portrait"/>
          <w:cols w:equalWidth="0" w:num="1">
            <w:col w:w="11420"/>
          </w:cols>
          <w:pgMar w:left="240" w:top="125" w:right="239" w:bottom="221" w:gutter="0" w:footer="0" w:header="0"/>
        </w:sectPr>
      </w:pPr>
    </w:p>
    <w:bookmarkStart w:id="20" w:name="page21"/>
    <w:bookmarkEnd w:id="20"/>
    <w:p>
      <w:pPr>
        <w:spacing w:after="0" w:line="15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summarizes our more notable projects in progress during 2014 and the forecasted expenditures for the year ending December 31, 2014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940" w:type="dxa"/>
            <w:vAlign w:val="bottom"/>
            <w:gridSpan w:val="2"/>
          </w:tcPr>
          <w:p>
            <w:pPr>
              <w:spacing w:after="0"/>
              <w:rPr>
                <w:sz w:val="20"/>
                <w:szCs w:val="20"/>
                <w:color w:val="auto"/>
              </w:rPr>
            </w:pPr>
            <w:r>
              <w:rPr>
                <w:rFonts w:ascii="Arial" w:cs="Arial" w:eastAsia="Arial" w:hAnsi="Arial"/>
                <w:sz w:val="14"/>
                <w:szCs w:val="14"/>
                <w:b w:val="1"/>
                <w:bCs w:val="1"/>
                <w:color w:val="auto"/>
              </w:rPr>
              <w:t>Projects</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4"/>
                <w:szCs w:val="14"/>
                <w:color w:val="auto"/>
              </w:rPr>
            </w:pPr>
          </w:p>
        </w:tc>
      </w:tr>
      <w:tr>
        <w:trPr>
          <w:trHeight w:val="210"/>
        </w:trPr>
        <w:tc>
          <w:tcPr>
            <w:tcW w:w="9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Permian Basin Area Projects</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940" w:type="dxa"/>
            <w:vAlign w:val="bottom"/>
            <w:gridSpan w:val="2"/>
          </w:tcPr>
          <w:p>
            <w:pPr>
              <w:spacing w:after="0"/>
              <w:rPr>
                <w:sz w:val="20"/>
                <w:szCs w:val="20"/>
                <w:color w:val="auto"/>
              </w:rPr>
            </w:pPr>
            <w:r>
              <w:rPr>
                <w:rFonts w:ascii="Arial" w:cs="Arial" w:eastAsia="Arial" w:hAnsi="Arial"/>
                <w:sz w:val="18"/>
                <w:szCs w:val="18"/>
                <w:color w:val="auto"/>
              </w:rPr>
              <w:t>Cactus Pipeline</w:t>
            </w:r>
          </w:p>
        </w:tc>
        <w:tc>
          <w:tcPr>
            <w:tcW w:w="1380" w:type="dxa"/>
            <w:vAlign w:val="bottom"/>
          </w:tcPr>
          <w:p>
            <w:pPr>
              <w:jc w:val="center"/>
              <w:spacing w:after="0"/>
              <w:rPr>
                <w:sz w:val="20"/>
                <w:szCs w:val="20"/>
                <w:color w:val="auto"/>
              </w:rPr>
            </w:pPr>
            <w:r>
              <w:rPr>
                <w:rFonts w:ascii="Arial" w:cs="Arial" w:eastAsia="Arial" w:hAnsi="Arial"/>
                <w:sz w:val="18"/>
                <w:szCs w:val="18"/>
                <w:color w:val="auto"/>
                <w:w w:val="86"/>
              </w:rPr>
              <w:t>350</w:t>
            </w:r>
          </w:p>
        </w:tc>
        <w:tc>
          <w:tcPr>
            <w:tcW w:w="100" w:type="dxa"/>
            <w:vAlign w:val="bottom"/>
          </w:tcPr>
          <w:p>
            <w:pPr>
              <w:spacing w:after="0"/>
              <w:rPr>
                <w:sz w:val="18"/>
                <w:szCs w:val="18"/>
                <w:color w:val="auto"/>
              </w:rPr>
            </w:pPr>
          </w:p>
        </w:tc>
      </w:tr>
      <w:tr>
        <w:trPr>
          <w:trHeight w:val="216"/>
        </w:trPr>
        <w:tc>
          <w:tcPr>
            <w:tcW w:w="99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Rail Terminal Projects </w:t>
            </w:r>
            <w:r>
              <w:rPr>
                <w:rFonts w:ascii="Arial" w:cs="Arial" w:eastAsia="Arial" w:hAnsi="Arial"/>
                <w:sz w:val="23"/>
                <w:szCs w:val="23"/>
                <w:color w:val="auto"/>
                <w:vertAlign w:val="superscript"/>
              </w:rPr>
              <w:t>(1)</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235</w:t>
            </w:r>
          </w:p>
        </w:tc>
        <w:tc>
          <w:tcPr>
            <w:tcW w:w="100" w:type="dxa"/>
            <w:vAlign w:val="bottom"/>
            <w:shd w:val="clear" w:color="auto" w:fill="CCEEFF"/>
          </w:tcPr>
          <w:p>
            <w:pPr>
              <w:spacing w:after="0"/>
              <w:rPr>
                <w:sz w:val="18"/>
                <w:szCs w:val="18"/>
                <w:color w:val="auto"/>
              </w:rPr>
            </w:pPr>
          </w:p>
        </w:tc>
      </w:tr>
      <w:tr>
        <w:trPr>
          <w:trHeight w:val="216"/>
        </w:trPr>
        <w:tc>
          <w:tcPr>
            <w:tcW w:w="9940" w:type="dxa"/>
            <w:vAlign w:val="bottom"/>
            <w:gridSpan w:val="2"/>
          </w:tcPr>
          <w:p>
            <w:pPr>
              <w:spacing w:after="0"/>
              <w:rPr>
                <w:sz w:val="20"/>
                <w:szCs w:val="20"/>
                <w:color w:val="auto"/>
              </w:rPr>
            </w:pPr>
            <w:r>
              <w:rPr>
                <w:rFonts w:ascii="Arial" w:cs="Arial" w:eastAsia="Arial" w:hAnsi="Arial"/>
                <w:sz w:val="18"/>
                <w:szCs w:val="18"/>
                <w:color w:val="auto"/>
              </w:rPr>
              <w:t>Ft. Sask Facility Projects / NGL Line</w:t>
            </w:r>
          </w:p>
        </w:tc>
        <w:tc>
          <w:tcPr>
            <w:tcW w:w="1380" w:type="dxa"/>
            <w:vAlign w:val="bottom"/>
          </w:tcPr>
          <w:p>
            <w:pPr>
              <w:jc w:val="center"/>
              <w:spacing w:after="0"/>
              <w:rPr>
                <w:sz w:val="20"/>
                <w:szCs w:val="20"/>
                <w:color w:val="auto"/>
              </w:rPr>
            </w:pPr>
            <w:r>
              <w:rPr>
                <w:rFonts w:ascii="Arial" w:cs="Arial" w:eastAsia="Arial" w:hAnsi="Arial"/>
                <w:sz w:val="18"/>
                <w:szCs w:val="18"/>
                <w:color w:val="auto"/>
                <w:w w:val="86"/>
              </w:rPr>
              <w:t>130</w:t>
            </w:r>
          </w:p>
        </w:tc>
        <w:tc>
          <w:tcPr>
            <w:tcW w:w="100" w:type="dxa"/>
            <w:vAlign w:val="bottom"/>
          </w:tcPr>
          <w:p>
            <w:pPr>
              <w:spacing w:after="0"/>
              <w:rPr>
                <w:sz w:val="18"/>
                <w:szCs w:val="18"/>
                <w:color w:val="auto"/>
              </w:rPr>
            </w:pPr>
          </w:p>
        </w:tc>
      </w:tr>
      <w:tr>
        <w:trPr>
          <w:trHeight w:val="216"/>
        </w:trPr>
        <w:tc>
          <w:tcPr>
            <w:tcW w:w="9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Eagle Ford JV Project</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110</w:t>
            </w:r>
          </w:p>
        </w:tc>
        <w:tc>
          <w:tcPr>
            <w:tcW w:w="100" w:type="dxa"/>
            <w:vAlign w:val="bottom"/>
            <w:shd w:val="clear" w:color="auto" w:fill="CCEEFF"/>
          </w:tcPr>
          <w:p>
            <w:pPr>
              <w:spacing w:after="0"/>
              <w:rPr>
                <w:sz w:val="18"/>
                <w:szCs w:val="18"/>
                <w:color w:val="auto"/>
              </w:rPr>
            </w:pPr>
          </w:p>
        </w:tc>
      </w:tr>
      <w:tr>
        <w:trPr>
          <w:trHeight w:val="216"/>
        </w:trPr>
        <w:tc>
          <w:tcPr>
            <w:tcW w:w="9940" w:type="dxa"/>
            <w:vAlign w:val="bottom"/>
            <w:gridSpan w:val="2"/>
          </w:tcPr>
          <w:p>
            <w:pPr>
              <w:spacing w:after="0"/>
              <w:rPr>
                <w:sz w:val="20"/>
                <w:szCs w:val="20"/>
                <w:color w:val="auto"/>
              </w:rPr>
            </w:pPr>
            <w:r>
              <w:rPr>
                <w:rFonts w:ascii="Arial" w:cs="Arial" w:eastAsia="Arial" w:hAnsi="Arial"/>
                <w:sz w:val="18"/>
                <w:szCs w:val="18"/>
                <w:color w:val="auto"/>
              </w:rPr>
              <w:t>Western Oklahoma Extension</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80</w:t>
            </w:r>
          </w:p>
        </w:tc>
        <w:tc>
          <w:tcPr>
            <w:tcW w:w="100" w:type="dxa"/>
            <w:vAlign w:val="bottom"/>
          </w:tcPr>
          <w:p>
            <w:pPr>
              <w:spacing w:after="0"/>
              <w:rPr>
                <w:sz w:val="18"/>
                <w:szCs w:val="18"/>
                <w:color w:val="auto"/>
              </w:rPr>
            </w:pPr>
          </w:p>
        </w:tc>
      </w:tr>
      <w:tr>
        <w:trPr>
          <w:trHeight w:val="216"/>
        </w:trPr>
        <w:tc>
          <w:tcPr>
            <w:tcW w:w="9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Mississippian Lime Pipeline</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100" w:type="dxa"/>
            <w:vAlign w:val="bottom"/>
            <w:shd w:val="clear" w:color="auto" w:fill="CCEEFF"/>
          </w:tcPr>
          <w:p>
            <w:pPr>
              <w:spacing w:after="0"/>
              <w:rPr>
                <w:sz w:val="18"/>
                <w:szCs w:val="18"/>
                <w:color w:val="auto"/>
              </w:rPr>
            </w:pPr>
          </w:p>
        </w:tc>
      </w:tr>
      <w:tr>
        <w:trPr>
          <w:trHeight w:val="216"/>
        </w:trPr>
        <w:tc>
          <w:tcPr>
            <w:tcW w:w="9940" w:type="dxa"/>
            <w:vAlign w:val="bottom"/>
            <w:gridSpan w:val="2"/>
          </w:tcPr>
          <w:p>
            <w:pPr>
              <w:spacing w:after="0"/>
              <w:rPr>
                <w:sz w:val="20"/>
                <w:szCs w:val="20"/>
                <w:color w:val="auto"/>
              </w:rPr>
            </w:pPr>
            <w:r>
              <w:rPr>
                <w:rFonts w:ascii="Arial" w:cs="Arial" w:eastAsia="Arial" w:hAnsi="Arial"/>
                <w:sz w:val="18"/>
                <w:szCs w:val="18"/>
                <w:color w:val="auto"/>
              </w:rPr>
              <w:t>White Cliffs Expansion</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100" w:type="dxa"/>
            <w:vAlign w:val="bottom"/>
          </w:tcPr>
          <w:p>
            <w:pPr>
              <w:spacing w:after="0"/>
              <w:rPr>
                <w:sz w:val="18"/>
                <w:szCs w:val="18"/>
                <w:color w:val="auto"/>
              </w:rPr>
            </w:pPr>
          </w:p>
        </w:tc>
      </w:tr>
      <w:tr>
        <w:trPr>
          <w:trHeight w:val="216"/>
        </w:trPr>
        <w:tc>
          <w:tcPr>
            <w:tcW w:w="9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Line 63 Reactivation</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35</w:t>
            </w:r>
          </w:p>
        </w:tc>
        <w:tc>
          <w:tcPr>
            <w:tcW w:w="100" w:type="dxa"/>
            <w:vAlign w:val="bottom"/>
            <w:shd w:val="clear" w:color="auto" w:fill="CCEEFF"/>
          </w:tcPr>
          <w:p>
            <w:pPr>
              <w:spacing w:after="0"/>
              <w:rPr>
                <w:sz w:val="18"/>
                <w:szCs w:val="18"/>
                <w:color w:val="auto"/>
              </w:rPr>
            </w:pPr>
          </w:p>
        </w:tc>
      </w:tr>
      <w:tr>
        <w:trPr>
          <w:trHeight w:val="216"/>
        </w:trPr>
        <w:tc>
          <w:tcPr>
            <w:tcW w:w="9940" w:type="dxa"/>
            <w:vAlign w:val="bottom"/>
            <w:gridSpan w:val="2"/>
          </w:tcPr>
          <w:p>
            <w:pPr>
              <w:spacing w:after="0"/>
              <w:rPr>
                <w:sz w:val="20"/>
                <w:szCs w:val="20"/>
                <w:color w:val="auto"/>
              </w:rPr>
            </w:pPr>
            <w:r>
              <w:rPr>
                <w:rFonts w:ascii="Arial" w:cs="Arial" w:eastAsia="Arial" w:hAnsi="Arial"/>
                <w:sz w:val="18"/>
                <w:szCs w:val="18"/>
                <w:color w:val="auto"/>
              </w:rPr>
              <w:t>Natural Gas Storage Expansions</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100" w:type="dxa"/>
            <w:vAlign w:val="bottom"/>
          </w:tcPr>
          <w:p>
            <w:pPr>
              <w:spacing w:after="0"/>
              <w:rPr>
                <w:sz w:val="18"/>
                <w:szCs w:val="18"/>
                <w:color w:val="auto"/>
              </w:rPr>
            </w:pPr>
          </w:p>
        </w:tc>
      </w:tr>
      <w:tr>
        <w:trPr>
          <w:trHeight w:val="216"/>
        </w:trPr>
        <w:tc>
          <w:tcPr>
            <w:tcW w:w="9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Diamond Pipeline</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w:t>
            </w:r>
          </w:p>
        </w:tc>
        <w:tc>
          <w:tcPr>
            <w:tcW w:w="100" w:type="dxa"/>
            <w:vAlign w:val="bottom"/>
            <w:shd w:val="clear" w:color="auto" w:fill="CCEEFF"/>
          </w:tcPr>
          <w:p>
            <w:pPr>
              <w:spacing w:after="0"/>
              <w:rPr>
                <w:sz w:val="18"/>
                <w:szCs w:val="18"/>
                <w:color w:val="auto"/>
              </w:rPr>
            </w:pPr>
          </w:p>
        </w:tc>
      </w:tr>
      <w:tr>
        <w:trPr>
          <w:trHeight w:val="216"/>
        </w:trPr>
        <w:tc>
          <w:tcPr>
            <w:tcW w:w="9940" w:type="dxa"/>
            <w:vAlign w:val="bottom"/>
            <w:gridSpan w:val="2"/>
          </w:tcPr>
          <w:p>
            <w:pPr>
              <w:spacing w:after="0"/>
              <w:rPr>
                <w:sz w:val="20"/>
                <w:szCs w:val="20"/>
                <w:color w:val="auto"/>
              </w:rPr>
            </w:pPr>
            <w:r>
              <w:rPr>
                <w:rFonts w:ascii="Arial" w:cs="Arial" w:eastAsia="Arial" w:hAnsi="Arial"/>
                <w:sz w:val="18"/>
                <w:szCs w:val="18"/>
                <w:color w:val="auto"/>
              </w:rPr>
              <w:t>St. James Facility Expansions</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100" w:type="dxa"/>
            <w:vAlign w:val="bottom"/>
          </w:tcPr>
          <w:p>
            <w:pPr>
              <w:spacing w:after="0"/>
              <w:rPr>
                <w:sz w:val="18"/>
                <w:szCs w:val="18"/>
                <w:color w:val="auto"/>
              </w:rPr>
            </w:pPr>
          </w:p>
        </w:tc>
      </w:tr>
      <w:tr>
        <w:trPr>
          <w:trHeight w:val="216"/>
        </w:trPr>
        <w:tc>
          <w:tcPr>
            <w:tcW w:w="9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Projects</w:t>
            </w:r>
          </w:p>
        </w:tc>
        <w:tc>
          <w:tcPr>
            <w:tcW w:w="1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505</w:t>
            </w:r>
          </w:p>
        </w:tc>
        <w:tc>
          <w:tcPr>
            <w:tcW w:w="100" w:type="dxa"/>
            <w:vAlign w:val="bottom"/>
            <w:shd w:val="clear" w:color="auto" w:fill="CCEEFF"/>
          </w:tcPr>
          <w:p>
            <w:pPr>
              <w:spacing w:after="0"/>
              <w:rPr>
                <w:sz w:val="18"/>
                <w:szCs w:val="18"/>
                <w:color w:val="auto"/>
              </w:rPr>
            </w:pPr>
          </w:p>
        </w:tc>
      </w:tr>
      <w:tr>
        <w:trPr>
          <w:trHeight w:val="210"/>
        </w:trPr>
        <w:tc>
          <w:tcPr>
            <w:tcW w:w="9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$2,050</w:t>
            </w:r>
          </w:p>
        </w:tc>
        <w:tc>
          <w:tcPr>
            <w:tcW w:w="100" w:type="dxa"/>
            <w:vAlign w:val="bottom"/>
          </w:tcPr>
          <w:p>
            <w:pPr>
              <w:spacing w:after="0"/>
              <w:rPr>
                <w:sz w:val="18"/>
                <w:szCs w:val="18"/>
                <w:color w:val="auto"/>
              </w:rPr>
            </w:pPr>
          </w:p>
        </w:tc>
      </w:tr>
      <w:tr>
        <w:trPr>
          <w:trHeight w:val="216"/>
        </w:trPr>
        <w:tc>
          <w:tcPr>
            <w:tcW w:w="99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Potential Adjustments for Timing / Scope Refinement </w:t>
            </w:r>
            <w:r>
              <w:rPr>
                <w:rFonts w:ascii="Arial" w:cs="Arial" w:eastAsia="Arial" w:hAnsi="Arial"/>
                <w:sz w:val="23"/>
                <w:szCs w:val="23"/>
                <w:color w:val="auto"/>
                <w:vertAlign w:val="superscript"/>
              </w:rPr>
              <w:t>(2)</w:t>
            </w:r>
          </w:p>
        </w:tc>
        <w:tc>
          <w:tcPr>
            <w:tcW w:w="1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 + $100</w:t>
            </w:r>
          </w:p>
        </w:tc>
        <w:tc>
          <w:tcPr>
            <w:tcW w:w="100" w:type="dxa"/>
            <w:vAlign w:val="bottom"/>
            <w:shd w:val="clear" w:color="auto" w:fill="CCEEFF"/>
          </w:tcPr>
          <w:p>
            <w:pPr>
              <w:spacing w:after="0"/>
              <w:rPr>
                <w:sz w:val="18"/>
                <w:szCs w:val="18"/>
                <w:color w:val="auto"/>
              </w:rPr>
            </w:pPr>
          </w:p>
        </w:tc>
      </w:tr>
      <w:tr>
        <w:trPr>
          <w:trHeight w:val="210"/>
        </w:trPr>
        <w:tc>
          <w:tcPr>
            <w:tcW w:w="9940" w:type="dxa"/>
            <w:vAlign w:val="bottom"/>
            <w:gridSpan w:val="2"/>
          </w:tcPr>
          <w:p>
            <w:pPr>
              <w:ind w:left="180"/>
              <w:spacing w:after="0"/>
              <w:rPr>
                <w:sz w:val="20"/>
                <w:szCs w:val="20"/>
                <w:color w:val="auto"/>
              </w:rPr>
            </w:pPr>
            <w:r>
              <w:rPr>
                <w:rFonts w:ascii="Arial" w:cs="Arial" w:eastAsia="Arial" w:hAnsi="Arial"/>
                <w:sz w:val="18"/>
                <w:szCs w:val="18"/>
                <w:color w:val="auto"/>
              </w:rPr>
              <w:t>Total Projected Expansion Capital Expenditures</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$1,950 - $2,150</w:t>
            </w:r>
          </w:p>
        </w:tc>
        <w:tc>
          <w:tcPr>
            <w:tcW w:w="100" w:type="dxa"/>
            <w:vAlign w:val="bottom"/>
          </w:tcPr>
          <w:p>
            <w:pPr>
              <w:spacing w:after="0"/>
              <w:rPr>
                <w:sz w:val="18"/>
                <w:szCs w:val="18"/>
                <w:color w:val="auto"/>
              </w:rPr>
            </w:pPr>
          </w:p>
        </w:tc>
      </w:tr>
      <w:tr>
        <w:trPr>
          <w:trHeight w:val="20"/>
        </w:trPr>
        <w:tc>
          <w:tcPr>
            <w:tcW w:w="9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989"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Includes projects located in or near Bakersfield, CA; Carr, CO; Van Hook, ND; and Kerrobert, Canada.</w:t>
      </w:r>
    </w:p>
    <w:p>
      <w:pPr>
        <w:spacing w:after="0" w:line="225" w:lineRule="exact"/>
        <w:rPr>
          <w:sz w:val="20"/>
          <w:szCs w:val="20"/>
          <w:color w:val="auto"/>
        </w:rPr>
      </w:pPr>
    </w:p>
    <w:p>
      <w:pPr>
        <w:ind w:left="20" w:right="620" w:hanging="11"/>
        <w:spacing w:after="0" w:line="277" w:lineRule="auto"/>
        <w:rPr>
          <w:sz w:val="20"/>
          <w:szCs w:val="20"/>
          <w:color w:val="auto"/>
        </w:rPr>
      </w:pPr>
      <w:r>
        <w:rPr>
          <w:rFonts w:ascii="Arial" w:cs="Arial" w:eastAsia="Arial" w:hAnsi="Arial"/>
          <w:sz w:val="18"/>
          <w:szCs w:val="18"/>
          <w:color w:val="auto"/>
        </w:rPr>
        <w:t>Potential variation to current capital costs estimates may result from changes to project design, final cost of materials and labor and timing of incurrence of costs due to uncontrollable factors such as permits, regulatory approvals and weather.</w:t>
      </w:r>
    </w:p>
    <w:p>
      <w:pPr>
        <w:spacing w:after="0" w:line="166" w:lineRule="exact"/>
        <w:rPr>
          <w:sz w:val="20"/>
          <w:szCs w:val="20"/>
          <w:color w:val="auto"/>
        </w:rPr>
      </w:pPr>
    </w:p>
    <w:p>
      <w:pPr>
        <w:sectPr>
          <w:pgSz w:w="11900" w:h="16989" w:orient="portrait"/>
          <w:cols w:equalWidth="0" w:num="2">
            <w:col w:w="140" w:space="500"/>
            <w:col w:w="10780"/>
          </w:cols>
          <w:pgMar w:left="240" w:top="125" w:right="239" w:bottom="0" w:gutter="0" w:footer="0" w:header="0"/>
          <w:type w:val="continuous"/>
        </w:sect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manage our operations through three operating segments: (i) Transportation, (ii) Facilities and (iii) Supply and Logistics. Our Chief Operating Decision Maker (our Chief Executive Officer) evaluates such segment performance based on a variety of measures including segment profit, segment volumes, segment profit per barrel and maintenance capital investment. See Note 18 to our Consolidated Financial Statements included in Part IV of our 2013 Annual Report on Form 10-K for further discussion of how we evaluate segment profit.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an overview of our consolidated financial results calculated in accordance with GAAP (in millions, except per unit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6"/>
            <w:vMerge w:val="restart"/>
          </w:tcPr>
          <w:p>
            <w:pPr>
              <w:jc w:val="right"/>
              <w:ind w:right="500"/>
              <w:spacing w:after="0"/>
              <w:rPr>
                <w:sz w:val="20"/>
                <w:szCs w:val="20"/>
                <w:color w:val="auto"/>
              </w:rPr>
            </w:pPr>
            <w:r>
              <w:rPr>
                <w:rFonts w:ascii="Arial" w:cs="Arial" w:eastAsia="Arial" w:hAnsi="Arial"/>
                <w:sz w:val="14"/>
                <w:szCs w:val="14"/>
                <w:b w:val="1"/>
                <w:bCs w:val="1"/>
                <w:color w:val="auto"/>
                <w:w w:val="99"/>
              </w:rPr>
              <w:t>Three Months Ended</w:t>
            </w:r>
          </w:p>
        </w:tc>
        <w:tc>
          <w:tcPr>
            <w:tcW w:w="240" w:type="dxa"/>
            <w:vAlign w:val="bottom"/>
          </w:tcPr>
          <w:p>
            <w:pPr>
              <w:spacing w:after="0"/>
              <w:rPr>
                <w:sz w:val="14"/>
                <w:szCs w:val="14"/>
                <w:color w:val="auto"/>
              </w:rPr>
            </w:pPr>
          </w:p>
        </w:tc>
        <w:tc>
          <w:tcPr>
            <w:tcW w:w="1100" w:type="dxa"/>
            <w:vAlign w:val="bottom"/>
            <w:gridSpan w:val="3"/>
          </w:tcPr>
          <w:p>
            <w:pPr>
              <w:jc w:val="center"/>
              <w:ind w:left="114"/>
              <w:spacing w:after="0"/>
              <w:rPr>
                <w:sz w:val="20"/>
                <w:szCs w:val="20"/>
                <w:color w:val="auto"/>
              </w:rPr>
            </w:pPr>
            <w:r>
              <w:rPr>
                <w:rFonts w:ascii="Arial" w:cs="Arial" w:eastAsia="Arial" w:hAnsi="Arial"/>
                <w:sz w:val="14"/>
                <w:szCs w:val="14"/>
                <w:b w:val="1"/>
                <w:bCs w:val="1"/>
                <w:color w:val="auto"/>
                <w:w w:val="94"/>
              </w:rPr>
              <w:t>Favorable/</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6"/>
            <w:vMerge w:val="restart"/>
          </w:tcPr>
          <w:p>
            <w:pPr>
              <w:jc w:val="right"/>
              <w:ind w:right="440"/>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tcPr>
          <w:p>
            <w:pPr>
              <w:jc w:val="center"/>
              <w:ind w:left="134"/>
              <w:spacing w:after="0"/>
              <w:rPr>
                <w:sz w:val="20"/>
                <w:szCs w:val="20"/>
                <w:color w:val="auto"/>
              </w:rPr>
            </w:pPr>
            <w:r>
              <w:rPr>
                <w:rFonts w:ascii="Arial" w:cs="Arial" w:eastAsia="Arial" w:hAnsi="Arial"/>
                <w:sz w:val="14"/>
                <w:szCs w:val="14"/>
                <w:b w:val="1"/>
                <w:bCs w:val="1"/>
                <w:color w:val="auto"/>
                <w:w w:val="94"/>
              </w:rPr>
              <w:t>Favorable/</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gridSpan w:val="6"/>
            <w:vMerge w:val="continue"/>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3"/>
          </w:tcPr>
          <w:p>
            <w:pPr>
              <w:jc w:val="center"/>
              <w:ind w:left="114"/>
              <w:spacing w:after="0" w:line="149" w:lineRule="exact"/>
              <w:rPr>
                <w:sz w:val="20"/>
                <w:szCs w:val="20"/>
                <w:color w:val="auto"/>
              </w:rPr>
            </w:pPr>
            <w:r>
              <w:rPr>
                <w:rFonts w:ascii="Arial" w:cs="Arial" w:eastAsia="Arial" w:hAnsi="Arial"/>
                <w:sz w:val="14"/>
                <w:szCs w:val="14"/>
                <w:b w:val="1"/>
                <w:bCs w:val="1"/>
                <w:color w:val="auto"/>
                <w:w w:val="95"/>
              </w:rPr>
              <w:t>(Unfavorable)</w:t>
            </w: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5"/>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100" w:type="dxa"/>
            <w:vAlign w:val="bottom"/>
            <w:gridSpan w:val="3"/>
          </w:tcPr>
          <w:p>
            <w:pPr>
              <w:jc w:val="center"/>
              <w:ind w:left="134"/>
              <w:spacing w:after="0"/>
              <w:rPr>
                <w:sz w:val="20"/>
                <w:szCs w:val="20"/>
                <w:color w:val="auto"/>
              </w:rPr>
            </w:pPr>
            <w:r>
              <w:rPr>
                <w:rFonts w:ascii="Arial" w:cs="Arial" w:eastAsia="Arial" w:hAnsi="Arial"/>
                <w:sz w:val="14"/>
                <w:szCs w:val="14"/>
                <w:b w:val="1"/>
                <w:bCs w:val="1"/>
                <w:color w:val="auto"/>
                <w:w w:val="95"/>
              </w:rPr>
              <w:t>Variance</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tcPr>
          <w:p>
            <w:pPr>
              <w:jc w:val="center"/>
              <w:ind w:left="134"/>
              <w:spacing w:after="0"/>
              <w:rPr>
                <w:sz w:val="20"/>
                <w:szCs w:val="20"/>
                <w:color w:val="auto"/>
              </w:rPr>
            </w:pPr>
            <w:r>
              <w:rPr>
                <w:rFonts w:ascii="Arial" w:cs="Arial" w:eastAsia="Arial" w:hAnsi="Arial"/>
                <w:sz w:val="14"/>
                <w:szCs w:val="14"/>
                <w:b w:val="1"/>
                <w:bCs w:val="1"/>
                <w:color w:val="auto"/>
                <w:w w:val="92"/>
              </w:rPr>
              <w:t>Variance</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w w:val="96"/>
              </w:rPr>
              <w:t>%</w:t>
            </w:r>
          </w:p>
        </w:tc>
        <w:tc>
          <w:tcPr>
            <w:tcW w:w="4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segment profit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Facilities segment profit</w:t>
            </w:r>
          </w:p>
        </w:tc>
        <w:tc>
          <w:tcPr>
            <w:tcW w:w="1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146</w:t>
            </w:r>
          </w:p>
        </w:tc>
        <w:tc>
          <w:tcPr>
            <w:tcW w:w="2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435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445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Supply and Logistics segment profit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vMerge w:val="restart"/>
          </w:tcPr>
          <w:p>
            <w:pPr>
              <w:ind w:left="160"/>
              <w:spacing w:after="0"/>
              <w:rPr>
                <w:sz w:val="20"/>
                <w:szCs w:val="20"/>
                <w:color w:val="auto"/>
              </w:rPr>
            </w:pPr>
            <w:r>
              <w:rPr>
                <w:rFonts w:ascii="Arial" w:cs="Arial" w:eastAsia="Arial" w:hAnsi="Arial"/>
                <w:sz w:val="18"/>
                <w:szCs w:val="18"/>
                <w:color w:val="auto"/>
              </w:rPr>
              <w:t>Total segment profit</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530</w:t>
            </w:r>
          </w:p>
        </w:tc>
        <w:tc>
          <w:tcPr>
            <w:tcW w:w="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408</w:t>
            </w:r>
          </w:p>
        </w:tc>
        <w:tc>
          <w:tcPr>
            <w:tcW w:w="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122</w:t>
            </w:r>
          </w:p>
        </w:tc>
        <w:tc>
          <w:tcPr>
            <w:tcW w:w="2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1,627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1,640</w:t>
            </w:r>
          </w:p>
        </w:tc>
        <w:tc>
          <w:tcPr>
            <w:tcW w:w="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(224)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tcPr>
          <w:p>
            <w:pPr>
              <w:ind w:left="160"/>
              <w:spacing w:after="0" w:line="201" w:lineRule="exact"/>
              <w:rPr>
                <w:sz w:val="20"/>
                <w:szCs w:val="20"/>
                <w:color w:val="auto"/>
              </w:rPr>
            </w:pPr>
            <w:r>
              <w:rPr>
                <w:rFonts w:ascii="Arial" w:cs="Arial" w:eastAsia="Arial" w:hAnsi="Arial"/>
                <w:sz w:val="18"/>
                <w:szCs w:val="18"/>
                <w:color w:val="auto"/>
              </w:rPr>
              <w:t>Net income attributable to</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tcPr>
          <w:p>
            <w:pPr>
              <w:ind w:left="340"/>
              <w:spacing w:after="0"/>
              <w:rPr>
                <w:sz w:val="20"/>
                <w:szCs w:val="20"/>
                <w:color w:val="auto"/>
              </w:rPr>
            </w:pPr>
            <w:r>
              <w:rPr>
                <w:rFonts w:ascii="Arial" w:cs="Arial" w:eastAsia="Arial" w:hAnsi="Arial"/>
                <w:sz w:val="18"/>
                <w:szCs w:val="18"/>
                <w:color w:val="auto"/>
              </w:rPr>
              <w:t>noncontrolling interests</w:t>
            </w:r>
          </w:p>
        </w:tc>
        <w:tc>
          <w:tcPr>
            <w:tcW w:w="18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20"/>
                <w:szCs w:val="20"/>
                <w:color w:val="auto"/>
              </w:rPr>
            </w:pPr>
          </w:p>
        </w:tc>
        <w:tc>
          <w:tcPr>
            <w:tcW w:w="8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 attributable to PAA</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4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6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4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right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PAA:</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tcPr>
          <w:p>
            <w:pPr>
              <w:ind w:left="160"/>
              <w:spacing w:after="0" w:line="201" w:lineRule="exact"/>
              <w:rPr>
                <w:sz w:val="20"/>
                <w:szCs w:val="20"/>
                <w:color w:val="auto"/>
              </w:rPr>
            </w:pPr>
            <w:r>
              <w:rPr>
                <w:rFonts w:ascii="Arial" w:cs="Arial" w:eastAsia="Arial" w:hAnsi="Arial"/>
                <w:sz w:val="18"/>
                <w:szCs w:val="18"/>
                <w:color w:val="auto"/>
                <w:w w:val="98"/>
              </w:rPr>
              <w:t>Basic net income per limited partner</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tcPr>
          <w:p>
            <w:pPr>
              <w:ind w:left="340"/>
              <w:spacing w:after="0"/>
              <w:rPr>
                <w:sz w:val="20"/>
                <w:szCs w:val="20"/>
                <w:color w:val="auto"/>
              </w:rPr>
            </w:pPr>
            <w:r>
              <w:rPr>
                <w:rFonts w:ascii="Arial" w:cs="Arial" w:eastAsia="Arial" w:hAnsi="Arial"/>
                <w:sz w:val="18"/>
                <w:szCs w:val="18"/>
                <w:color w:val="auto"/>
              </w:rPr>
              <w:t>unit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0.52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0.38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0.14</w:t>
            </w:r>
          </w:p>
        </w:tc>
        <w:tc>
          <w:tcPr>
            <w:tcW w:w="300" w:type="dxa"/>
            <w:vAlign w:val="bottom"/>
          </w:tcPr>
          <w:p>
            <w:pPr>
              <w:spacing w:after="0"/>
              <w:rPr>
                <w:sz w:val="20"/>
                <w:szCs w:val="20"/>
                <w:color w:val="auto"/>
              </w:rPr>
            </w:pPr>
          </w:p>
        </w:tc>
        <w:tc>
          <w:tcPr>
            <w:tcW w:w="8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20"/>
                <w:szCs w:val="20"/>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1.71</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2.23</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(0.52)</w:t>
            </w:r>
          </w:p>
        </w:tc>
        <w:tc>
          <w:tcPr>
            <w:tcW w:w="22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Diluted net income per limited</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partner unit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0.14</w:t>
            </w:r>
          </w:p>
        </w:tc>
        <w:tc>
          <w:tcPr>
            <w:tcW w:w="300" w:type="dxa"/>
            <w:vAlign w:val="bottom"/>
            <w:shd w:val="clear" w:color="auto" w:fill="CCEEFF"/>
          </w:tcPr>
          <w:p>
            <w:pPr>
              <w:spacing w:after="0"/>
              <w:rPr>
                <w:sz w:val="20"/>
                <w:szCs w:val="20"/>
                <w:color w:val="auto"/>
              </w:rPr>
            </w:pPr>
          </w:p>
        </w:tc>
        <w:tc>
          <w:tcPr>
            <w:tcW w:w="8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w:t>
            </w: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(0.52)</w:t>
            </w:r>
          </w:p>
        </w:tc>
        <w:tc>
          <w:tcPr>
            <w:tcW w:w="2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tcPr>
          <w:p>
            <w:pPr>
              <w:ind w:left="160"/>
              <w:spacing w:after="0" w:line="201" w:lineRule="exact"/>
              <w:rPr>
                <w:sz w:val="20"/>
                <w:szCs w:val="20"/>
                <w:color w:val="auto"/>
              </w:rPr>
            </w:pPr>
            <w:r>
              <w:rPr>
                <w:rFonts w:ascii="Arial" w:cs="Arial" w:eastAsia="Arial" w:hAnsi="Arial"/>
                <w:sz w:val="18"/>
                <w:szCs w:val="18"/>
                <w:color w:val="auto"/>
              </w:rPr>
              <w:t>Basic weighted average limited</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tcPr>
          <w:p>
            <w:pPr>
              <w:ind w:left="340"/>
              <w:spacing w:after="0"/>
              <w:rPr>
                <w:sz w:val="20"/>
                <w:szCs w:val="20"/>
                <w:color w:val="auto"/>
              </w:rPr>
            </w:pPr>
            <w:r>
              <w:rPr>
                <w:rFonts w:ascii="Arial" w:cs="Arial" w:eastAsia="Arial" w:hAnsi="Arial"/>
                <w:sz w:val="18"/>
                <w:szCs w:val="18"/>
                <w:color w:val="auto"/>
              </w:rPr>
              <w:t>partner units outstanding</w:t>
            </w:r>
          </w:p>
        </w:tc>
        <w:tc>
          <w:tcPr>
            <w:tcW w:w="18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370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343</w:t>
            </w: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365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340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Diluted weighted average limited</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partner units outstanding</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w:t>
            </w:r>
          </w:p>
        </w:tc>
        <w:tc>
          <w:tcPr>
            <w:tcW w:w="2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To supplement our financial information presented in accordance with GAAP, management uses additional measures that are known as “non-GAAP financial measures” in its evaluation of past performance and prospects for the future. The primary additional measures used by management are adjusted earnings before interest, taxes, depreciation and amortization (“adjusted EBITDA”) and implied distributable cash flow (“DCF”).</w:t>
      </w:r>
    </w:p>
    <w:p>
      <w:pPr>
        <w:spacing w:after="0" w:line="166"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Management believes that the presentation of such additional financial measures provides useful information to investors regarding our performance and results of operations because these measures, when used in conjunction with related GAAP financial measures, (i) provide additional information about</w:t>
      </w:r>
    </w:p>
    <w:p>
      <w:pPr>
        <w:sectPr>
          <w:pgSz w:w="11900" w:h="16989" w:orient="portrait"/>
          <w:cols w:equalWidth="0" w:num="1">
            <w:col w:w="11420"/>
          </w:cols>
          <w:pgMar w:left="240" w:top="125" w:right="239" w:bottom="0" w:gutter="0" w:footer="0" w:header="0"/>
          <w:type w:val="continuous"/>
        </w:sectPr>
      </w:pPr>
    </w:p>
    <w:bookmarkStart w:id="21" w:name="page22"/>
    <w:bookmarkEnd w:id="21"/>
    <w:p>
      <w:pPr>
        <w:ind w:right="20"/>
        <w:spacing w:after="0" w:line="290" w:lineRule="auto"/>
        <w:rPr>
          <w:sz w:val="20"/>
          <w:szCs w:val="20"/>
          <w:color w:val="auto"/>
        </w:rPr>
      </w:pPr>
      <w:r>
        <w:rPr>
          <w:rFonts w:ascii="Arial" w:cs="Arial" w:eastAsia="Arial" w:hAnsi="Arial"/>
          <w:sz w:val="16"/>
          <w:szCs w:val="16"/>
          <w:color w:val="auto"/>
        </w:rPr>
        <w:t>our core operating performance and ability to generate and distribute cash flow, (ii) provide investors with the financial analytical framework upon which management bases financial, operational, compensation and planning decisions and (iii) present measurements that investors, rating agencies and debt holders have indicated are useful in assessing us and our results of operations. These measures may exclude, for example, (i) charges for obligations that are expected to be settled with the issuance of equity instruments, (ii) the mark-to-market adjustment of derivative instruments that are related to underlying activities in another period (or the reversal of such adjustments from a prior period), (iii) items that are not indicative of our core operating results and business outlook and/or (iv) other items that we believe should be excluded in understanding our core operating performance. We have defined all such items hereinafter as “Selected Items Impacting Comparability.” These additional financial measures are reconciled to the most directly comparable measures as reported in accordance with GAAP, and should be viewed in addition to, and not in lieu of, our condensed consolidated financial statements and footnotes.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non-GAAP financial measures that are reconciled to the most directly comparable GAAP measures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6"/>
            <w:vMerge w:val="restart"/>
          </w:tcPr>
          <w:p>
            <w:pPr>
              <w:jc w:val="right"/>
              <w:ind w:right="500"/>
              <w:spacing w:after="0"/>
              <w:rPr>
                <w:sz w:val="20"/>
                <w:szCs w:val="20"/>
                <w:color w:val="auto"/>
              </w:rPr>
            </w:pPr>
            <w:r>
              <w:rPr>
                <w:rFonts w:ascii="Arial" w:cs="Arial" w:eastAsia="Arial" w:hAnsi="Arial"/>
                <w:sz w:val="14"/>
                <w:szCs w:val="14"/>
                <w:b w:val="1"/>
                <w:bCs w:val="1"/>
                <w:color w:val="auto"/>
                <w:w w:val="99"/>
              </w:rPr>
              <w:t>Three Months Ended</w:t>
            </w:r>
          </w:p>
        </w:tc>
        <w:tc>
          <w:tcPr>
            <w:tcW w:w="240" w:type="dxa"/>
            <w:vAlign w:val="bottom"/>
          </w:tcPr>
          <w:p>
            <w:pPr>
              <w:spacing w:after="0"/>
              <w:rPr>
                <w:sz w:val="14"/>
                <w:szCs w:val="14"/>
                <w:color w:val="auto"/>
              </w:rPr>
            </w:pPr>
          </w:p>
        </w:tc>
        <w:tc>
          <w:tcPr>
            <w:tcW w:w="1080" w:type="dxa"/>
            <w:vAlign w:val="bottom"/>
            <w:gridSpan w:val="3"/>
          </w:tcPr>
          <w:p>
            <w:pPr>
              <w:jc w:val="center"/>
              <w:ind w:left="93"/>
              <w:spacing w:after="0"/>
              <w:rPr>
                <w:sz w:val="20"/>
                <w:szCs w:val="20"/>
                <w:color w:val="auto"/>
              </w:rPr>
            </w:pPr>
            <w:r>
              <w:rPr>
                <w:rFonts w:ascii="Arial" w:cs="Arial" w:eastAsia="Arial" w:hAnsi="Arial"/>
                <w:sz w:val="14"/>
                <w:szCs w:val="14"/>
                <w:b w:val="1"/>
                <w:bCs w:val="1"/>
                <w:color w:val="auto"/>
                <w:w w:val="94"/>
              </w:rPr>
              <w:t>Favorable/</w:t>
            </w: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7"/>
            <w:vMerge w:val="restart"/>
          </w:tcPr>
          <w:p>
            <w:pPr>
              <w:jc w:val="right"/>
              <w:ind w:right="420"/>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tcPr>
          <w:p>
            <w:pPr>
              <w:jc w:val="center"/>
              <w:ind w:left="133"/>
              <w:spacing w:after="0"/>
              <w:rPr>
                <w:sz w:val="20"/>
                <w:szCs w:val="20"/>
                <w:color w:val="auto"/>
              </w:rPr>
            </w:pPr>
            <w:r>
              <w:rPr>
                <w:rFonts w:ascii="Arial" w:cs="Arial" w:eastAsia="Arial" w:hAnsi="Arial"/>
                <w:sz w:val="14"/>
                <w:szCs w:val="14"/>
                <w:b w:val="1"/>
                <w:bCs w:val="1"/>
                <w:color w:val="auto"/>
                <w:w w:val="94"/>
              </w:rPr>
              <w:t>Favorable/</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gridSpan w:val="6"/>
            <w:vMerge w:val="continue"/>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3"/>
          </w:tcPr>
          <w:p>
            <w:pPr>
              <w:jc w:val="center"/>
              <w:ind w:left="93"/>
              <w:spacing w:after="0" w:line="149" w:lineRule="exact"/>
              <w:rPr>
                <w:sz w:val="20"/>
                <w:szCs w:val="20"/>
                <w:color w:val="auto"/>
              </w:rPr>
            </w:pPr>
            <w:r>
              <w:rPr>
                <w:rFonts w:ascii="Arial" w:cs="Arial" w:eastAsia="Arial" w:hAnsi="Arial"/>
                <w:sz w:val="14"/>
                <w:szCs w:val="14"/>
                <w:b w:val="1"/>
                <w:bCs w:val="1"/>
                <w:color w:val="auto"/>
                <w:w w:val="95"/>
              </w:rPr>
              <w:t>(Unfavorable)</w:t>
            </w: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7"/>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5"/>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080" w:type="dxa"/>
            <w:vAlign w:val="bottom"/>
            <w:gridSpan w:val="3"/>
          </w:tcPr>
          <w:p>
            <w:pPr>
              <w:jc w:val="center"/>
              <w:ind w:left="113"/>
              <w:spacing w:after="0"/>
              <w:rPr>
                <w:sz w:val="20"/>
                <w:szCs w:val="20"/>
                <w:color w:val="auto"/>
              </w:rPr>
            </w:pPr>
            <w:r>
              <w:rPr>
                <w:rFonts w:ascii="Arial" w:cs="Arial" w:eastAsia="Arial" w:hAnsi="Arial"/>
                <w:sz w:val="14"/>
                <w:szCs w:val="14"/>
                <w:b w:val="1"/>
                <w:bCs w:val="1"/>
                <w:color w:val="auto"/>
                <w:w w:val="95"/>
              </w:rPr>
              <w:t>Variance</w:t>
            </w: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tcPr>
          <w:p>
            <w:pPr>
              <w:jc w:val="center"/>
              <w:ind w:left="133"/>
              <w:spacing w:after="0"/>
              <w:rPr>
                <w:sz w:val="20"/>
                <w:szCs w:val="20"/>
                <w:color w:val="auto"/>
              </w:rPr>
            </w:pPr>
            <w:r>
              <w:rPr>
                <w:rFonts w:ascii="Arial" w:cs="Arial" w:eastAsia="Arial" w:hAnsi="Arial"/>
                <w:sz w:val="14"/>
                <w:szCs w:val="14"/>
                <w:b w:val="1"/>
                <w:bCs w:val="1"/>
                <w:color w:val="auto"/>
                <w:w w:val="92"/>
              </w:rPr>
              <w:t>Variance</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w w:val="96"/>
              </w:rPr>
              <w:t>%</w:t>
            </w:r>
          </w:p>
        </w:tc>
        <w:tc>
          <w:tcPr>
            <w:tcW w:w="4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Add:</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3040" w:type="dxa"/>
            <w:vAlign w:val="bottom"/>
            <w:gridSpan w:val="2"/>
            <w:vMerge w:val="restart"/>
          </w:tcPr>
          <w:p>
            <w:pPr>
              <w:spacing w:after="0"/>
              <w:rPr>
                <w:sz w:val="20"/>
                <w:szCs w:val="20"/>
                <w:color w:val="auto"/>
              </w:rPr>
            </w:pPr>
            <w:r>
              <w:rPr>
                <w:rFonts w:ascii="Arial" w:cs="Arial" w:eastAsia="Arial" w:hAnsi="Arial"/>
                <w:sz w:val="18"/>
                <w:szCs w:val="18"/>
                <w:color w:val="auto"/>
              </w:rPr>
              <w:t>EBITDA</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gridSpan w:val="2"/>
            <w:vMerge w:val="continue"/>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526</w:t>
            </w:r>
          </w:p>
        </w:tc>
        <w:tc>
          <w:tcPr>
            <w:tcW w:w="140" w:type="dxa"/>
            <w:vAlign w:val="bottom"/>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411</w:t>
            </w:r>
          </w:p>
        </w:tc>
        <w:tc>
          <w:tcPr>
            <w:tcW w:w="220" w:type="dxa"/>
            <w:vAlign w:val="bottom"/>
            <w:vMerge w:val="continue"/>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115</w:t>
            </w:r>
          </w:p>
        </w:tc>
        <w:tc>
          <w:tcPr>
            <w:tcW w:w="22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28%</w:t>
            </w:r>
          </w:p>
        </w:tc>
        <w:tc>
          <w:tcPr>
            <w:tcW w:w="140" w:type="dxa"/>
            <w:vAlign w:val="bottom"/>
            <w:vMerge w:val="continue"/>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1,625</w:t>
            </w:r>
          </w:p>
        </w:tc>
        <w:tc>
          <w:tcPr>
            <w:tcW w:w="220" w:type="dxa"/>
            <w:vAlign w:val="bottom"/>
            <w:vMerge w:val="continue"/>
          </w:tcPr>
          <w:p>
            <w:pPr>
              <w:spacing w:after="0"/>
              <w:rPr>
                <w:sz w:val="21"/>
                <w:szCs w:val="21"/>
                <w:color w:val="auto"/>
              </w:rPr>
            </w:pPr>
          </w:p>
        </w:tc>
        <w:tc>
          <w:tcPr>
            <w:tcW w:w="20" w:type="dxa"/>
            <w:vAlign w:val="bottom"/>
            <w:vMerge w:val="continue"/>
          </w:tcPr>
          <w:p>
            <w:pPr>
              <w:spacing w:after="0"/>
              <w:rPr>
                <w:sz w:val="21"/>
                <w:szCs w:val="21"/>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1,642</w:t>
            </w:r>
          </w:p>
        </w:tc>
        <w:tc>
          <w:tcPr>
            <w:tcW w:w="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vMerge w:val="continue"/>
          </w:tcPr>
          <w:p>
            <w:pPr>
              <w:spacing w:after="0"/>
              <w:rPr>
                <w:sz w:val="21"/>
                <w:szCs w:val="21"/>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0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right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020" w:type="dxa"/>
            <w:vAlign w:val="bottom"/>
          </w:tcPr>
          <w:p>
            <w:pPr>
              <w:spacing w:after="0" w:line="198" w:lineRule="exact"/>
              <w:rPr>
                <w:sz w:val="20"/>
                <w:szCs w:val="20"/>
                <w:color w:val="auto"/>
              </w:rPr>
            </w:pPr>
            <w:r>
              <w:rPr>
                <w:rFonts w:ascii="Arial" w:cs="Arial" w:eastAsia="Arial" w:hAnsi="Arial"/>
                <w:sz w:val="18"/>
                <w:szCs w:val="18"/>
                <w:b w:val="1"/>
                <w:bCs w:val="1"/>
                <w:color w:val="auto"/>
              </w:rPr>
              <w:t>Selected Items Impacting</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20" w:type="dxa"/>
            <w:vAlign w:val="bottom"/>
          </w:tcPr>
          <w:p>
            <w:pPr>
              <w:ind w:left="160"/>
              <w:spacing w:after="0"/>
              <w:rPr>
                <w:sz w:val="20"/>
                <w:szCs w:val="20"/>
                <w:color w:val="auto"/>
              </w:rPr>
            </w:pPr>
            <w:r>
              <w:rPr>
                <w:rFonts w:ascii="Arial" w:cs="Arial" w:eastAsia="Arial" w:hAnsi="Arial"/>
                <w:sz w:val="18"/>
                <w:szCs w:val="18"/>
                <w:b w:val="1"/>
                <w:bCs w:val="1"/>
                <w:color w:val="auto"/>
              </w:rPr>
              <w:t>Comparability of EBITDA</w:t>
            </w: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Gains/(losses) from derivative</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4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activities net of inventory</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ind w:left="340"/>
              <w:spacing w:after="0" w:line="231" w:lineRule="exact"/>
              <w:rPr>
                <w:sz w:val="20"/>
                <w:szCs w:val="20"/>
                <w:color w:val="auto"/>
              </w:rPr>
            </w:pPr>
            <w:r>
              <w:rPr>
                <w:rFonts w:ascii="Arial" w:cs="Arial" w:eastAsia="Arial" w:hAnsi="Arial"/>
                <w:sz w:val="18"/>
                <w:szCs w:val="18"/>
                <w:color w:val="auto"/>
              </w:rPr>
              <w:t xml:space="preserve">valuation adjustments </w:t>
            </w:r>
            <w:r>
              <w:rPr>
                <w:rFonts w:ascii="Arial" w:cs="Arial" w:eastAsia="Arial" w:hAnsi="Arial"/>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w:t>
            </w:r>
          </w:p>
        </w:tc>
        <w:tc>
          <w:tcPr>
            <w:tcW w:w="2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tcPr>
          <w:p>
            <w:pPr>
              <w:ind w:left="160"/>
              <w:spacing w:after="0" w:line="201" w:lineRule="exact"/>
              <w:rPr>
                <w:sz w:val="20"/>
                <w:szCs w:val="20"/>
                <w:color w:val="auto"/>
              </w:rPr>
            </w:pPr>
            <w:r>
              <w:rPr>
                <w:rFonts w:ascii="Arial" w:cs="Arial" w:eastAsia="Arial" w:hAnsi="Arial"/>
                <w:sz w:val="18"/>
                <w:szCs w:val="18"/>
                <w:color w:val="auto"/>
              </w:rPr>
              <w:t>Equity-indexed compensation</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tcPr>
          <w:p>
            <w:pPr>
              <w:ind w:left="340"/>
              <w:spacing w:after="0" w:line="231" w:lineRule="exact"/>
              <w:rPr>
                <w:sz w:val="20"/>
                <w:szCs w:val="20"/>
                <w:color w:val="auto"/>
              </w:rPr>
            </w:pPr>
            <w:r>
              <w:rPr>
                <w:rFonts w:ascii="Arial" w:cs="Arial" w:eastAsia="Arial" w:hAnsi="Arial"/>
                <w:sz w:val="18"/>
                <w:szCs w:val="18"/>
                <w:color w:val="auto"/>
              </w:rPr>
              <w:t xml:space="preserve">expense </w:t>
            </w:r>
            <w:r>
              <w:rPr>
                <w:rFonts w:ascii="Arial" w:cs="Arial" w:eastAsia="Arial" w:hAnsi="Arial"/>
                <w:sz w:val="23"/>
                <w:szCs w:val="23"/>
                <w:color w:val="auto"/>
                <w:vertAlign w:val="superscript"/>
              </w:rPr>
              <w:t>(2)</w:t>
            </w:r>
          </w:p>
        </w:tc>
        <w:tc>
          <w:tcPr>
            <w:tcW w:w="1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0"/>
                <w:szCs w:val="20"/>
                <w:color w:val="auto"/>
              </w:rPr>
            </w:pPr>
          </w:p>
        </w:tc>
        <w:tc>
          <w:tcPr>
            <w:tcW w:w="108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Net gain/(loss) on foreign currency</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4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ind w:left="340"/>
              <w:spacing w:after="0" w:line="231" w:lineRule="exact"/>
              <w:rPr>
                <w:sz w:val="20"/>
                <w:szCs w:val="20"/>
                <w:color w:val="auto"/>
              </w:rPr>
            </w:pPr>
            <w:r>
              <w:rPr>
                <w:rFonts w:ascii="Arial" w:cs="Arial" w:eastAsia="Arial" w:hAnsi="Arial"/>
                <w:sz w:val="18"/>
                <w:szCs w:val="18"/>
                <w:color w:val="auto"/>
              </w:rPr>
              <w:t xml:space="preserve">revaluation </w:t>
            </w:r>
            <w:r>
              <w:rPr>
                <w:rFonts w:ascii="Arial" w:cs="Arial" w:eastAsia="Arial" w:hAnsi="Arial"/>
                <w:sz w:val="23"/>
                <w:szCs w:val="23"/>
                <w:color w:val="auto"/>
                <w:vertAlign w:val="superscript"/>
              </w:rPr>
              <w:t>(3)</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20"/>
                <w:szCs w:val="20"/>
                <w:color w:val="auto"/>
              </w:rPr>
            </w:pPr>
          </w:p>
        </w:tc>
        <w:tc>
          <w:tcPr>
            <w:tcW w:w="8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vMerge w:val="restart"/>
          </w:tcPr>
          <w:p>
            <w:pPr>
              <w:spacing w:after="0" w:line="201" w:lineRule="exact"/>
              <w:rPr>
                <w:sz w:val="20"/>
                <w:szCs w:val="20"/>
                <w:color w:val="auto"/>
              </w:rPr>
            </w:pPr>
            <w:r>
              <w:rPr>
                <w:rFonts w:ascii="Arial" w:cs="Arial" w:eastAsia="Arial" w:hAnsi="Arial"/>
                <w:sz w:val="18"/>
                <w:szCs w:val="18"/>
                <w:color w:val="auto"/>
                <w:w w:val="94"/>
              </w:rPr>
              <w:t>Selected Items Impacting Comparability</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020" w:type="dxa"/>
            <w:vAlign w:val="bottom"/>
            <w:vMerge w:val="continue"/>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vMerge w:val="restart"/>
          </w:tcPr>
          <w:p>
            <w:pPr>
              <w:jc w:val="right"/>
              <w:spacing w:after="0"/>
              <w:rPr>
                <w:sz w:val="20"/>
                <w:szCs w:val="20"/>
                <w:color w:val="auto"/>
              </w:rPr>
            </w:pPr>
            <w:r>
              <w:rPr>
                <w:rFonts w:ascii="Arial" w:cs="Arial" w:eastAsia="Arial" w:hAnsi="Arial"/>
                <w:sz w:val="18"/>
                <w:szCs w:val="18"/>
                <w:color w:val="auto"/>
              </w:rPr>
              <w:t>(1)</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(69)</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Borders>
              <w:right w:val="single" w:sz="8" w:color="auto"/>
            </w:tcBorders>
            <w:gridSpan w:val="2"/>
            <w:vMerge w:val="restart"/>
          </w:tcPr>
          <w:p>
            <w:pPr>
              <w:jc w:val="right"/>
              <w:ind w:right="280"/>
              <w:spacing w:after="0"/>
              <w:rPr>
                <w:sz w:val="20"/>
                <w:szCs w:val="20"/>
                <w:color w:val="auto"/>
              </w:rPr>
            </w:pPr>
            <w:r>
              <w:rPr>
                <w:rFonts w:ascii="Arial" w:cs="Arial" w:eastAsia="Arial" w:hAnsi="Arial"/>
                <w:sz w:val="18"/>
                <w:szCs w:val="18"/>
                <w:color w:val="auto"/>
              </w:rPr>
              <w:t>99%</w:t>
            </w: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19</w:t>
            </w:r>
          </w:p>
        </w:tc>
        <w:tc>
          <w:tcPr>
            <w:tcW w:w="160" w:type="dxa"/>
            <w:vAlign w:val="bottom"/>
            <w:gridSpan w:val="2"/>
            <w:vMerge w:val="restart"/>
          </w:tcPr>
          <w:p>
            <w:pPr>
              <w:jc w:val="right"/>
              <w:ind w:right="30"/>
              <w:spacing w:after="0"/>
              <w:rPr>
                <w:sz w:val="20"/>
                <w:szCs w:val="20"/>
                <w:color w:val="auto"/>
              </w:rPr>
            </w:pPr>
            <w:r>
              <w:rPr>
                <w:rFonts w:ascii="Arial" w:cs="Arial" w:eastAsia="Arial" w:hAnsi="Arial"/>
                <w:sz w:val="15"/>
                <w:szCs w:val="15"/>
                <w:color w:val="auto"/>
                <w:w w:val="71"/>
              </w:rPr>
              <w:t>$</w:t>
            </w:r>
          </w:p>
        </w:tc>
        <w:tc>
          <w:tcPr>
            <w:tcW w:w="76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(55)</w:t>
            </w:r>
          </w:p>
        </w:tc>
        <w:tc>
          <w:tcPr>
            <w:tcW w:w="300" w:type="dxa"/>
            <w:vAlign w:val="bottom"/>
            <w:gridSpan w:val="2"/>
            <w:vMerge w:val="restart"/>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5"/>
                <w:szCs w:val="15"/>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of EBITDA</w:t>
            </w:r>
          </w:p>
        </w:tc>
        <w:tc>
          <w:tcPr>
            <w:tcW w:w="180" w:type="dxa"/>
            <w:vAlign w:val="bottom"/>
            <w:vMerge w:val="continue"/>
          </w:tcPr>
          <w:p>
            <w:pPr>
              <w:spacing w:after="0"/>
              <w:rPr>
                <w:sz w:val="22"/>
                <w:szCs w:val="22"/>
                <w:color w:val="auto"/>
              </w:rPr>
            </w:pPr>
          </w:p>
        </w:tc>
        <w:tc>
          <w:tcPr>
            <w:tcW w:w="780" w:type="dxa"/>
            <w:vAlign w:val="bottom"/>
            <w:gridSpan w:val="2"/>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860" w:type="dxa"/>
            <w:vAlign w:val="bottom"/>
            <w:gridSpan w:val="2"/>
            <w:vMerge w:val="continue"/>
          </w:tcPr>
          <w:p>
            <w:pPr>
              <w:spacing w:after="0"/>
              <w:rPr>
                <w:sz w:val="22"/>
                <w:szCs w:val="22"/>
                <w:color w:val="auto"/>
              </w:rPr>
            </w:pPr>
          </w:p>
        </w:tc>
        <w:tc>
          <w:tcPr>
            <w:tcW w:w="240" w:type="dxa"/>
            <w:vAlign w:val="bottom"/>
            <w:vMerge w:val="continue"/>
          </w:tcPr>
          <w:p>
            <w:pPr>
              <w:spacing w:after="0"/>
              <w:rPr>
                <w:sz w:val="22"/>
                <w:szCs w:val="22"/>
                <w:color w:val="auto"/>
              </w:rPr>
            </w:pPr>
          </w:p>
        </w:tc>
        <w:tc>
          <w:tcPr>
            <w:tcW w:w="58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Borders>
              <w:right w:val="single" w:sz="8" w:color="auto"/>
            </w:tcBorders>
            <w:gridSpan w:val="2"/>
            <w:vMerge w:val="continue"/>
          </w:tcPr>
          <w:p>
            <w:pPr>
              <w:spacing w:after="0"/>
              <w:rPr>
                <w:sz w:val="22"/>
                <w:szCs w:val="22"/>
                <w:color w:val="auto"/>
              </w:rPr>
            </w:pPr>
          </w:p>
        </w:tc>
        <w:tc>
          <w:tcPr>
            <w:tcW w:w="320" w:type="dxa"/>
            <w:vAlign w:val="bottom"/>
            <w:gridSpan w:val="2"/>
            <w:vMerge w:val="continue"/>
          </w:tcPr>
          <w:p>
            <w:pPr>
              <w:spacing w:after="0"/>
              <w:rPr>
                <w:sz w:val="22"/>
                <w:szCs w:val="22"/>
                <w:color w:val="auto"/>
              </w:rPr>
            </w:pPr>
          </w:p>
        </w:tc>
        <w:tc>
          <w:tcPr>
            <w:tcW w:w="860" w:type="dxa"/>
            <w:vAlign w:val="bottom"/>
            <w:gridSpan w:val="2"/>
            <w:vMerge w:val="continue"/>
          </w:tcPr>
          <w:p>
            <w:pPr>
              <w:spacing w:after="0"/>
              <w:rPr>
                <w:sz w:val="22"/>
                <w:szCs w:val="22"/>
                <w:color w:val="auto"/>
              </w:rPr>
            </w:pPr>
          </w:p>
        </w:tc>
        <w:tc>
          <w:tcPr>
            <w:tcW w:w="160" w:type="dxa"/>
            <w:vAlign w:val="bottom"/>
            <w:gridSpan w:val="2"/>
            <w:vMerge w:val="continue"/>
          </w:tcPr>
          <w:p>
            <w:pPr>
              <w:spacing w:after="0"/>
              <w:rPr>
                <w:sz w:val="22"/>
                <w:szCs w:val="22"/>
                <w:color w:val="auto"/>
              </w:rPr>
            </w:pPr>
          </w:p>
        </w:tc>
        <w:tc>
          <w:tcPr>
            <w:tcW w:w="760" w:type="dxa"/>
            <w:vAlign w:val="bottom"/>
            <w:gridSpan w:val="3"/>
            <w:vMerge w:val="continue"/>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780" w:type="dxa"/>
            <w:vAlign w:val="bottom"/>
            <w:gridSpan w:val="2"/>
            <w:vMerge w:val="continue"/>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0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right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EBITDA</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526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411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115</w:t>
            </w:r>
          </w:p>
        </w:tc>
        <w:tc>
          <w:tcPr>
            <w:tcW w:w="28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28%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1,625</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1,642</w:t>
            </w:r>
          </w:p>
        </w:tc>
        <w:tc>
          <w:tcPr>
            <w:tcW w:w="120" w:type="dxa"/>
            <w:vAlign w:val="bottom"/>
          </w:tcPr>
          <w:p>
            <w:pPr>
              <w:spacing w:after="0"/>
              <w:rPr>
                <w:sz w:val="18"/>
                <w:szCs w:val="18"/>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Selected Items Impacting</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4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Comparability of EBITDA</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w:t>
            </w:r>
          </w:p>
        </w:tc>
        <w:tc>
          <w:tcPr>
            <w:tcW w:w="280" w:type="dxa"/>
            <w:vAlign w:val="bottom"/>
            <w:shd w:val="clear" w:color="auto" w:fill="CCEEFF"/>
          </w:tcPr>
          <w:p>
            <w:pPr>
              <w:spacing w:after="0"/>
              <w:rPr>
                <w:sz w:val="20"/>
                <w:szCs w:val="20"/>
                <w:color w:val="auto"/>
              </w:rPr>
            </w:pPr>
          </w:p>
        </w:tc>
        <w:tc>
          <w:tcPr>
            <w:tcW w:w="8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3040" w:type="dxa"/>
            <w:vAlign w:val="bottom"/>
            <w:gridSpan w:val="2"/>
            <w:vMerge w:val="restart"/>
          </w:tcPr>
          <w:p>
            <w:pPr>
              <w:spacing w:after="0"/>
              <w:rPr>
                <w:sz w:val="20"/>
                <w:szCs w:val="20"/>
                <w:color w:val="auto"/>
              </w:rPr>
            </w:pPr>
            <w:r>
              <w:rPr>
                <w:rFonts w:ascii="Arial" w:cs="Arial" w:eastAsia="Arial" w:hAnsi="Arial"/>
                <w:sz w:val="18"/>
                <w:szCs w:val="18"/>
                <w:color w:val="auto"/>
              </w:rPr>
              <w:t>Adjusted EBITDA</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gridSpan w:val="2"/>
            <w:vMerge w:val="continue"/>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527</w:t>
            </w:r>
          </w:p>
        </w:tc>
        <w:tc>
          <w:tcPr>
            <w:tcW w:w="140" w:type="dxa"/>
            <w:vAlign w:val="bottom"/>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480</w:t>
            </w:r>
          </w:p>
        </w:tc>
        <w:tc>
          <w:tcPr>
            <w:tcW w:w="220" w:type="dxa"/>
            <w:vAlign w:val="bottom"/>
            <w:vMerge w:val="continue"/>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10%</w:t>
            </w:r>
          </w:p>
        </w:tc>
        <w:tc>
          <w:tcPr>
            <w:tcW w:w="140" w:type="dxa"/>
            <w:vAlign w:val="bottom"/>
            <w:vMerge w:val="continue"/>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1,606</w:t>
            </w:r>
          </w:p>
        </w:tc>
        <w:tc>
          <w:tcPr>
            <w:tcW w:w="220" w:type="dxa"/>
            <w:vAlign w:val="bottom"/>
            <w:vMerge w:val="continue"/>
          </w:tcPr>
          <w:p>
            <w:pPr>
              <w:spacing w:after="0"/>
              <w:rPr>
                <w:sz w:val="21"/>
                <w:szCs w:val="21"/>
                <w:color w:val="auto"/>
              </w:rPr>
            </w:pPr>
          </w:p>
        </w:tc>
        <w:tc>
          <w:tcPr>
            <w:tcW w:w="20" w:type="dxa"/>
            <w:vAlign w:val="bottom"/>
            <w:vMerge w:val="continue"/>
          </w:tcPr>
          <w:p>
            <w:pPr>
              <w:spacing w:after="0"/>
              <w:rPr>
                <w:sz w:val="21"/>
                <w:szCs w:val="21"/>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1,697</w:t>
            </w:r>
          </w:p>
        </w:tc>
        <w:tc>
          <w:tcPr>
            <w:tcW w:w="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vMerge w:val="continue"/>
          </w:tcPr>
          <w:p>
            <w:pPr>
              <w:spacing w:after="0"/>
              <w:rPr>
                <w:sz w:val="21"/>
                <w:szCs w:val="21"/>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(91)</w:t>
            </w:r>
          </w:p>
        </w:tc>
        <w:tc>
          <w:tcPr>
            <w:tcW w:w="2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0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right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Adjusted EBITDA</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527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480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10%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1,606</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1,697</w:t>
            </w:r>
          </w:p>
        </w:tc>
        <w:tc>
          <w:tcPr>
            <w:tcW w:w="120" w:type="dxa"/>
            <w:vAlign w:val="bottom"/>
          </w:tcPr>
          <w:p>
            <w:pPr>
              <w:spacing w:after="0"/>
              <w:rPr>
                <w:sz w:val="18"/>
                <w:szCs w:val="18"/>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3"/>
                <w:szCs w:val="23"/>
                <w:color w:val="auto"/>
                <w:vertAlign w:val="superscript"/>
              </w:rPr>
              <w:t>(4)</w:t>
            </w: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income tax expense</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tcPr>
          <w:p>
            <w:pPr>
              <w:ind w:left="160"/>
              <w:spacing w:after="0" w:line="201" w:lineRule="exact"/>
              <w:rPr>
                <w:sz w:val="20"/>
                <w:szCs w:val="20"/>
                <w:color w:val="auto"/>
              </w:rPr>
            </w:pPr>
            <w:r>
              <w:rPr>
                <w:rFonts w:ascii="Arial" w:cs="Arial" w:eastAsia="Arial" w:hAnsi="Arial"/>
                <w:sz w:val="18"/>
                <w:szCs w:val="18"/>
                <w:color w:val="auto"/>
              </w:rPr>
              <w:t>Equity earnings in unconsolidated</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tcPr>
          <w:p>
            <w:pPr>
              <w:ind w:left="340"/>
              <w:spacing w:after="0"/>
              <w:rPr>
                <w:sz w:val="20"/>
                <w:szCs w:val="20"/>
                <w:color w:val="auto"/>
              </w:rPr>
            </w:pPr>
            <w:r>
              <w:rPr>
                <w:rFonts w:ascii="Arial" w:cs="Arial" w:eastAsia="Arial" w:hAnsi="Arial"/>
                <w:sz w:val="18"/>
                <w:szCs w:val="18"/>
                <w:color w:val="auto"/>
              </w:rPr>
              <w:t>entities, net of distributions</w:t>
            </w:r>
          </w:p>
        </w:tc>
        <w:tc>
          <w:tcPr>
            <w:tcW w:w="1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0"/>
                <w:szCs w:val="20"/>
                <w:color w:val="auto"/>
              </w:rPr>
            </w:pPr>
          </w:p>
        </w:tc>
        <w:tc>
          <w:tcPr>
            <w:tcW w:w="108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Distributions to noncontrolling</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4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ind w:left="340"/>
              <w:spacing w:after="0" w:line="231" w:lineRule="exact"/>
              <w:rPr>
                <w:sz w:val="20"/>
                <w:szCs w:val="20"/>
                <w:color w:val="auto"/>
              </w:rPr>
            </w:pPr>
            <w:r>
              <w:rPr>
                <w:rFonts w:ascii="Arial" w:cs="Arial" w:eastAsia="Arial" w:hAnsi="Arial"/>
                <w:sz w:val="18"/>
                <w:szCs w:val="18"/>
                <w:color w:val="auto"/>
              </w:rPr>
              <w:t xml:space="preserve">interests </w:t>
            </w:r>
            <w:r>
              <w:rPr>
                <w:rFonts w:ascii="Arial" w:cs="Arial" w:eastAsia="Arial" w:hAnsi="Arial"/>
                <w:sz w:val="23"/>
                <w:szCs w:val="23"/>
                <w:color w:val="auto"/>
                <w:vertAlign w:val="superscript"/>
              </w:rPr>
              <w:t>(5)</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vMerge w:val="restart"/>
          </w:tcPr>
          <w:p>
            <w:pPr>
              <w:spacing w:after="0"/>
              <w:rPr>
                <w:sz w:val="20"/>
                <w:szCs w:val="20"/>
                <w:color w:val="auto"/>
              </w:rPr>
            </w:pPr>
            <w:r>
              <w:rPr>
                <w:rFonts w:ascii="Arial" w:cs="Arial" w:eastAsia="Arial" w:hAnsi="Arial"/>
                <w:sz w:val="18"/>
                <w:szCs w:val="18"/>
                <w:color w:val="auto"/>
              </w:rPr>
              <w:t>Implied DCF</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369</w:t>
            </w:r>
          </w:p>
        </w:tc>
        <w:tc>
          <w:tcPr>
            <w:tcW w:w="14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330</w:t>
            </w:r>
          </w:p>
        </w:tc>
        <w:tc>
          <w:tcPr>
            <w:tcW w:w="220" w:type="dxa"/>
            <w:vAlign w:val="bottom"/>
            <w:vMerge w:val="continue"/>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12%</w:t>
            </w:r>
          </w:p>
        </w:tc>
        <w:tc>
          <w:tcPr>
            <w:tcW w:w="14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1,145</w:t>
            </w:r>
          </w:p>
        </w:tc>
        <w:tc>
          <w:tcPr>
            <w:tcW w:w="2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1,235</w:t>
            </w:r>
          </w:p>
        </w:tc>
        <w:tc>
          <w:tcPr>
            <w:tcW w:w="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(90)</w:t>
            </w:r>
          </w:p>
        </w:tc>
        <w:tc>
          <w:tcPr>
            <w:tcW w:w="2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Less: Distributions paid </w:t>
            </w:r>
            <w:r>
              <w:rPr>
                <w:rFonts w:ascii="Arial" w:cs="Arial" w:eastAsia="Arial" w:hAnsi="Arial"/>
                <w:sz w:val="23"/>
                <w:szCs w:val="23"/>
                <w:color w:val="auto"/>
                <w:vertAlign w:val="superscript"/>
              </w:rPr>
              <w:t>(5)</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(305)</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(886)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tcPr>
          <w:p>
            <w:pPr>
              <w:spacing w:after="0" w:line="223" w:lineRule="exact"/>
              <w:rPr>
                <w:sz w:val="20"/>
                <w:szCs w:val="20"/>
                <w:color w:val="auto"/>
              </w:rPr>
            </w:pPr>
            <w:r>
              <w:rPr>
                <w:rFonts w:ascii="Arial" w:cs="Arial" w:eastAsia="Arial" w:hAnsi="Arial"/>
                <w:sz w:val="18"/>
                <w:szCs w:val="18"/>
                <w:color w:val="auto"/>
              </w:rPr>
              <w:t xml:space="preserve">DCF Excess/(Shortage) </w:t>
            </w:r>
            <w:r>
              <w:rPr>
                <w:rFonts w:ascii="Arial" w:cs="Arial" w:eastAsia="Arial" w:hAnsi="Arial"/>
                <w:sz w:val="23"/>
                <w:szCs w:val="23"/>
                <w:color w:val="auto"/>
                <w:vertAlign w:val="superscript"/>
              </w:rPr>
              <w:t>(6)</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700" w:right="80" w:hanging="692"/>
        <w:spacing w:after="0" w:line="259" w:lineRule="auto"/>
        <w:tabs>
          <w:tab w:leader="none" w:pos="683" w:val="left"/>
        </w:tabs>
        <w:numPr>
          <w:ilvl w:val="0"/>
          <w:numId w:val="18"/>
        </w:numPr>
        <w:rPr>
          <w:rFonts w:ascii="Arial" w:cs="Arial" w:eastAsia="Arial" w:hAnsi="Arial"/>
          <w:sz w:val="22"/>
          <w:szCs w:val="22"/>
          <w:color w:val="auto"/>
          <w:vertAlign w:val="superscript"/>
        </w:rPr>
      </w:pPr>
      <w:r>
        <w:rPr>
          <w:rFonts w:ascii="Arial" w:cs="Arial" w:eastAsia="Arial" w:hAnsi="Arial"/>
          <w:sz w:val="17"/>
          <w:szCs w:val="17"/>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EBITDA. We also exclude the impact of corresponding inventory valuation adjustments, as applicable. See Note 10 to our condensed consolidated financial statements for a comprehensive discussion regarding our derivatives and risk management activities.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700" w:right="60" w:hanging="692"/>
        <w:spacing w:after="0" w:line="275" w:lineRule="auto"/>
        <w:tabs>
          <w:tab w:leader="none" w:pos="689" w:val="left"/>
        </w:tabs>
        <w:numPr>
          <w:ilvl w:val="0"/>
          <w:numId w:val="19"/>
        </w:numPr>
        <w:rPr>
          <w:rFonts w:ascii="Arial" w:cs="Arial" w:eastAsia="Arial" w:hAnsi="Arial"/>
          <w:sz w:val="21"/>
          <w:szCs w:val="21"/>
          <w:color w:val="auto"/>
          <w:vertAlign w:val="superscript"/>
        </w:rPr>
      </w:pPr>
      <w:r>
        <w:rPr>
          <w:rFonts w:ascii="Arial" w:cs="Arial" w:eastAsia="Arial" w:hAnsi="Arial"/>
          <w:sz w:val="16"/>
          <w:szCs w:val="16"/>
          <w:color w:val="auto"/>
        </w:rPr>
        <w:t>Our total equity-indexed compensation expense includes expense associated with awards that will or may be settled in units and awards that will or may be settled in cash. The awards that will or may be settled in units are included in our diluted earnings per unit calculation when the applicable performance criteria have been met. We consider the compensation expense associated with these awards as a selected item impacting comparability as the dilutive impact of the outstanding awards is included in our diluted earnings per unit calculation and the majority of the awards are expected to be settled in units. The portion of compensation expense associated with awards that are certain to be settled in cash is not</w:t>
      </w:r>
    </w:p>
    <w:p>
      <w:pPr>
        <w:sectPr>
          <w:pgSz w:w="11900" w:h="16838" w:orient="portrait"/>
          <w:cols w:equalWidth="0" w:num="1">
            <w:col w:w="11420"/>
          </w:cols>
          <w:pgMar w:left="240" w:top="125" w:right="239" w:bottom="0" w:gutter="0" w:footer="0" w:header="0"/>
        </w:sectPr>
      </w:pPr>
    </w:p>
    <w:bookmarkStart w:id="22" w:name="page23"/>
    <w:bookmarkEnd w:id="22"/>
    <w:p>
      <w:pPr>
        <w:spacing w:after="0" w:line="62" w:lineRule="exact"/>
        <w:rPr>
          <w:sz w:val="20"/>
          <w:szCs w:val="20"/>
          <w:color w:val="auto"/>
        </w:rPr>
      </w:pPr>
    </w:p>
    <w:p>
      <w:pPr>
        <w:ind w:left="700" w:right="160"/>
        <w:spacing w:after="0" w:line="277" w:lineRule="auto"/>
        <w:rPr>
          <w:sz w:val="20"/>
          <w:szCs w:val="20"/>
          <w:color w:val="auto"/>
        </w:rPr>
      </w:pPr>
      <w:r>
        <w:rPr>
          <w:rFonts w:ascii="Arial" w:cs="Arial" w:eastAsia="Arial" w:hAnsi="Arial"/>
          <w:sz w:val="18"/>
          <w:szCs w:val="18"/>
          <w:color w:val="auto"/>
        </w:rPr>
        <w:t>considered a selected item impacting comparability. See Note 15 to our Consolidated Financial Statements included in Part IV of our 2013 Annual Report on Form 10-K for a comprehensive discussion regarding our equity-indexed compensation plans.</w:t>
      </w:r>
    </w:p>
    <w:p>
      <w:pPr>
        <w:spacing w:after="0" w:line="170" w:lineRule="exact"/>
        <w:rPr>
          <w:sz w:val="20"/>
          <w:szCs w:val="20"/>
          <w:color w:val="auto"/>
        </w:rPr>
      </w:pPr>
    </w:p>
    <w:p>
      <w:pPr>
        <w:ind w:left="700" w:right="260" w:hanging="674"/>
        <w:spacing w:after="0" w:line="238" w:lineRule="auto"/>
        <w:tabs>
          <w:tab w:leader="none" w:pos="694"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During the three and nine months ended September 30, 2014 and 2013, there were fluctuations in the value of the Canadian dollar (“CAD”) to the U.S. dollar (“USD”), resulting in gains and losses that were not related to our core operating results for the period and were thus classified as selected items impacting comparability. See Note 10 to our condensed consolidated financial statements for further discussion regarding our currency exchange rate risk hedging activities.</w:t>
      </w:r>
    </w:p>
    <w:p>
      <w:pPr>
        <w:sectPr>
          <w:pgSz w:w="11900" w:h="16900" w:orient="portrait"/>
          <w:cols w:equalWidth="0" w:num="1">
            <w:col w:w="11460"/>
          </w:cols>
          <w:pgMar w:left="240" w:top="125" w:right="199" w:bottom="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20" w:right="160" w:hanging="10"/>
        <w:spacing w:after="0" w:line="277" w:lineRule="auto"/>
        <w:rPr>
          <w:sz w:val="20"/>
          <w:szCs w:val="20"/>
          <w:color w:val="auto"/>
        </w:rPr>
      </w:pPr>
      <w:r>
        <w:rPr>
          <w:rFonts w:ascii="Arial" w:cs="Arial" w:eastAsia="Arial" w:hAnsi="Arial"/>
          <w:sz w:val="18"/>
          <w:szCs w:val="18"/>
          <w:color w:val="auto"/>
        </w:rPr>
        <w:t>Maintenance capital expenditures are defined as capital expenditures for the replacement of partially or fully depreciated assets in order to maintain the operating and/or earnings capacity of our existing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Includes distributions that pertain to the current period’s net income and are paid in the subsequent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Excess DCF is retained to establish reserves for future distributions, capital expenditures and other partnership purposes.</w:t>
      </w:r>
    </w:p>
    <w:p>
      <w:pPr>
        <w:spacing w:after="0" w:line="200" w:lineRule="exact"/>
        <w:rPr>
          <w:sz w:val="20"/>
          <w:szCs w:val="20"/>
          <w:color w:val="auto"/>
        </w:rPr>
      </w:pPr>
    </w:p>
    <w:p>
      <w:pPr>
        <w:sectPr>
          <w:pgSz w:w="11900" w:h="16900" w:orient="portrait"/>
          <w:cols w:equalWidth="0" w:num="2">
            <w:col w:w="140" w:space="540"/>
            <w:col w:w="10780"/>
          </w:cols>
          <w:pgMar w:left="240" w:top="125" w:right="199" w:bottom="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Transportation Segment</w:t>
      </w:r>
    </w:p>
    <w:p>
      <w:pPr>
        <w:spacing w:after="0" w:line="229"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NGL on pipelines, gathering systems, trucks and barges. The Transportation segment generates revenue through a combination of tariffs, third-party leases of pipeline capacity and other transportation fees.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operating results from our Transportation segment for the periods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8"/>
            <w:vMerge w:val="restart"/>
          </w:tcPr>
          <w:p>
            <w:pPr>
              <w:jc w:val="right"/>
              <w:ind w:right="260"/>
              <w:spacing w:after="0"/>
              <w:rPr>
                <w:sz w:val="20"/>
                <w:szCs w:val="20"/>
                <w:color w:val="auto"/>
              </w:rPr>
            </w:pPr>
            <w:r>
              <w:rPr>
                <w:rFonts w:ascii="Arial" w:cs="Arial" w:eastAsia="Arial" w:hAnsi="Arial"/>
                <w:sz w:val="14"/>
                <w:szCs w:val="14"/>
                <w:b w:val="1"/>
                <w:bCs w:val="1"/>
                <w:color w:val="auto"/>
                <w:w w:val="99"/>
              </w:rPr>
              <w:t>Three Months Ended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7"/>
          </w:tcPr>
          <w:p>
            <w:pPr>
              <w:jc w:val="center"/>
              <w:ind w:right="500"/>
              <w:spacing w:after="0"/>
              <w:rPr>
                <w:sz w:val="20"/>
                <w:szCs w:val="20"/>
                <w:color w:val="auto"/>
              </w:rPr>
            </w:pPr>
            <w:r>
              <w:rPr>
                <w:rFonts w:ascii="Arial" w:cs="Arial" w:eastAsia="Arial" w:hAnsi="Arial"/>
                <w:sz w:val="14"/>
                <w:szCs w:val="14"/>
                <w:b w:val="1"/>
                <w:bCs w:val="1"/>
                <w:color w:val="auto"/>
                <w:w w:val="94"/>
              </w:rPr>
              <w:t>Favorable/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8"/>
            <w:vMerge w:val="restart"/>
          </w:tcPr>
          <w:p>
            <w:pPr>
              <w:jc w:val="right"/>
              <w:ind w:right="380"/>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5"/>
          </w:tcPr>
          <w:p>
            <w:pPr>
              <w:jc w:val="center"/>
              <w:ind w:left="155"/>
              <w:spacing w:after="0"/>
              <w:rPr>
                <w:sz w:val="20"/>
                <w:szCs w:val="20"/>
                <w:color w:val="auto"/>
              </w:rPr>
            </w:pPr>
            <w:r>
              <w:rPr>
                <w:rFonts w:ascii="Arial" w:cs="Arial" w:eastAsia="Arial" w:hAnsi="Arial"/>
                <w:sz w:val="14"/>
                <w:szCs w:val="14"/>
                <w:b w:val="1"/>
                <w:bCs w:val="1"/>
                <w:color w:val="auto"/>
                <w:w w:val="94"/>
              </w:rPr>
              <w:t>Favorable/</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8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8"/>
                <w:szCs w:val="8"/>
                <w:b w:val="1"/>
                <w:bCs w:val="1"/>
                <w:color w:val="auto"/>
              </w:rPr>
              <w:t>(1)</w:t>
            </w:r>
          </w:p>
        </w:tc>
        <w:tc>
          <w:tcPr>
            <w:tcW w:w="120" w:type="dxa"/>
            <w:vAlign w:val="bottom"/>
          </w:tcPr>
          <w:p>
            <w:pPr>
              <w:spacing w:after="0"/>
              <w:rPr>
                <w:sz w:val="12"/>
                <w:szCs w:val="12"/>
                <w:color w:val="auto"/>
              </w:rPr>
            </w:pPr>
          </w:p>
        </w:tc>
        <w:tc>
          <w:tcPr>
            <w:tcW w:w="1660" w:type="dxa"/>
            <w:vAlign w:val="bottom"/>
            <w:gridSpan w:val="8"/>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gridSpan w:val="7"/>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(Unfavorable)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8"/>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7"/>
          </w:tcPr>
          <w:p>
            <w:pPr>
              <w:jc w:val="center"/>
              <w:ind w:right="375"/>
              <w:spacing w:after="0" w:line="149" w:lineRule="exact"/>
              <w:rPr>
                <w:sz w:val="20"/>
                <w:szCs w:val="20"/>
                <w:color w:val="auto"/>
              </w:rPr>
            </w:pPr>
            <w:r>
              <w:rPr>
                <w:rFonts w:ascii="Arial" w:cs="Arial" w:eastAsia="Arial" w:hAnsi="Arial"/>
                <w:sz w:val="14"/>
                <w:szCs w:val="14"/>
                <w:b w:val="1"/>
                <w:bCs w:val="1"/>
                <w:color w:val="auto"/>
                <w:w w:val="95"/>
              </w:rPr>
              <w:t>(Unfavorable)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8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8"/>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7"/>
          </w:tcPr>
          <w:p>
            <w:pPr>
              <w:jc w:val="center"/>
              <w:ind w:right="500"/>
              <w:spacing w:after="0"/>
              <w:rPr>
                <w:sz w:val="20"/>
                <w:szCs w:val="20"/>
                <w:color w:val="auto"/>
              </w:rPr>
            </w:pPr>
            <w:r>
              <w:rPr>
                <w:rFonts w:ascii="Arial" w:cs="Arial" w:eastAsia="Arial" w:hAnsi="Arial"/>
                <w:sz w:val="14"/>
                <w:szCs w:val="14"/>
                <w:b w:val="1"/>
                <w:bCs w:val="1"/>
                <w:color w:val="auto"/>
                <w:w w:val="92"/>
              </w:rPr>
              <w:t>Variance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8"/>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5"/>
          </w:tcPr>
          <w:p>
            <w:pPr>
              <w:jc w:val="center"/>
              <w:ind w:left="155"/>
              <w:spacing w:after="0"/>
              <w:rPr>
                <w:sz w:val="20"/>
                <w:szCs w:val="20"/>
                <w:color w:val="auto"/>
              </w:rPr>
            </w:pPr>
            <w:r>
              <w:rPr>
                <w:rFonts w:ascii="Arial" w:cs="Arial" w:eastAsia="Arial" w:hAnsi="Arial"/>
                <w:sz w:val="14"/>
                <w:szCs w:val="14"/>
                <w:b w:val="1"/>
                <w:bCs w:val="1"/>
                <w:color w:val="auto"/>
                <w:w w:val="92"/>
              </w:rPr>
              <w:t>Variance</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80" w:type="dxa"/>
            <w:vAlign w:val="bottom"/>
            <w:gridSpan w:val="6"/>
          </w:tcPr>
          <w:p>
            <w:pPr>
              <w:spacing w:after="0" w:line="142" w:lineRule="exact"/>
              <w:rPr>
                <w:sz w:val="20"/>
                <w:szCs w:val="20"/>
                <w:color w:val="auto"/>
              </w:rPr>
            </w:pPr>
            <w:r>
              <w:rPr>
                <w:rFonts w:ascii="Arial" w:cs="Arial" w:eastAsia="Arial" w:hAnsi="Arial"/>
                <w:sz w:val="14"/>
                <w:szCs w:val="14"/>
                <w:b w:val="1"/>
                <w:bCs w:val="1"/>
                <w:color w:val="auto"/>
              </w:rPr>
              <w:t>(in millions, except per barrel data)</w:t>
            </w: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w w:val="96"/>
              </w:rPr>
              <w:t>2014</w:t>
            </w:r>
          </w:p>
        </w:tc>
        <w:tc>
          <w:tcPr>
            <w:tcW w:w="1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6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7"/>
                <w:szCs w:val="17"/>
                <w:color w:val="auto"/>
              </w:rPr>
              <w:t>Revenues</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20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left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5"/>
          </w:tcPr>
          <w:p>
            <w:pPr>
              <w:ind w:left="160"/>
              <w:spacing w:after="0"/>
              <w:rPr>
                <w:sz w:val="20"/>
                <w:szCs w:val="20"/>
                <w:color w:val="auto"/>
              </w:rPr>
            </w:pPr>
            <w:r>
              <w:rPr>
                <w:rFonts w:ascii="Arial" w:cs="Arial" w:eastAsia="Arial" w:hAnsi="Arial"/>
                <w:sz w:val="17"/>
                <w:szCs w:val="17"/>
                <w:color w:val="auto"/>
              </w:rPr>
              <w:t>Tariff activities</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660" w:type="dxa"/>
            <w:vAlign w:val="bottom"/>
            <w:gridSpan w:val="3"/>
          </w:tcPr>
          <w:p>
            <w:pPr>
              <w:jc w:val="right"/>
              <w:ind w:right="40"/>
              <w:spacing w:after="0"/>
              <w:rPr>
                <w:sz w:val="20"/>
                <w:szCs w:val="20"/>
                <w:color w:val="auto"/>
              </w:rPr>
            </w:pPr>
            <w:r>
              <w:rPr>
                <w:rFonts w:ascii="Arial" w:cs="Arial" w:eastAsia="Arial" w:hAnsi="Arial"/>
                <w:sz w:val="17"/>
                <w:szCs w:val="17"/>
                <w:color w:val="auto"/>
              </w:rPr>
              <w:t>372</w:t>
            </w:r>
          </w:p>
        </w:tc>
        <w:tc>
          <w:tcPr>
            <w:tcW w:w="200" w:type="dxa"/>
            <w:vAlign w:val="bottom"/>
          </w:tcPr>
          <w:p>
            <w:pPr>
              <w:spacing w:after="0"/>
              <w:rPr>
                <w:sz w:val="17"/>
                <w:szCs w:val="17"/>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640" w:type="dxa"/>
            <w:vAlign w:val="bottom"/>
            <w:gridSpan w:val="3"/>
          </w:tcPr>
          <w:p>
            <w:pPr>
              <w:jc w:val="right"/>
              <w:ind w:right="60"/>
              <w:spacing w:after="0"/>
              <w:rPr>
                <w:sz w:val="20"/>
                <w:szCs w:val="20"/>
                <w:color w:val="auto"/>
              </w:rPr>
            </w:pPr>
            <w:r>
              <w:rPr>
                <w:rFonts w:ascii="Arial" w:cs="Arial" w:eastAsia="Arial" w:hAnsi="Arial"/>
                <w:sz w:val="17"/>
                <w:szCs w:val="17"/>
                <w:color w:val="auto"/>
              </w:rPr>
              <w:t>329</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43</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Arial" w:cs="Arial" w:eastAsia="Arial" w:hAnsi="Arial"/>
                <w:sz w:val="17"/>
                <w:szCs w:val="17"/>
                <w:color w:val="auto"/>
              </w:rPr>
              <w:t>13%</w:t>
            </w:r>
          </w:p>
        </w:tc>
        <w:tc>
          <w:tcPr>
            <w:tcW w:w="200" w:type="dxa"/>
            <w:vAlign w:val="bottom"/>
            <w:tcBorders>
              <w:right w:val="single" w:sz="8" w:color="auto"/>
            </w:tcBorders>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3"/>
          </w:tcPr>
          <w:p>
            <w:pPr>
              <w:jc w:val="right"/>
              <w:ind w:right="120"/>
              <w:spacing w:after="0"/>
              <w:rPr>
                <w:sz w:val="20"/>
                <w:szCs w:val="20"/>
                <w:color w:val="auto"/>
              </w:rPr>
            </w:pPr>
            <w:r>
              <w:rPr>
                <w:rFonts w:ascii="Arial" w:cs="Arial" w:eastAsia="Arial" w:hAnsi="Arial"/>
                <w:sz w:val="17"/>
                <w:szCs w:val="17"/>
                <w:color w:val="auto"/>
              </w:rPr>
              <w:t>1,063</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959</w:t>
            </w:r>
          </w:p>
        </w:tc>
        <w:tc>
          <w:tcPr>
            <w:tcW w:w="140" w:type="dxa"/>
            <w:vAlign w:val="bottom"/>
          </w:tcPr>
          <w:p>
            <w:pPr>
              <w:spacing w:after="0"/>
              <w:rPr>
                <w:sz w:val="17"/>
                <w:szCs w:val="17"/>
                <w:color w:val="auto"/>
              </w:rPr>
            </w:pPr>
          </w:p>
        </w:tc>
        <w:tc>
          <w:tcPr>
            <w:tcW w:w="280" w:type="dxa"/>
            <w:vAlign w:val="bottom"/>
            <w:gridSpan w:val="2"/>
          </w:tcPr>
          <w:p>
            <w:pPr>
              <w:jc w:val="right"/>
              <w:ind w:right="46"/>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rPr>
              <w:t>104</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gridSpan w:val="2"/>
          </w:tcPr>
          <w:p>
            <w:pPr>
              <w:jc w:val="right"/>
              <w:ind w:right="35"/>
              <w:spacing w:after="0"/>
              <w:rPr>
                <w:sz w:val="20"/>
                <w:szCs w:val="20"/>
                <w:color w:val="auto"/>
              </w:rPr>
            </w:pPr>
            <w:r>
              <w:rPr>
                <w:rFonts w:ascii="Arial" w:cs="Arial" w:eastAsia="Arial" w:hAnsi="Arial"/>
                <w:sz w:val="17"/>
                <w:szCs w:val="17"/>
                <w:color w:val="auto"/>
              </w:rPr>
              <w:t>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5"/>
            <w:shd w:val="clear" w:color="auto" w:fill="CCEEFF"/>
          </w:tcPr>
          <w:p>
            <w:pPr>
              <w:ind w:left="160"/>
              <w:spacing w:after="0"/>
              <w:rPr>
                <w:sz w:val="20"/>
                <w:szCs w:val="20"/>
                <w:color w:val="auto"/>
              </w:rPr>
            </w:pPr>
            <w:r>
              <w:rPr>
                <w:rFonts w:ascii="Arial" w:cs="Arial" w:eastAsia="Arial" w:hAnsi="Arial"/>
                <w:sz w:val="17"/>
                <w:szCs w:val="17"/>
                <w:color w:val="auto"/>
              </w:rPr>
              <w:t>Trucking</w:t>
            </w:r>
          </w:p>
        </w:tc>
        <w:tc>
          <w:tcPr>
            <w:tcW w:w="12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52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49</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8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159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gridSpan w:val="5"/>
            <w:vMerge w:val="restart"/>
          </w:tcPr>
          <w:p>
            <w:pPr>
              <w:spacing w:after="0"/>
              <w:rPr>
                <w:sz w:val="20"/>
                <w:szCs w:val="20"/>
                <w:color w:val="auto"/>
              </w:rPr>
            </w:pPr>
            <w:r>
              <w:rPr>
                <w:rFonts w:ascii="Arial" w:cs="Arial" w:eastAsia="Arial" w:hAnsi="Arial"/>
                <w:sz w:val="17"/>
                <w:szCs w:val="17"/>
                <w:color w:val="auto"/>
              </w:rPr>
              <w:t>Total transportation revenues</w:t>
            </w: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gridSpan w:val="5"/>
            <w:vMerge w:val="continue"/>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424</w:t>
            </w:r>
          </w:p>
        </w:tc>
        <w:tc>
          <w:tcPr>
            <w:tcW w:w="4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378</w:t>
            </w:r>
          </w:p>
        </w:tc>
        <w:tc>
          <w:tcPr>
            <w:tcW w:w="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46</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Arial" w:cs="Arial" w:eastAsia="Arial" w:hAnsi="Arial"/>
                <w:sz w:val="17"/>
                <w:szCs w:val="17"/>
                <w:color w:val="auto"/>
              </w:rPr>
              <w:t>12%</w:t>
            </w:r>
          </w:p>
        </w:tc>
        <w:tc>
          <w:tcPr>
            <w:tcW w:w="2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1,222</w:t>
            </w:r>
          </w:p>
        </w:tc>
        <w:tc>
          <w:tcPr>
            <w:tcW w:w="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1,111</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111</w:t>
            </w:r>
          </w:p>
        </w:tc>
        <w:tc>
          <w:tcPr>
            <w:tcW w:w="4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gridSpan w:val="2"/>
          </w:tcPr>
          <w:p>
            <w:pPr>
              <w:jc w:val="right"/>
              <w:ind w:right="35"/>
              <w:spacing w:after="0"/>
              <w:rPr>
                <w:sz w:val="20"/>
                <w:szCs w:val="20"/>
                <w:color w:val="auto"/>
              </w:rPr>
            </w:pPr>
            <w:r>
              <w:rPr>
                <w:rFonts w:ascii="Arial" w:cs="Arial" w:eastAsia="Arial" w:hAnsi="Arial"/>
                <w:sz w:val="17"/>
                <w:szCs w:val="17"/>
                <w:color w:val="auto"/>
              </w:rPr>
              <w:t>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60" w:type="dxa"/>
            <w:vAlign w:val="bottom"/>
            <w:gridSpan w:val="5"/>
          </w:tcPr>
          <w:p>
            <w:pPr>
              <w:spacing w:after="0"/>
              <w:rPr>
                <w:sz w:val="20"/>
                <w:szCs w:val="20"/>
                <w:color w:val="auto"/>
              </w:rPr>
            </w:pPr>
            <w:r>
              <w:rPr>
                <w:rFonts w:ascii="Arial" w:cs="Arial" w:eastAsia="Arial" w:hAnsi="Arial"/>
                <w:sz w:val="17"/>
                <w:szCs w:val="17"/>
                <w:color w:val="auto"/>
              </w:rPr>
              <w:t>Costs and Expenses</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5"/>
            <w:shd w:val="clear" w:color="auto" w:fill="CCEEFF"/>
          </w:tcPr>
          <w:p>
            <w:pPr>
              <w:ind w:left="160"/>
              <w:spacing w:after="0"/>
              <w:rPr>
                <w:sz w:val="20"/>
                <w:szCs w:val="20"/>
                <w:color w:val="auto"/>
              </w:rPr>
            </w:pPr>
            <w:r>
              <w:rPr>
                <w:rFonts w:ascii="Arial" w:cs="Arial" w:eastAsia="Arial" w:hAnsi="Arial"/>
                <w:sz w:val="17"/>
                <w:szCs w:val="17"/>
                <w:color w:val="auto"/>
              </w:rPr>
              <w:t>Trucking costs</w:t>
            </w:r>
          </w:p>
        </w:tc>
        <w:tc>
          <w:tcPr>
            <w:tcW w:w="12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(38)</w:t>
            </w:r>
          </w:p>
        </w:tc>
        <w:tc>
          <w:tcPr>
            <w:tcW w:w="16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7"/>
                <w:szCs w:val="17"/>
                <w:color w:val="auto"/>
              </w:rPr>
            </w:pPr>
          </w:p>
        </w:tc>
        <w:tc>
          <w:tcPr>
            <w:tcW w:w="960" w:type="dxa"/>
            <w:vAlign w:val="bottom"/>
            <w:tcBorders>
              <w:right w:val="single" w:sz="8" w:color="auto"/>
            </w:tcBorders>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(116)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(109)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(7)</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5"/>
          </w:tcPr>
          <w:p>
            <w:pPr>
              <w:ind w:left="160"/>
              <w:spacing w:after="0"/>
              <w:rPr>
                <w:sz w:val="20"/>
                <w:szCs w:val="20"/>
                <w:color w:val="auto"/>
              </w:rPr>
            </w:pPr>
            <w:r>
              <w:rPr>
                <w:rFonts w:ascii="Arial" w:cs="Arial" w:eastAsia="Arial" w:hAnsi="Arial"/>
                <w:sz w:val="17"/>
                <w:szCs w:val="17"/>
                <w:color w:val="auto"/>
              </w:rPr>
              <w:t>Field operating costs</w:t>
            </w:r>
            <w:r>
              <w:rPr>
                <w:rFonts w:ascii="Arial" w:cs="Arial" w:eastAsia="Arial" w:hAnsi="Arial"/>
                <w:sz w:val="10"/>
                <w:szCs w:val="10"/>
                <w:color w:val="auto"/>
              </w:rPr>
              <w:t>(2)</w:t>
            </w:r>
          </w:p>
        </w:tc>
        <w:tc>
          <w:tcPr>
            <w:tcW w:w="120" w:type="dxa"/>
            <w:vAlign w:val="bottom"/>
          </w:tcPr>
          <w:p>
            <w:pPr>
              <w:spacing w:after="0"/>
              <w:rPr>
                <w:sz w:val="17"/>
                <w:szCs w:val="17"/>
                <w:color w:val="auto"/>
              </w:rPr>
            </w:pPr>
          </w:p>
        </w:tc>
        <w:tc>
          <w:tcPr>
            <w:tcW w:w="860" w:type="dxa"/>
            <w:vAlign w:val="bottom"/>
            <w:gridSpan w:val="4"/>
          </w:tcPr>
          <w:p>
            <w:pPr>
              <w:jc w:val="right"/>
              <w:ind w:right="180"/>
              <w:spacing w:after="0"/>
              <w:rPr>
                <w:sz w:val="20"/>
                <w:szCs w:val="20"/>
                <w:color w:val="auto"/>
              </w:rPr>
            </w:pPr>
            <w:r>
              <w:rPr>
                <w:rFonts w:ascii="Arial" w:cs="Arial" w:eastAsia="Arial" w:hAnsi="Arial"/>
                <w:sz w:val="17"/>
                <w:szCs w:val="17"/>
                <w:color w:val="auto"/>
              </w:rPr>
              <w:t>(153)</w:t>
            </w:r>
          </w:p>
        </w:tc>
        <w:tc>
          <w:tcPr>
            <w:tcW w:w="160" w:type="dxa"/>
            <w:vAlign w:val="bottom"/>
          </w:tcPr>
          <w:p>
            <w:pPr>
              <w:spacing w:after="0"/>
              <w:rPr>
                <w:sz w:val="17"/>
                <w:szCs w:val="17"/>
                <w:color w:val="auto"/>
              </w:rPr>
            </w:pPr>
          </w:p>
        </w:tc>
        <w:tc>
          <w:tcPr>
            <w:tcW w:w="640" w:type="dxa"/>
            <w:vAlign w:val="bottom"/>
            <w:gridSpan w:val="3"/>
          </w:tcPr>
          <w:p>
            <w:pPr>
              <w:jc w:val="right"/>
              <w:spacing w:after="0"/>
              <w:rPr>
                <w:sz w:val="20"/>
                <w:szCs w:val="20"/>
                <w:color w:val="auto"/>
              </w:rPr>
            </w:pPr>
            <w:r>
              <w:rPr>
                <w:rFonts w:ascii="Arial" w:cs="Arial" w:eastAsia="Arial" w:hAnsi="Arial"/>
                <w:sz w:val="17"/>
                <w:szCs w:val="17"/>
                <w:color w:val="auto"/>
              </w:rPr>
              <w:t>(131)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(22)</w:t>
            </w:r>
          </w:p>
        </w:tc>
        <w:tc>
          <w:tcPr>
            <w:tcW w:w="120" w:type="dxa"/>
            <w:vAlign w:val="bottom"/>
          </w:tcPr>
          <w:p>
            <w:pPr>
              <w:spacing w:after="0"/>
              <w:rPr>
                <w:sz w:val="17"/>
                <w:szCs w:val="17"/>
                <w:color w:val="auto"/>
              </w:rPr>
            </w:pPr>
          </w:p>
        </w:tc>
        <w:tc>
          <w:tcPr>
            <w:tcW w:w="960" w:type="dxa"/>
            <w:vAlign w:val="bottom"/>
            <w:tcBorders>
              <w:right w:val="single" w:sz="8" w:color="auto"/>
            </w:tcBorders>
            <w:gridSpan w:val="4"/>
          </w:tcPr>
          <w:p>
            <w:pPr>
              <w:jc w:val="right"/>
              <w:ind w:right="200"/>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7"/>
                <w:szCs w:val="17"/>
                <w:color w:val="auto"/>
              </w:rPr>
              <w:t>(419)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7"/>
                <w:szCs w:val="17"/>
                <w:color w:val="auto"/>
              </w:rPr>
              <w:t>(402)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7"/>
                <w:szCs w:val="17"/>
                <w:color w:val="auto"/>
              </w:rPr>
              <w:t>(17)</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560" w:type="dxa"/>
            <w:vAlign w:val="bottom"/>
            <w:gridSpan w:val="5"/>
            <w:shd w:val="clear" w:color="auto" w:fill="CCEEFF"/>
          </w:tcPr>
          <w:p>
            <w:pPr>
              <w:ind w:left="160"/>
              <w:spacing w:after="0" w:line="185" w:lineRule="exact"/>
              <w:rPr>
                <w:sz w:val="20"/>
                <w:szCs w:val="20"/>
                <w:color w:val="auto"/>
              </w:rPr>
            </w:pPr>
            <w:r>
              <w:rPr>
                <w:rFonts w:ascii="Arial" w:cs="Arial" w:eastAsia="Arial" w:hAnsi="Arial"/>
                <w:sz w:val="17"/>
                <w:szCs w:val="17"/>
                <w:color w:val="auto"/>
              </w:rPr>
              <w:t>Equity-indexed compensation expense -</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80" w:type="dxa"/>
            <w:vAlign w:val="bottom"/>
            <w:tcBorders>
              <w:left w:val="single" w:sz="8" w:color="CCEEFF"/>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80" w:type="dxa"/>
            <w:vAlign w:val="bottom"/>
            <w:tcBorders>
              <w:left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560" w:type="dxa"/>
            <w:vAlign w:val="bottom"/>
            <w:gridSpan w:val="5"/>
            <w:shd w:val="clear" w:color="auto" w:fill="CCEEFF"/>
          </w:tcPr>
          <w:p>
            <w:pPr>
              <w:ind w:left="340"/>
              <w:spacing w:after="0"/>
              <w:rPr>
                <w:sz w:val="20"/>
                <w:szCs w:val="20"/>
                <w:color w:val="auto"/>
              </w:rPr>
            </w:pPr>
            <w:r>
              <w:rPr>
                <w:rFonts w:ascii="Arial" w:cs="Arial" w:eastAsia="Arial" w:hAnsi="Arial"/>
                <w:sz w:val="17"/>
                <w:szCs w:val="17"/>
                <w:color w:val="auto"/>
              </w:rPr>
              <w:t>operations</w:t>
            </w:r>
          </w:p>
        </w:tc>
        <w:tc>
          <w:tcPr>
            <w:tcW w:w="120" w:type="dxa"/>
            <w:vAlign w:val="bottom"/>
            <w:shd w:val="clear" w:color="auto" w:fill="CCEEFF"/>
          </w:tcPr>
          <w:p>
            <w:pPr>
              <w:spacing w:after="0"/>
              <w:rPr>
                <w:sz w:val="19"/>
                <w:szCs w:val="19"/>
                <w:color w:val="auto"/>
              </w:rPr>
            </w:pPr>
          </w:p>
        </w:tc>
        <w:tc>
          <w:tcPr>
            <w:tcW w:w="860" w:type="dxa"/>
            <w:vAlign w:val="bottom"/>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(4)</w:t>
            </w:r>
          </w:p>
        </w:tc>
        <w:tc>
          <w:tcPr>
            <w:tcW w:w="16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9"/>
                <w:szCs w:val="19"/>
                <w:color w:val="auto"/>
              </w:rPr>
            </w:pPr>
          </w:p>
        </w:tc>
        <w:tc>
          <w:tcPr>
            <w:tcW w:w="960" w:type="dxa"/>
            <w:vAlign w:val="bottom"/>
            <w:tcBorders>
              <w:right w:val="single" w:sz="8" w:color="auto"/>
            </w:tcBorders>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(33)%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w:t>
            </w: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560" w:type="dxa"/>
            <w:vAlign w:val="bottom"/>
            <w:gridSpan w:val="5"/>
          </w:tcPr>
          <w:p>
            <w:pPr>
              <w:ind w:left="160"/>
              <w:spacing w:after="0" w:line="153" w:lineRule="exact"/>
              <w:rPr>
                <w:sz w:val="20"/>
                <w:szCs w:val="20"/>
                <w:color w:val="auto"/>
              </w:rPr>
            </w:pPr>
            <w:r>
              <w:rPr>
                <w:rFonts w:ascii="Arial" w:cs="Arial" w:eastAsia="Arial" w:hAnsi="Arial"/>
                <w:sz w:val="17"/>
                <w:szCs w:val="17"/>
                <w:color w:val="auto"/>
                <w:w w:val="96"/>
              </w:rPr>
              <w:t>Segment general and administrative expenses</w:t>
            </w:r>
          </w:p>
        </w:tc>
        <w:tc>
          <w:tcPr>
            <w:tcW w:w="120" w:type="dxa"/>
            <w:vAlign w:val="bottom"/>
          </w:tcPr>
          <w:p>
            <w:pPr>
              <w:spacing w:after="0"/>
              <w:rPr>
                <w:sz w:val="13"/>
                <w:szCs w:val="13"/>
                <w:color w:val="auto"/>
              </w:rPr>
            </w:pPr>
          </w:p>
        </w:tc>
        <w:tc>
          <w:tcPr>
            <w:tcW w:w="860" w:type="dxa"/>
            <w:vAlign w:val="bottom"/>
            <w:gridSpan w:val="4"/>
            <w:vMerge w:val="restart"/>
          </w:tcPr>
          <w:p>
            <w:pPr>
              <w:jc w:val="right"/>
              <w:ind w:right="180"/>
              <w:spacing w:after="0"/>
              <w:rPr>
                <w:sz w:val="20"/>
                <w:szCs w:val="20"/>
                <w:color w:val="auto"/>
              </w:rPr>
            </w:pPr>
            <w:r>
              <w:rPr>
                <w:rFonts w:ascii="Arial" w:cs="Arial" w:eastAsia="Arial" w:hAnsi="Arial"/>
                <w:sz w:val="17"/>
                <w:szCs w:val="17"/>
                <w:color w:val="auto"/>
              </w:rPr>
              <w:t>(20)</w:t>
            </w:r>
          </w:p>
        </w:tc>
        <w:tc>
          <w:tcPr>
            <w:tcW w:w="160" w:type="dxa"/>
            <w:vAlign w:val="bottom"/>
          </w:tcPr>
          <w:p>
            <w:pPr>
              <w:spacing w:after="0"/>
              <w:rPr>
                <w:sz w:val="13"/>
                <w:szCs w:val="13"/>
                <w:color w:val="auto"/>
              </w:rPr>
            </w:pPr>
          </w:p>
        </w:tc>
        <w:tc>
          <w:tcPr>
            <w:tcW w:w="640" w:type="dxa"/>
            <w:vAlign w:val="bottom"/>
            <w:gridSpan w:val="3"/>
            <w:vMerge w:val="restart"/>
          </w:tcPr>
          <w:p>
            <w:pPr>
              <w:jc w:val="right"/>
              <w:spacing w:after="0"/>
              <w:rPr>
                <w:sz w:val="20"/>
                <w:szCs w:val="20"/>
                <w:color w:val="auto"/>
              </w:rPr>
            </w:pPr>
            <w:r>
              <w:rPr>
                <w:rFonts w:ascii="Arial" w:cs="Arial" w:eastAsia="Arial" w:hAnsi="Arial"/>
                <w:sz w:val="17"/>
                <w:szCs w:val="17"/>
                <w:color w:val="auto"/>
              </w:rPr>
              <w:t>(25)</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7"/>
                <w:szCs w:val="17"/>
                <w:color w:val="auto"/>
              </w:rPr>
              <w:t>5</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3"/>
            <w:vMerge w:val="restart"/>
          </w:tcPr>
          <w:p>
            <w:pPr>
              <w:jc w:val="right"/>
              <w:spacing w:after="0"/>
              <w:rPr>
                <w:sz w:val="20"/>
                <w:szCs w:val="20"/>
                <w:color w:val="auto"/>
              </w:rPr>
            </w:pPr>
            <w:r>
              <w:rPr>
                <w:rFonts w:ascii="Arial" w:cs="Arial" w:eastAsia="Arial" w:hAnsi="Arial"/>
                <w:sz w:val="17"/>
                <w:szCs w:val="17"/>
                <w:color w:val="auto"/>
              </w:rPr>
              <w:t>20%</w:t>
            </w:r>
          </w:p>
        </w:tc>
        <w:tc>
          <w:tcPr>
            <w:tcW w:w="2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3"/>
            <w:vMerge w:val="restart"/>
          </w:tcPr>
          <w:p>
            <w:pPr>
              <w:jc w:val="right"/>
              <w:ind w:right="60"/>
              <w:spacing w:after="0"/>
              <w:rPr>
                <w:sz w:val="20"/>
                <w:szCs w:val="20"/>
                <w:color w:val="auto"/>
              </w:rPr>
            </w:pPr>
            <w:r>
              <w:rPr>
                <w:rFonts w:ascii="Arial" w:cs="Arial" w:eastAsia="Arial" w:hAnsi="Arial"/>
                <w:sz w:val="17"/>
                <w:szCs w:val="17"/>
                <w:color w:val="auto"/>
              </w:rPr>
              <w:t>(62)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vMerge w:val="restart"/>
          </w:tcPr>
          <w:p>
            <w:pPr>
              <w:jc w:val="right"/>
              <w:ind w:right="80"/>
              <w:spacing w:after="0"/>
              <w:rPr>
                <w:sz w:val="20"/>
                <w:szCs w:val="20"/>
                <w:color w:val="auto"/>
              </w:rPr>
            </w:pPr>
            <w:r>
              <w:rPr>
                <w:rFonts w:ascii="Arial" w:cs="Arial" w:eastAsia="Arial" w:hAnsi="Arial"/>
                <w:sz w:val="17"/>
                <w:szCs w:val="17"/>
                <w:color w:val="auto"/>
              </w:rPr>
              <w:t>(74)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12</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gridSpan w:val="2"/>
            <w:vMerge w:val="restart"/>
          </w:tcPr>
          <w:p>
            <w:pPr>
              <w:jc w:val="right"/>
              <w:ind w:right="35"/>
              <w:spacing w:after="0"/>
              <w:rPr>
                <w:sz w:val="20"/>
                <w:szCs w:val="20"/>
                <w:color w:val="auto"/>
              </w:rPr>
            </w:pPr>
            <w:r>
              <w:rPr>
                <w:rFonts w:ascii="Arial" w:cs="Arial" w:eastAsia="Arial" w:hAnsi="Arial"/>
                <w:sz w:val="17"/>
                <w:szCs w:val="17"/>
                <w:color w:val="auto"/>
              </w:rPr>
              <w:t>16%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280" w:type="dxa"/>
            <w:vAlign w:val="bottom"/>
            <w:gridSpan w:val="2"/>
          </w:tcPr>
          <w:p>
            <w:pPr>
              <w:ind w:left="360"/>
              <w:spacing w:after="0"/>
              <w:rPr>
                <w:sz w:val="20"/>
                <w:szCs w:val="20"/>
                <w:color w:val="auto"/>
              </w:rPr>
            </w:pPr>
            <w:r>
              <w:rPr>
                <w:rFonts w:ascii="Arial" w:cs="Arial" w:eastAsia="Arial" w:hAnsi="Arial"/>
                <w:sz w:val="11"/>
                <w:szCs w:val="11"/>
                <w:color w:val="auto"/>
              </w:rPr>
              <w:t>(2) (3)</w:t>
            </w: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560" w:type="dxa"/>
            <w:vAlign w:val="bottom"/>
            <w:gridSpan w:val="5"/>
            <w:shd w:val="clear" w:color="auto" w:fill="CCEEFF"/>
          </w:tcPr>
          <w:p>
            <w:pPr>
              <w:ind w:left="160"/>
              <w:spacing w:after="0" w:line="187" w:lineRule="exact"/>
              <w:rPr>
                <w:sz w:val="20"/>
                <w:szCs w:val="20"/>
                <w:color w:val="auto"/>
              </w:rPr>
            </w:pPr>
            <w:r>
              <w:rPr>
                <w:rFonts w:ascii="Arial" w:cs="Arial" w:eastAsia="Arial" w:hAnsi="Arial"/>
                <w:sz w:val="17"/>
                <w:szCs w:val="17"/>
                <w:color w:val="auto"/>
              </w:rPr>
              <w:t>Equity-indexed compensation expense -</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80" w:type="dxa"/>
            <w:vAlign w:val="bottom"/>
            <w:tcBorders>
              <w:left w:val="single" w:sz="8" w:color="CCEEFF"/>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80" w:type="dxa"/>
            <w:vAlign w:val="bottom"/>
            <w:tcBorders>
              <w:left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560" w:type="dxa"/>
            <w:vAlign w:val="bottom"/>
            <w:gridSpan w:val="5"/>
            <w:shd w:val="clear" w:color="auto" w:fill="CCEEFF"/>
          </w:tcPr>
          <w:p>
            <w:pPr>
              <w:ind w:left="340"/>
              <w:spacing w:after="0"/>
              <w:rPr>
                <w:sz w:val="20"/>
                <w:szCs w:val="20"/>
                <w:color w:val="auto"/>
              </w:rPr>
            </w:pPr>
            <w:r>
              <w:rPr>
                <w:rFonts w:ascii="Arial" w:cs="Arial" w:eastAsia="Arial" w:hAnsi="Arial"/>
                <w:sz w:val="17"/>
                <w:szCs w:val="17"/>
                <w:color w:val="auto"/>
              </w:rPr>
              <w:t>general and administrative</w:t>
            </w:r>
          </w:p>
        </w:tc>
        <w:tc>
          <w:tcPr>
            <w:tcW w:w="120" w:type="dxa"/>
            <w:vAlign w:val="bottom"/>
            <w:shd w:val="clear" w:color="auto" w:fill="CCEEFF"/>
          </w:tcPr>
          <w:p>
            <w:pPr>
              <w:spacing w:after="0"/>
              <w:rPr>
                <w:sz w:val="19"/>
                <w:szCs w:val="19"/>
                <w:color w:val="auto"/>
              </w:rPr>
            </w:pPr>
          </w:p>
        </w:tc>
        <w:tc>
          <w:tcPr>
            <w:tcW w:w="860" w:type="dxa"/>
            <w:vAlign w:val="bottom"/>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(7)</w:t>
            </w:r>
          </w:p>
        </w:tc>
        <w:tc>
          <w:tcPr>
            <w:tcW w:w="16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9"/>
                <w:szCs w:val="19"/>
                <w:color w:val="auto"/>
              </w:rPr>
            </w:pPr>
          </w:p>
        </w:tc>
        <w:tc>
          <w:tcPr>
            <w:tcW w:w="960" w:type="dxa"/>
            <w:vAlign w:val="bottom"/>
            <w:tcBorders>
              <w:right w:val="single" w:sz="8" w:color="auto"/>
            </w:tcBorders>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(40)%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(31)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w:t>
            </w: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5"/>
          </w:tcPr>
          <w:p>
            <w:pPr>
              <w:spacing w:after="0"/>
              <w:rPr>
                <w:sz w:val="20"/>
                <w:szCs w:val="20"/>
                <w:color w:val="auto"/>
              </w:rPr>
            </w:pPr>
            <w:r>
              <w:rPr>
                <w:rFonts w:ascii="Arial" w:cs="Arial" w:eastAsia="Arial" w:hAnsi="Arial"/>
                <w:sz w:val="17"/>
                <w:szCs w:val="17"/>
                <w:color w:val="auto"/>
              </w:rPr>
              <w:t>Equity earnings in unconsolidated entities</w:t>
            </w:r>
          </w:p>
        </w:tc>
        <w:tc>
          <w:tcPr>
            <w:tcW w:w="120" w:type="dxa"/>
            <w:vAlign w:val="bottom"/>
          </w:tcPr>
          <w:p>
            <w:pPr>
              <w:spacing w:after="0"/>
              <w:rPr>
                <w:sz w:val="17"/>
                <w:szCs w:val="17"/>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7"/>
                <w:szCs w:val="17"/>
                <w:color w:val="auto"/>
              </w:rPr>
              <w:t>29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7"/>
                <w:szCs w:val="17"/>
                <w:color w:val="auto"/>
              </w:rPr>
              <w:t>19</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10</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Arial" w:cs="Arial" w:eastAsia="Arial" w:hAnsi="Arial"/>
                <w:sz w:val="17"/>
                <w:szCs w:val="17"/>
                <w:color w:val="auto"/>
              </w:rPr>
              <w:t>53%</w:t>
            </w:r>
          </w:p>
        </w:tc>
        <w:tc>
          <w:tcPr>
            <w:tcW w:w="2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7"/>
                <w:szCs w:val="17"/>
                <w:color w:val="auto"/>
              </w:rPr>
              <w:t>73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42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rPr>
              <w:t>31</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gridSpan w:val="2"/>
          </w:tcPr>
          <w:p>
            <w:pPr>
              <w:jc w:val="right"/>
              <w:ind w:right="35"/>
              <w:spacing w:after="0"/>
              <w:rPr>
                <w:sz w:val="20"/>
                <w:szCs w:val="20"/>
                <w:color w:val="auto"/>
              </w:rPr>
            </w:pPr>
            <w:r>
              <w:rPr>
                <w:rFonts w:ascii="Arial" w:cs="Arial" w:eastAsia="Arial" w:hAnsi="Arial"/>
                <w:sz w:val="17"/>
                <w:szCs w:val="17"/>
                <w:color w:val="auto"/>
              </w:rPr>
              <w:t>74%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gridSpan w:val="5"/>
            <w:vMerge w:val="restart"/>
            <w:shd w:val="clear" w:color="auto" w:fill="CCEEFF"/>
          </w:tcPr>
          <w:p>
            <w:pPr>
              <w:spacing w:after="0"/>
              <w:rPr>
                <w:sz w:val="20"/>
                <w:szCs w:val="20"/>
                <w:color w:val="auto"/>
              </w:rPr>
            </w:pPr>
            <w:r>
              <w:rPr>
                <w:rFonts w:ascii="Arial" w:cs="Arial" w:eastAsia="Arial" w:hAnsi="Arial"/>
                <w:sz w:val="17"/>
                <w:szCs w:val="17"/>
                <w:color w:val="auto"/>
              </w:rPr>
              <w:t>Segment profit</w:t>
            </w: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gridSpan w:val="5"/>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231</w:t>
            </w:r>
          </w:p>
        </w:tc>
        <w:tc>
          <w:tcPr>
            <w:tcW w:w="4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198</w:t>
            </w:r>
          </w:p>
        </w:tc>
        <w:tc>
          <w:tcPr>
            <w:tcW w:w="6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28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200" w:type="dxa"/>
            <w:vAlign w:val="bottom"/>
            <w:tcBorders>
              <w:right w:val="single" w:sz="8" w:color="auto"/>
            </w:tcBorders>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658</w:t>
            </w:r>
          </w:p>
        </w:tc>
        <w:tc>
          <w:tcPr>
            <w:tcW w:w="12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522</w:t>
            </w:r>
          </w:p>
        </w:tc>
        <w:tc>
          <w:tcPr>
            <w:tcW w:w="140" w:type="dxa"/>
            <w:vAlign w:val="bottom"/>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4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26%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580" w:type="dxa"/>
            <w:vAlign w:val="bottom"/>
            <w:gridSpan w:val="6"/>
            <w:vMerge w:val="restart"/>
          </w:tcPr>
          <w:p>
            <w:pPr>
              <w:spacing w:after="0"/>
              <w:rPr>
                <w:sz w:val="20"/>
                <w:szCs w:val="20"/>
                <w:color w:val="auto"/>
              </w:rPr>
            </w:pPr>
            <w:r>
              <w:rPr>
                <w:rFonts w:ascii="Arial" w:cs="Arial" w:eastAsia="Arial" w:hAnsi="Arial"/>
                <w:sz w:val="17"/>
                <w:szCs w:val="17"/>
                <w:color w:val="auto"/>
              </w:rPr>
              <w:t>Maintenance capital</w:t>
            </w: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80" w:type="dxa"/>
            <w:vAlign w:val="bottom"/>
            <w:gridSpan w:val="6"/>
            <w:vMerge w:val="continue"/>
          </w:tcPr>
          <w:p>
            <w:pPr>
              <w:spacing w:after="0"/>
              <w:rPr>
                <w:sz w:val="19"/>
                <w:szCs w:val="19"/>
                <w:color w:val="auto"/>
              </w:rPr>
            </w:pPr>
          </w:p>
        </w:tc>
        <w:tc>
          <w:tcPr>
            <w:tcW w:w="120" w:type="dxa"/>
            <w:vAlign w:val="bottom"/>
          </w:tcPr>
          <w:p>
            <w:pPr>
              <w:spacing w:after="0" w:line="183" w:lineRule="exact"/>
              <w:rPr>
                <w:sz w:val="20"/>
                <w:szCs w:val="20"/>
                <w:color w:val="auto"/>
              </w:rPr>
            </w:pPr>
            <w:r>
              <w:rPr>
                <w:rFonts w:ascii="Arial" w:cs="Arial" w:eastAsia="Arial" w:hAnsi="Arial"/>
                <w:sz w:val="17"/>
                <w:szCs w:val="17"/>
                <w:color w:val="auto"/>
              </w:rPr>
              <w:t>$</w:t>
            </w:r>
          </w:p>
        </w:tc>
        <w:tc>
          <w:tcPr>
            <w:tcW w:w="62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35</w:t>
            </w:r>
          </w:p>
        </w:tc>
        <w:tc>
          <w:tcPr>
            <w:tcW w:w="4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29</w:t>
            </w:r>
          </w:p>
        </w:tc>
        <w:tc>
          <w:tcPr>
            <w:tcW w:w="6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80"/>
              <w:spacing w:after="0" w:line="183" w:lineRule="exact"/>
              <w:rPr>
                <w:sz w:val="20"/>
                <w:szCs w:val="20"/>
                <w:color w:val="auto"/>
              </w:rPr>
            </w:pPr>
            <w:r>
              <w:rPr>
                <w:rFonts w:ascii="Arial" w:cs="Arial" w:eastAsia="Arial" w:hAnsi="Arial"/>
                <w:sz w:val="17"/>
                <w:szCs w:val="17"/>
                <w:color w:val="auto"/>
              </w:rPr>
              <w:t>(6)</w:t>
            </w:r>
          </w:p>
        </w:tc>
        <w:tc>
          <w:tcPr>
            <w:tcW w:w="120" w:type="dxa"/>
            <w:vAlign w:val="bottom"/>
          </w:tcPr>
          <w:p>
            <w:pPr>
              <w:spacing w:after="0"/>
              <w:rPr>
                <w:sz w:val="19"/>
                <w:szCs w:val="19"/>
                <w:color w:val="auto"/>
              </w:rPr>
            </w:pPr>
          </w:p>
        </w:tc>
        <w:tc>
          <w:tcPr>
            <w:tcW w:w="960" w:type="dxa"/>
            <w:vAlign w:val="bottom"/>
            <w:tcBorders>
              <w:right w:val="single" w:sz="8" w:color="auto"/>
            </w:tcBorders>
            <w:gridSpan w:val="4"/>
          </w:tcPr>
          <w:p>
            <w:pPr>
              <w:jc w:val="right"/>
              <w:ind w:right="200"/>
              <w:spacing w:after="0" w:line="183" w:lineRule="exact"/>
              <w:rPr>
                <w:sz w:val="20"/>
                <w:szCs w:val="20"/>
                <w:color w:val="auto"/>
              </w:rPr>
            </w:pPr>
            <w:r>
              <w:rPr>
                <w:rFonts w:ascii="Arial" w:cs="Arial" w:eastAsia="Arial" w:hAnsi="Arial"/>
                <w:sz w:val="17"/>
                <w:szCs w:val="17"/>
                <w:color w:val="auto"/>
              </w:rPr>
              <w:t>(21)%</w:t>
            </w:r>
          </w:p>
        </w:tc>
        <w:tc>
          <w:tcPr>
            <w:tcW w:w="1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111</w:t>
            </w:r>
          </w:p>
        </w:tc>
        <w:tc>
          <w:tcPr>
            <w:tcW w:w="12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84</w:t>
            </w:r>
          </w:p>
        </w:tc>
        <w:tc>
          <w:tcPr>
            <w:tcW w:w="14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line="183" w:lineRule="exact"/>
              <w:rPr>
                <w:sz w:val="20"/>
                <w:szCs w:val="20"/>
                <w:color w:val="auto"/>
              </w:rPr>
            </w:pPr>
            <w:r>
              <w:rPr>
                <w:rFonts w:ascii="Arial" w:cs="Arial" w:eastAsia="Arial" w:hAnsi="Arial"/>
                <w:sz w:val="17"/>
                <w:szCs w:val="17"/>
                <w:color w:val="auto"/>
              </w:rPr>
              <w:t>(27)</w:t>
            </w:r>
          </w:p>
        </w:tc>
        <w:tc>
          <w:tcPr>
            <w:tcW w:w="4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60" w:type="dxa"/>
            <w:vAlign w:val="bottom"/>
            <w:tcBorders>
              <w:top w:val="single" w:sz="8" w:color="CCEEFF"/>
              <w:bottom w:val="single" w:sz="8" w:color="CCEEFF"/>
            </w:tcBorders>
            <w:gridSpan w:val="5"/>
            <w:shd w:val="clear" w:color="auto" w:fill="CCEEFF"/>
          </w:tcPr>
          <w:p>
            <w:pPr>
              <w:spacing w:after="0" w:line="183" w:lineRule="exact"/>
              <w:rPr>
                <w:sz w:val="20"/>
                <w:szCs w:val="20"/>
                <w:color w:val="auto"/>
              </w:rPr>
            </w:pPr>
            <w:r>
              <w:rPr>
                <w:rFonts w:ascii="Arial" w:cs="Arial" w:eastAsia="Arial" w:hAnsi="Arial"/>
                <w:sz w:val="17"/>
                <w:szCs w:val="17"/>
                <w:color w:val="auto"/>
              </w:rPr>
              <w:t>Segment profit per barrel</w:t>
            </w:r>
          </w:p>
        </w:tc>
        <w:tc>
          <w:tcPr>
            <w:tcW w:w="12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620" w:type="dxa"/>
            <w:vAlign w:val="bottom"/>
            <w:tcBorders>
              <w:top w:val="single" w:sz="8" w:color="auto"/>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0.59</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0.58</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0.01</w:t>
            </w:r>
          </w:p>
        </w:tc>
        <w:tc>
          <w:tcPr>
            <w:tcW w:w="280" w:type="dxa"/>
            <w:vAlign w:val="bottom"/>
            <w:tcBorders>
              <w:top w:val="single" w:sz="8" w:color="CCEEFF"/>
              <w:left w:val="single" w:sz="8" w:color="CCEEFF"/>
              <w:bottom w:val="single" w:sz="8" w:color="CCEEFF"/>
              <w:right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2</w:t>
            </w:r>
          </w:p>
        </w:tc>
        <w:tc>
          <w:tcPr>
            <w:tcW w:w="200" w:type="dxa"/>
            <w:vAlign w:val="bottom"/>
            <w:tcBorders>
              <w:top w:val="single" w:sz="8" w:color="CCEEFF"/>
              <w:bottom w:val="single" w:sz="8" w:color="CCEEFF"/>
              <w:right w:val="single" w:sz="8" w:color="CCEEFF"/>
            </w:tcBorders>
            <w:shd w:val="clear" w:color="auto" w:fill="CCEEFF"/>
          </w:tcPr>
          <w:p>
            <w:pPr>
              <w:jc w:val="right"/>
              <w:spacing w:after="0" w:line="176" w:lineRule="exact"/>
              <w:rPr>
                <w:sz w:val="20"/>
                <w:szCs w:val="20"/>
                <w:color w:val="auto"/>
              </w:rPr>
            </w:pPr>
            <w:r>
              <w:rPr>
                <w:rFonts w:ascii="Arial" w:cs="Arial" w:eastAsia="Arial" w:hAnsi="Arial"/>
                <w:sz w:val="17"/>
                <w:szCs w:val="17"/>
                <w:color w:val="auto"/>
                <w:w w:val="79"/>
              </w:rPr>
              <w:t>%</w:t>
            </w:r>
          </w:p>
        </w:tc>
        <w:tc>
          <w:tcPr>
            <w:tcW w:w="20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0.60</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0.52</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0.08</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15</w:t>
            </w:r>
          </w:p>
        </w:tc>
        <w:tc>
          <w:tcPr>
            <w:tcW w:w="280" w:type="dxa"/>
            <w:vAlign w:val="bottom"/>
            <w:tcBorders>
              <w:top w:val="single" w:sz="8" w:color="CCEEFF"/>
              <w:left w:val="single" w:sz="8" w:color="CCEEFF"/>
              <w:bottom w:val="single" w:sz="8" w:color="CCEEFF"/>
            </w:tcBorders>
            <w:shd w:val="clear" w:color="auto" w:fill="CCEEFF"/>
          </w:tcPr>
          <w:p>
            <w:pPr>
              <w:jc w:val="right"/>
              <w:ind w:right="35"/>
              <w:spacing w:after="0" w:line="176" w:lineRule="exact"/>
              <w:rPr>
                <w:sz w:val="20"/>
                <w:szCs w:val="20"/>
                <w:color w:val="auto"/>
              </w:rPr>
            </w:pPr>
            <w:r>
              <w:rPr>
                <w:rFonts w:ascii="Arial" w:cs="Arial" w:eastAsia="Arial" w:hAnsi="Arial"/>
                <w:sz w:val="17"/>
                <w:szCs w:val="17"/>
                <w:color w:val="auto"/>
                <w:w w:val="92"/>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ind w:right="295"/>
              <w:spacing w:after="0"/>
              <w:rPr>
                <w:sz w:val="20"/>
                <w:szCs w:val="20"/>
                <w:color w:val="auto"/>
              </w:rPr>
            </w:pPr>
            <w:r>
              <w:rPr>
                <w:rFonts w:ascii="Arial" w:cs="Arial" w:eastAsia="Arial" w:hAnsi="Arial"/>
                <w:sz w:val="18"/>
                <w:szCs w:val="18"/>
                <w:color w:val="auto"/>
                <w:w w:val="79"/>
              </w:rPr>
              <w:t>32</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18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gridSpan w:val="2"/>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580" w:type="dxa"/>
            <w:vAlign w:val="bottom"/>
            <w:gridSpan w:val="6"/>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gridSpan w:val="9"/>
            <w:vMerge w:val="restart"/>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3"/>
          </w:tcPr>
          <w:p>
            <w:pPr>
              <w:jc w:val="center"/>
              <w:ind w:left="15"/>
              <w:spacing w:after="0"/>
              <w:rPr>
                <w:sz w:val="20"/>
                <w:szCs w:val="20"/>
                <w:color w:val="auto"/>
              </w:rPr>
            </w:pPr>
            <w:r>
              <w:rPr>
                <w:rFonts w:ascii="Arial" w:cs="Arial" w:eastAsia="Arial" w:hAnsi="Arial"/>
                <w:sz w:val="14"/>
                <w:szCs w:val="14"/>
                <w:b w:val="1"/>
                <w:bCs w:val="1"/>
                <w:color w:val="auto"/>
                <w:w w:val="94"/>
              </w:rPr>
              <w:t>Favorable/</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8"/>
            <w:vMerge w:val="restart"/>
          </w:tcPr>
          <w:p>
            <w:pPr>
              <w:jc w:val="right"/>
              <w:ind w:right="480"/>
              <w:spacing w:after="0"/>
              <w:rPr>
                <w:sz w:val="20"/>
                <w:szCs w:val="20"/>
                <w:color w:val="auto"/>
              </w:rPr>
            </w:pPr>
            <w:r>
              <w:rPr>
                <w:rFonts w:ascii="Arial" w:cs="Arial" w:eastAsia="Arial" w:hAnsi="Arial"/>
                <w:sz w:val="14"/>
                <w:szCs w:val="14"/>
                <w:b w:val="1"/>
                <w:bCs w:val="1"/>
                <w:color w:val="auto"/>
                <w:w w:val="96"/>
              </w:rPr>
              <w:t>Nine Months Ended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5"/>
          </w:tcPr>
          <w:p>
            <w:pPr>
              <w:jc w:val="center"/>
              <w:ind w:left="75"/>
              <w:spacing w:after="0"/>
              <w:rPr>
                <w:sz w:val="20"/>
                <w:szCs w:val="20"/>
                <w:color w:val="auto"/>
              </w:rPr>
            </w:pPr>
            <w:r>
              <w:rPr>
                <w:rFonts w:ascii="Arial" w:cs="Arial" w:eastAsia="Arial" w:hAnsi="Arial"/>
                <w:sz w:val="14"/>
                <w:szCs w:val="14"/>
                <w:b w:val="1"/>
                <w:bCs w:val="1"/>
                <w:color w:val="auto"/>
                <w:w w:val="94"/>
              </w:rPr>
              <w:t>Favorable/</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58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Average Daily Volumes</w:t>
            </w:r>
          </w:p>
        </w:tc>
        <w:tc>
          <w:tcPr>
            <w:tcW w:w="1780" w:type="dxa"/>
            <w:vAlign w:val="bottom"/>
            <w:gridSpan w:val="9"/>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left="15"/>
              <w:spacing w:after="0" w:line="149" w:lineRule="exact"/>
              <w:rPr>
                <w:sz w:val="20"/>
                <w:szCs w:val="20"/>
                <w:color w:val="auto"/>
              </w:rPr>
            </w:pPr>
            <w:r>
              <w:rPr>
                <w:rFonts w:ascii="Arial" w:cs="Arial" w:eastAsia="Arial" w:hAnsi="Arial"/>
                <w:sz w:val="14"/>
                <w:szCs w:val="14"/>
                <w:b w:val="1"/>
                <w:bCs w:val="1"/>
                <w:color w:val="auto"/>
                <w:w w:val="95"/>
              </w:rPr>
              <w:t>(Unfavorable)</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8"/>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7"/>
          </w:tcPr>
          <w:p>
            <w:pPr>
              <w:jc w:val="center"/>
              <w:ind w:right="455"/>
              <w:spacing w:after="0" w:line="149" w:lineRule="exact"/>
              <w:rPr>
                <w:sz w:val="20"/>
                <w:szCs w:val="20"/>
                <w:color w:val="auto"/>
              </w:rPr>
            </w:pPr>
            <w:r>
              <w:rPr>
                <w:rFonts w:ascii="Arial" w:cs="Arial" w:eastAsia="Arial" w:hAnsi="Arial"/>
                <w:sz w:val="14"/>
                <w:szCs w:val="14"/>
                <w:b w:val="1"/>
                <w:bCs w:val="1"/>
                <w:color w:val="auto"/>
                <w:w w:val="95"/>
              </w:rPr>
              <w:t>(Unfavorable)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8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5"/>
          </w:tcPr>
          <w:p>
            <w:pPr>
              <w:ind w:left="120"/>
              <w:spacing w:after="0"/>
              <w:rPr>
                <w:sz w:val="20"/>
                <w:szCs w:val="20"/>
                <w:color w:val="auto"/>
              </w:rPr>
            </w:pPr>
            <w:r>
              <w:rPr>
                <w:rFonts w:ascii="Arial" w:cs="Arial" w:eastAsia="Arial" w:hAnsi="Arial"/>
                <w:sz w:val="14"/>
                <w:szCs w:val="14"/>
                <w:b w:val="1"/>
                <w:bCs w:val="1"/>
                <w:color w:val="auto"/>
                <w:w w:val="91"/>
              </w:rPr>
              <w:t>September 30,</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jc w:val="center"/>
              <w:ind w:left="15"/>
              <w:spacing w:after="0"/>
              <w:rPr>
                <w:sz w:val="20"/>
                <w:szCs w:val="20"/>
                <w:color w:val="auto"/>
              </w:rPr>
            </w:pPr>
            <w:r>
              <w:rPr>
                <w:rFonts w:ascii="Arial" w:cs="Arial" w:eastAsia="Arial" w:hAnsi="Arial"/>
                <w:sz w:val="14"/>
                <w:szCs w:val="14"/>
                <w:b w:val="1"/>
                <w:bCs w:val="1"/>
                <w:color w:val="auto"/>
                <w:w w:val="92"/>
              </w:rPr>
              <w:t>Variance</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8"/>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5"/>
          </w:tcPr>
          <w:p>
            <w:pPr>
              <w:jc w:val="center"/>
              <w:ind w:left="75"/>
              <w:spacing w:after="0"/>
              <w:rPr>
                <w:sz w:val="20"/>
                <w:szCs w:val="20"/>
                <w:color w:val="auto"/>
              </w:rPr>
            </w:pPr>
            <w:r>
              <w:rPr>
                <w:rFonts w:ascii="Arial" w:cs="Arial" w:eastAsia="Arial" w:hAnsi="Arial"/>
                <w:sz w:val="14"/>
                <w:szCs w:val="14"/>
                <w:b w:val="1"/>
                <w:bCs w:val="1"/>
                <w:color w:val="auto"/>
                <w:w w:val="92"/>
              </w:rPr>
              <w:t>Variance</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4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 xml:space="preserve">(in thousands of barrels per day) </w:t>
            </w:r>
            <w:r>
              <w:rPr>
                <w:rFonts w:ascii="Arial" w:cs="Arial" w:eastAsia="Arial" w:hAnsi="Arial"/>
                <w:sz w:val="8"/>
                <w:szCs w:val="8"/>
                <w:b w:val="1"/>
                <w:bCs w:val="1"/>
                <w:color w:val="auto"/>
              </w:rPr>
              <w:t>(4)</w:t>
            </w:r>
          </w:p>
        </w:tc>
        <w:tc>
          <w:tcPr>
            <w:tcW w:w="240" w:type="dxa"/>
            <w:vAlign w:val="bottom"/>
            <w:tcBorders>
              <w:top w:val="single" w:sz="8" w:color="auto"/>
            </w:tcBorders>
            <w:gridSpan w:val="2"/>
          </w:tcPr>
          <w:p>
            <w:pPr>
              <w:spacing w:after="0"/>
              <w:rPr>
                <w:sz w:val="12"/>
                <w:szCs w:val="12"/>
                <w:color w:val="auto"/>
              </w:rPr>
            </w:pPr>
          </w:p>
        </w:tc>
        <w:tc>
          <w:tcPr>
            <w:tcW w:w="56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ind w:right="172"/>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Borders>
              <w:top w:val="single" w:sz="8" w:color="auto"/>
            </w:tcBorders>
            <w:gridSpan w:val="5"/>
          </w:tcPr>
          <w:p>
            <w:pPr>
              <w:ind w:left="160"/>
              <w:spacing w:after="0" w:line="142" w:lineRule="exact"/>
              <w:rPr>
                <w:sz w:val="20"/>
                <w:szCs w:val="20"/>
                <w:color w:val="auto"/>
              </w:rPr>
            </w:pPr>
            <w:r>
              <w:rPr>
                <w:rFonts w:ascii="Arial" w:cs="Arial" w:eastAsia="Arial" w:hAnsi="Arial"/>
                <w:sz w:val="14"/>
                <w:szCs w:val="14"/>
                <w:b w:val="1"/>
                <w:bCs w:val="1"/>
                <w:color w:val="auto"/>
              </w:rPr>
              <w:t>Volumes</w:t>
            </w:r>
          </w:p>
        </w:tc>
        <w:tc>
          <w:tcPr>
            <w:tcW w:w="34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w w:val="89"/>
              </w:rPr>
              <w:t>2014</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w w:val="96"/>
              </w:rPr>
              <w:t>2013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6"/>
          </w:tcPr>
          <w:p>
            <w:pPr>
              <w:ind w:left="60"/>
              <w:spacing w:after="0" w:line="142" w:lineRule="exact"/>
              <w:rPr>
                <w:sz w:val="20"/>
                <w:szCs w:val="20"/>
                <w:color w:val="auto"/>
              </w:rPr>
            </w:pPr>
            <w:r>
              <w:rPr>
                <w:rFonts w:ascii="Arial" w:cs="Arial" w:eastAsia="Arial" w:hAnsi="Arial"/>
                <w:sz w:val="14"/>
                <w:szCs w:val="14"/>
                <w:b w:val="1"/>
                <w:bCs w:val="1"/>
                <w:color w:val="auto"/>
              </w:rPr>
              <w:t>Volumes</w:t>
            </w:r>
          </w:p>
        </w:tc>
        <w:tc>
          <w:tcPr>
            <w:tcW w:w="42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Tariff activities</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lef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5"/>
          </w:tcPr>
          <w:p>
            <w:pPr>
              <w:ind w:left="160"/>
              <w:spacing w:after="0"/>
              <w:rPr>
                <w:sz w:val="20"/>
                <w:szCs w:val="20"/>
                <w:color w:val="auto"/>
              </w:rPr>
            </w:pPr>
            <w:r>
              <w:rPr>
                <w:rFonts w:ascii="Arial" w:cs="Arial" w:eastAsia="Arial" w:hAnsi="Arial"/>
                <w:sz w:val="18"/>
                <w:szCs w:val="18"/>
                <w:color w:val="auto"/>
              </w:rPr>
              <w:t>Crude Oil Pipelines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All American</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gridSpan w:val="3"/>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5"/>
          </w:tcPr>
          <w:p>
            <w:pPr>
              <w:ind w:left="340"/>
              <w:spacing w:after="0"/>
              <w:rPr>
                <w:sz w:val="20"/>
                <w:szCs w:val="20"/>
                <w:color w:val="auto"/>
              </w:rPr>
            </w:pPr>
            <w:r>
              <w:rPr>
                <w:rFonts w:ascii="Arial" w:cs="Arial" w:eastAsia="Arial" w:hAnsi="Arial"/>
                <w:sz w:val="18"/>
                <w:szCs w:val="18"/>
                <w:color w:val="auto"/>
              </w:rPr>
              <w:t>Bakken Area Systems</w:t>
            </w:r>
          </w:p>
        </w:tc>
        <w:tc>
          <w:tcPr>
            <w:tcW w:w="1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164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136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2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5"/>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Basin / Mesa</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743</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200" w:type="dxa"/>
            <w:vAlign w:val="bottom"/>
            <w:tcBorders>
              <w:right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5"/>
          </w:tcPr>
          <w:p>
            <w:pPr>
              <w:ind w:left="340"/>
              <w:spacing w:after="0"/>
              <w:rPr>
                <w:sz w:val="20"/>
                <w:szCs w:val="20"/>
                <w:color w:val="auto"/>
              </w:rPr>
            </w:pPr>
            <w:r>
              <w:rPr>
                <w:rFonts w:ascii="Arial" w:cs="Arial" w:eastAsia="Arial" w:hAnsi="Arial"/>
                <w:sz w:val="18"/>
                <w:szCs w:val="18"/>
                <w:color w:val="auto"/>
              </w:rPr>
              <w:t>Capline</w:t>
            </w:r>
          </w:p>
        </w:tc>
        <w:tc>
          <w:tcPr>
            <w:tcW w:w="1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178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147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2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Eagle Ford Area Systems</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w:t>
            </w:r>
          </w:p>
        </w:tc>
        <w:tc>
          <w:tcPr>
            <w:tcW w:w="200" w:type="dxa"/>
            <w:vAlign w:val="bottom"/>
            <w:tcBorders>
              <w:right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134</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165%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5"/>
          </w:tcPr>
          <w:p>
            <w:pPr>
              <w:ind w:left="340"/>
              <w:spacing w:after="0"/>
              <w:rPr>
                <w:sz w:val="20"/>
                <w:szCs w:val="20"/>
                <w:color w:val="auto"/>
              </w:rPr>
            </w:pPr>
            <w:r>
              <w:rPr>
                <w:rFonts w:ascii="Arial" w:cs="Arial" w:eastAsia="Arial" w:hAnsi="Arial"/>
                <w:sz w:val="18"/>
                <w:szCs w:val="18"/>
                <w:color w:val="auto"/>
              </w:rPr>
              <w:t>Line 63 / Line 2000</w:t>
            </w:r>
          </w:p>
        </w:tc>
        <w:tc>
          <w:tcPr>
            <w:tcW w:w="1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126</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113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2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5"/>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Manito</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right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5"/>
          </w:tcPr>
          <w:p>
            <w:pPr>
              <w:ind w:left="340"/>
              <w:spacing w:after="0"/>
              <w:rPr>
                <w:sz w:val="20"/>
                <w:szCs w:val="20"/>
                <w:color w:val="auto"/>
              </w:rPr>
            </w:pPr>
            <w:r>
              <w:rPr>
                <w:rFonts w:ascii="Arial" w:cs="Arial" w:eastAsia="Arial" w:hAnsi="Arial"/>
                <w:sz w:val="18"/>
                <w:szCs w:val="18"/>
                <w:color w:val="auto"/>
              </w:rPr>
              <w:t>Mid-Continent Area Systems</w:t>
            </w:r>
          </w:p>
        </w:tc>
        <w:tc>
          <w:tcPr>
            <w:tcW w:w="1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346</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256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2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277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5"/>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Permian Basin Area Systems</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200" w:type="dxa"/>
            <w:vAlign w:val="bottom"/>
            <w:tcBorders>
              <w:right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225</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5"/>
          </w:tcPr>
          <w:p>
            <w:pPr>
              <w:ind w:left="340"/>
              <w:spacing w:after="0"/>
              <w:rPr>
                <w:sz w:val="20"/>
                <w:szCs w:val="20"/>
                <w:color w:val="auto"/>
              </w:rPr>
            </w:pPr>
            <w:r>
              <w:rPr>
                <w:rFonts w:ascii="Arial" w:cs="Arial" w:eastAsia="Arial" w:hAnsi="Arial"/>
                <w:sz w:val="18"/>
                <w:szCs w:val="18"/>
                <w:color w:val="auto"/>
              </w:rPr>
              <w:t>Rainbow</w:t>
            </w:r>
          </w:p>
        </w:tc>
        <w:tc>
          <w:tcPr>
            <w:tcW w:w="1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128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Rangeland</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200" w:type="dxa"/>
            <w:vAlign w:val="bottom"/>
            <w:tcBorders>
              <w:right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5"/>
          </w:tcPr>
          <w:p>
            <w:pPr>
              <w:ind w:left="340"/>
              <w:spacing w:after="0"/>
              <w:rPr>
                <w:sz w:val="20"/>
                <w:szCs w:val="20"/>
                <w:color w:val="auto"/>
              </w:rPr>
            </w:pPr>
            <w:r>
              <w:rPr>
                <w:rFonts w:ascii="Arial" w:cs="Arial" w:eastAsia="Arial" w:hAnsi="Arial"/>
                <w:sz w:val="18"/>
                <w:szCs w:val="18"/>
                <w:color w:val="auto"/>
              </w:rPr>
              <w:t>Salt Lake City Area Systems</w:t>
            </w:r>
          </w:p>
        </w:tc>
        <w:tc>
          <w:tcPr>
            <w:tcW w:w="1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140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131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2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5"/>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South Saskatchewan</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200" w:type="dxa"/>
            <w:vAlign w:val="bottom"/>
            <w:tcBorders>
              <w:right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5"/>
          </w:tcPr>
          <w:p>
            <w:pPr>
              <w:ind w:left="340"/>
              <w:spacing w:after="0"/>
              <w:rPr>
                <w:sz w:val="20"/>
                <w:szCs w:val="20"/>
                <w:color w:val="auto"/>
              </w:rPr>
            </w:pPr>
            <w:r>
              <w:rPr>
                <w:rFonts w:ascii="Arial" w:cs="Arial" w:eastAsia="Arial" w:hAnsi="Arial"/>
                <w:sz w:val="18"/>
                <w:szCs w:val="18"/>
                <w:color w:val="auto"/>
              </w:rPr>
              <w:t>White Cliffs</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2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5"/>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200" w:type="dxa"/>
            <w:vAlign w:val="bottom"/>
            <w:tcBorders>
              <w:right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5"/>
          </w:tcPr>
          <w:p>
            <w:pPr>
              <w:ind w:left="160"/>
              <w:spacing w:after="0"/>
              <w:rPr>
                <w:sz w:val="20"/>
                <w:szCs w:val="20"/>
                <w:color w:val="auto"/>
              </w:rPr>
            </w:pPr>
            <w:r>
              <w:rPr>
                <w:rFonts w:ascii="Arial" w:cs="Arial" w:eastAsia="Arial" w:hAnsi="Arial"/>
                <w:sz w:val="18"/>
                <w:szCs w:val="18"/>
                <w:color w:val="auto"/>
              </w:rPr>
              <w:t>NGL Pipelines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Co-Ed</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200" w:type="dxa"/>
            <w:vAlign w:val="bottom"/>
            <w:tcBorders>
              <w:right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5"/>
          </w:tcPr>
          <w:p>
            <w:pPr>
              <w:ind w:left="3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143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200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2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(63)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Refined Products Pipelines</w:t>
            </w:r>
          </w:p>
        </w:tc>
        <w:tc>
          <w:tcPr>
            <w:tcW w:w="2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(100)%</w:t>
            </w:r>
          </w:p>
        </w:tc>
        <w:tc>
          <w:tcPr>
            <w:tcW w:w="200" w:type="dxa"/>
            <w:vAlign w:val="bottom"/>
            <w:tcBorders>
              <w:right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gridSpan w:val="3"/>
            <w:vMerge w:val="restart"/>
          </w:tcPr>
          <w:p>
            <w:pPr>
              <w:spacing w:after="0"/>
              <w:rPr>
                <w:sz w:val="20"/>
                <w:szCs w:val="20"/>
                <w:color w:val="auto"/>
              </w:rPr>
            </w:pPr>
            <w:r>
              <w:rPr>
                <w:rFonts w:ascii="Arial" w:cs="Arial" w:eastAsia="Arial" w:hAnsi="Arial"/>
                <w:sz w:val="18"/>
                <w:szCs w:val="18"/>
                <w:color w:val="auto"/>
              </w:rPr>
              <w:t>Tariff activities total</w:t>
            </w:r>
          </w:p>
        </w:tc>
        <w:tc>
          <w:tcPr>
            <w:tcW w:w="2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3"/>
            <w:vMerge w:val="continue"/>
          </w:tcPr>
          <w:p>
            <w:pPr>
              <w:spacing w:after="0"/>
              <w:rPr>
                <w:sz w:val="18"/>
                <w:szCs w:val="18"/>
                <w:color w:val="auto"/>
              </w:rPr>
            </w:pPr>
          </w:p>
        </w:tc>
        <w:tc>
          <w:tcPr>
            <w:tcW w:w="2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4,095</w:t>
            </w:r>
          </w:p>
        </w:tc>
        <w:tc>
          <w:tcPr>
            <w:tcW w:w="1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3,621</w:t>
            </w:r>
          </w:p>
        </w:tc>
        <w:tc>
          <w:tcPr>
            <w:tcW w:w="1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2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3,871</w:t>
            </w:r>
          </w:p>
        </w:tc>
        <w:tc>
          <w:tcPr>
            <w:tcW w:w="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3,549</w:t>
            </w:r>
          </w:p>
        </w:tc>
        <w:tc>
          <w:tcPr>
            <w:tcW w:w="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1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5"/>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2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8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280" w:type="dxa"/>
            <w:vAlign w:val="bottom"/>
            <w:tcBorders>
              <w:left w:val="single" w:sz="8" w:color="CCEEFF"/>
              <w:right w:val="single" w:sz="8" w:color="CCEEFF"/>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00" w:type="dxa"/>
            <w:vAlign w:val="bottom"/>
            <w:tcBorders>
              <w:right w:val="single" w:sz="8" w:color="auto"/>
            </w:tcBorders>
            <w:shd w:val="clear" w:color="auto" w:fill="CCEEFF"/>
          </w:tcPr>
          <w:p>
            <w:pPr>
              <w:spacing w:after="0"/>
              <w:rPr>
                <w:sz w:val="6"/>
                <w:szCs w:val="6"/>
                <w:color w:val="auto"/>
              </w:rPr>
            </w:pPr>
          </w:p>
        </w:tc>
        <w:tc>
          <w:tcPr>
            <w:tcW w:w="200" w:type="dxa"/>
            <w:vAlign w:val="bottom"/>
            <w:tcBorders>
              <w:right w:val="single" w:sz="8" w:color="CCEEFF"/>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280" w:type="dxa"/>
            <w:vAlign w:val="bottom"/>
            <w:tcBorders>
              <w:left w:val="single" w:sz="8" w:color="CCEEFF"/>
            </w:tcBorders>
            <w:shd w:val="clear" w:color="auto" w:fill="CCEEFF"/>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-3990975</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-3990975</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25" w:right="199" w:bottom="0" w:gutter="0" w:footer="0" w:header="0"/>
          <w:type w:val="continuous"/>
        </w:sectPr>
      </w:pPr>
    </w:p>
    <w:bookmarkStart w:id="23" w:name="page24"/>
    <w:bookmarkEnd w:id="23"/>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Trucking</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940" w:type="dxa"/>
            <w:vAlign w:val="bottom"/>
            <w:tcBorders>
              <w:right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r>
      <w:tr>
        <w:trPr>
          <w:trHeight w:val="223"/>
        </w:trPr>
        <w:tc>
          <w:tcPr>
            <w:tcW w:w="3340" w:type="dxa"/>
            <w:vAlign w:val="bottom"/>
          </w:tcPr>
          <w:p>
            <w:pPr>
              <w:spacing w:after="0"/>
              <w:rPr>
                <w:sz w:val="20"/>
                <w:szCs w:val="20"/>
                <w:color w:val="auto"/>
              </w:rPr>
            </w:pPr>
            <w:r>
              <w:rPr>
                <w:rFonts w:ascii="Arial" w:cs="Arial" w:eastAsia="Arial" w:hAnsi="Arial"/>
                <w:sz w:val="18"/>
                <w:szCs w:val="18"/>
                <w:color w:val="auto"/>
              </w:rPr>
              <w:t>Transportation segment total</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4,226</w:t>
            </w:r>
          </w:p>
        </w:tc>
        <w:tc>
          <w:tcPr>
            <w:tcW w:w="2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3,741</w:t>
            </w:r>
          </w:p>
        </w:tc>
        <w:tc>
          <w:tcPr>
            <w:tcW w:w="20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22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2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auto"/>
                <w:w w:val="87"/>
              </w:rPr>
              <w:t>%</w:t>
            </w:r>
          </w:p>
        </w:tc>
        <w:tc>
          <w:tcPr>
            <w:tcW w:w="16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2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3,662</w:t>
            </w:r>
          </w:p>
        </w:tc>
        <w:tc>
          <w:tcPr>
            <w:tcW w:w="2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2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w:t>
            </w:r>
          </w:p>
        </w:tc>
      </w:tr>
      <w:tr>
        <w:trPr>
          <w:trHeight w:val="20"/>
        </w:trPr>
        <w:tc>
          <w:tcPr>
            <w:tcW w:w="33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989" w:orient="portrait"/>
          <w:cols w:equalWidth="0" w:num="1">
            <w:col w:w="11420"/>
          </w:cols>
          <w:pgMar w:left="240" w:top="140"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and expenses include intersegment amounts.</w:t>
      </w:r>
    </w:p>
    <w:p>
      <w:pPr>
        <w:spacing w:after="0" w:line="225" w:lineRule="exact"/>
        <w:rPr>
          <w:sz w:val="20"/>
          <w:szCs w:val="20"/>
          <w:color w:val="auto"/>
        </w:rPr>
      </w:pPr>
    </w:p>
    <w:p>
      <w:pPr>
        <w:ind w:left="20" w:right="40" w:hanging="11"/>
        <w:spacing w:after="0" w:line="277" w:lineRule="auto"/>
        <w:rPr>
          <w:sz w:val="20"/>
          <w:szCs w:val="20"/>
          <w:color w:val="auto"/>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234" w:lineRule="exact"/>
        <w:rPr>
          <w:sz w:val="20"/>
          <w:szCs w:val="20"/>
          <w:color w:val="auto"/>
        </w:rPr>
      </w:pPr>
    </w:p>
    <w:p>
      <w:pPr>
        <w:ind w:left="20" w:right="200" w:hanging="11"/>
        <w:spacing w:after="0" w:line="277" w:lineRule="auto"/>
        <w:rPr>
          <w:sz w:val="20"/>
          <w:szCs w:val="20"/>
          <w:color w:val="auto"/>
        </w:rPr>
      </w:pPr>
      <w:r>
        <w:rPr>
          <w:rFonts w:ascii="Arial" w:cs="Arial" w:eastAsia="Arial" w:hAnsi="Arial"/>
          <w:sz w:val="18"/>
          <w:szCs w:val="18"/>
          <w:color w:val="auto"/>
        </w:rPr>
        <w:t>Volumes associated with assets employed through acquisitions and internal growth projects represent total volumes (attributable to our interest) for the number of days we employed the assets divided by the number of days in the period.</w:t>
      </w:r>
    </w:p>
    <w:p>
      <w:pPr>
        <w:spacing w:after="0" w:line="170" w:lineRule="exact"/>
        <w:rPr>
          <w:sz w:val="20"/>
          <w:szCs w:val="20"/>
          <w:color w:val="auto"/>
        </w:rPr>
      </w:pPr>
    </w:p>
    <w:p>
      <w:pPr>
        <w:sectPr>
          <w:pgSz w:w="11900" w:h="16989" w:orient="portrait"/>
          <w:cols w:equalWidth="0" w:num="2">
            <w:col w:w="140" w:space="500"/>
            <w:col w:w="10780"/>
          </w:cols>
          <w:pgMar w:left="240" w:top="140" w:right="239" w:bottom="0" w:gutter="0" w:footer="0" w:header="0"/>
          <w:type w:val="continuous"/>
        </w:sectPr>
      </w:pPr>
    </w:p>
    <w:p>
      <w:pPr>
        <w:ind w:right="260" w:firstLine="648"/>
        <w:spacing w:after="0" w:line="286" w:lineRule="auto"/>
        <w:rPr>
          <w:sz w:val="20"/>
          <w:szCs w:val="20"/>
          <w:color w:val="auto"/>
        </w:rPr>
      </w:pPr>
      <w:r>
        <w:rPr>
          <w:rFonts w:ascii="Arial" w:cs="Arial" w:eastAsia="Arial" w:hAnsi="Arial"/>
          <w:sz w:val="17"/>
          <w:szCs w:val="17"/>
          <w:color w:val="auto"/>
        </w:rPr>
        <w:t>Tariffs and other fees on our pipeline systems vary by receipt point and delivery point. The segment profit generated by our tariff and other fee-related activities depends on the volumes transported on the pipeline and the level of the tariff and other fees charged as well as the fixed and variable field costs of operating the pipeline. Revenue from our pipeline capacity leases generally reflects a negotiated amount.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Transportation segment profit and segment profit per barrel for the periods indicated.</w:t>
      </w:r>
    </w:p>
    <w:p>
      <w:pPr>
        <w:spacing w:after="0" w:line="225"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i w:val="1"/>
          <w:iCs w:val="1"/>
          <w:color w:val="auto"/>
        </w:rPr>
        <w:t xml:space="preserve">Net Operating Revenues and Volumes. </w:t>
      </w:r>
      <w:r>
        <w:rPr>
          <w:rFonts w:ascii="Arial" w:cs="Arial" w:eastAsia="Arial" w:hAnsi="Arial"/>
          <w:sz w:val="18"/>
          <w:szCs w:val="18"/>
          <w:color w:val="auto"/>
        </w:rPr>
        <w:t>As noted in the table above, our total Transportation segment revenues, net of trucking costs, and volumes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for both the three and nine months ended September 30, 2014 compared to the three and nine months ended September 30, 2013. Our Transportation segment results for the comparative periods were impacted by the following: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160" w:hanging="328"/>
        <w:spacing w:after="0" w:line="273" w:lineRule="auto"/>
        <w:tabs>
          <w:tab w:leader="none" w:pos="624" w:val="left"/>
        </w:tabs>
        <w:numPr>
          <w:ilvl w:val="0"/>
          <w:numId w:val="21"/>
        </w:numPr>
        <w:rPr>
          <w:rFonts w:ascii="Arial" w:cs="Arial" w:eastAsia="Arial" w:hAnsi="Arial"/>
          <w:sz w:val="17"/>
          <w:szCs w:val="17"/>
          <w:color w:val="auto"/>
        </w:rPr>
      </w:pPr>
      <w:r>
        <w:rPr>
          <w:rFonts w:ascii="Arial" w:cs="Arial" w:eastAsia="Arial" w:hAnsi="Arial"/>
          <w:sz w:val="17"/>
          <w:szCs w:val="17"/>
          <w:color w:val="auto"/>
        </w:rPr>
        <w:t>North American Crude Oil Production and Related Expansion Projects — The increase in North American crude oil production has had a favorable impact on volumes and revenues on our existing pipeline systems and has also provided opportunities for midstream infrastructure development in production growth areas. The resulting increases in volumes for the three and nine months ended September 30, 2014 over the comparable 2013 periods were most notably on our Permian Basin, Eagle Ford and Mid-Continent Area Systems. We estimate that increased production combined with our recently completed internal growth projects increased revenues by $20 million and $70 million for the three and nine months ended September 30, 2014, respectively, compared to the three and nine months ended September 30, 2013.</w:t>
      </w:r>
    </w:p>
    <w:p>
      <w:pPr>
        <w:spacing w:after="0" w:line="178" w:lineRule="exact"/>
        <w:rPr>
          <w:rFonts w:ascii="Arial" w:cs="Arial" w:eastAsia="Arial" w:hAnsi="Arial"/>
          <w:sz w:val="17"/>
          <w:szCs w:val="17"/>
          <w:color w:val="auto"/>
        </w:rPr>
      </w:pPr>
    </w:p>
    <w:p>
      <w:pPr>
        <w:ind w:left="660" w:right="220" w:hanging="328"/>
        <w:spacing w:after="0" w:line="255" w:lineRule="auto"/>
        <w:tabs>
          <w:tab w:leader="none" w:pos="6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 Allowance Revenue — As is common in the pipeline transportation industry, our tariffs incorporate a loss allowance factor that is intended to offset losses due to evaporation, measurement and other losses in transit. We value the variance of allowance volumes to actual losses at the estimated net realizable value (including the impact of gains and losses from derivative-related activities) at the time the variance occurred and the result is recorded as either an increase or decrease to tariff revenues. The loss allowance revenue increased by $7 million and $37 million, respectively, for the three and nine months ended September 30, 2014 compared to the three and nine months ended September 30, 2013 driven primarily by higher volumes.</w:t>
      </w:r>
    </w:p>
    <w:p>
      <w:pPr>
        <w:spacing w:after="0" w:line="193" w:lineRule="exact"/>
        <w:rPr>
          <w:rFonts w:ascii="Arial" w:cs="Arial" w:eastAsia="Arial" w:hAnsi="Arial"/>
          <w:sz w:val="18"/>
          <w:szCs w:val="18"/>
          <w:color w:val="auto"/>
        </w:rPr>
      </w:pPr>
    </w:p>
    <w:p>
      <w:pPr>
        <w:ind w:left="660" w:right="220" w:hanging="328"/>
        <w:spacing w:after="0" w:line="302" w:lineRule="auto"/>
        <w:tabs>
          <w:tab w:leader="none" w:pos="624" w:val="left"/>
        </w:tabs>
        <w:numPr>
          <w:ilvl w:val="0"/>
          <w:numId w:val="21"/>
        </w:numPr>
        <w:rPr>
          <w:rFonts w:ascii="Arial" w:cs="Arial" w:eastAsia="Arial" w:hAnsi="Arial"/>
          <w:sz w:val="16"/>
          <w:szCs w:val="16"/>
          <w:color w:val="auto"/>
        </w:rPr>
      </w:pPr>
      <w:r>
        <w:rPr>
          <w:rFonts w:ascii="Arial" w:cs="Arial" w:eastAsia="Arial" w:hAnsi="Arial"/>
          <w:sz w:val="16"/>
          <w:szCs w:val="16"/>
          <w:color w:val="auto"/>
        </w:rPr>
        <w:t>Rate Changes — Revenues on our pipelines are impacted by various rate changes that may occur during the period. These primarily include the indexing of rates on our FERC regulated pipelines, rate increases or decreases on our intrastate and Canadian pipelines or other negotiated rate changes. We estimate that the net impact of rate changes on our pipelines increased revenues by $17 million and $30 million for the three and nine months ended September 30, 2014, respectively, compared to the three and nine months ended September 30, 2013.</w:t>
      </w:r>
    </w:p>
    <w:p>
      <w:pPr>
        <w:spacing w:after="0" w:line="154" w:lineRule="exact"/>
        <w:rPr>
          <w:rFonts w:ascii="Arial" w:cs="Arial" w:eastAsia="Arial" w:hAnsi="Arial"/>
          <w:sz w:val="16"/>
          <w:szCs w:val="16"/>
          <w:color w:val="auto"/>
        </w:rPr>
      </w:pPr>
    </w:p>
    <w:p>
      <w:pPr>
        <w:ind w:left="660" w:right="160" w:hanging="328"/>
        <w:spacing w:after="0" w:line="259" w:lineRule="auto"/>
        <w:tabs>
          <w:tab w:leader="none" w:pos="6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 of Refined Products Pipelines — We sold certain refined products pipeline systems and related assets in July 2013 and November 2013. As we did not own these assets during the three and nine months ended September 30, 2014, our revenues were lower by $7 million and $27 million, respectively, and volumes were lower by 54,000 and 88,000 barrels per day, respectively, as compared to the three and nine months ended September 30, 2013.</w:t>
      </w:r>
    </w:p>
    <w:p>
      <w:pPr>
        <w:spacing w:after="0" w:line="186" w:lineRule="exact"/>
        <w:rPr>
          <w:rFonts w:ascii="Arial" w:cs="Arial" w:eastAsia="Arial" w:hAnsi="Arial"/>
          <w:sz w:val="18"/>
          <w:szCs w:val="18"/>
          <w:color w:val="auto"/>
        </w:rPr>
      </w:pPr>
    </w:p>
    <w:p>
      <w:pPr>
        <w:ind w:left="660" w:right="60" w:hanging="328"/>
        <w:spacing w:after="0" w:line="272" w:lineRule="auto"/>
        <w:tabs>
          <w:tab w:leader="none" w:pos="624" w:val="left"/>
        </w:tabs>
        <w:numPr>
          <w:ilvl w:val="0"/>
          <w:numId w:val="21"/>
        </w:numPr>
        <w:rPr>
          <w:rFonts w:ascii="Arial" w:cs="Arial" w:eastAsia="Arial" w:hAnsi="Arial"/>
          <w:sz w:val="17"/>
          <w:szCs w:val="17"/>
          <w:color w:val="auto"/>
        </w:rPr>
      </w:pPr>
      <w:r>
        <w:rPr>
          <w:rFonts w:ascii="Arial" w:cs="Arial" w:eastAsia="Arial" w:hAnsi="Arial"/>
          <w:sz w:val="17"/>
          <w:szCs w:val="17"/>
          <w:color w:val="auto"/>
        </w:rPr>
        <w:t>Foreign Exchange Impact — Revenues and expenses from our Canadian based subsidiaries, which use the Canadian dollar as their functional currency, are translated at the prevailing average exchange rates for each month. The average CAD to USD exchange rates for the three months ended September 30, 2014 and 2013 were $1.09 CAD: $1.00 USD and $1.04 CAD: $1.00 USD, respectively. The average CAD to USD exchange rates for the nine months ended September 30, 2014 and 2013 were $1.09 CAD: $1.00 USD and $1.02 CAD: $1.00 USD, respectively. Therefore, we estimate that revenues from our Canadian pipeline systems and trucking operations were unfavorably impacted by $5 million and $20 million for the three and nine months ended September 30, 2014, respectively, compared to the three and nine months ended September 30, 2013 due to the depreciation of the Canadian dollar relative to the U.S. dollar.</w:t>
      </w:r>
    </w:p>
    <w:p>
      <w:pPr>
        <w:spacing w:after="0" w:line="178" w:lineRule="exact"/>
        <w:rPr>
          <w:sz w:val="20"/>
          <w:szCs w:val="20"/>
          <w:color w:val="auto"/>
        </w:rPr>
      </w:pPr>
    </w:p>
    <w:p>
      <w:pPr>
        <w:ind w:right="220" w:firstLine="648"/>
        <w:spacing w:after="0" w:line="288" w:lineRule="auto"/>
        <w:rPr>
          <w:sz w:val="20"/>
          <w:szCs w:val="20"/>
          <w:color w:val="auto"/>
        </w:rPr>
      </w:pPr>
      <w:r>
        <w:rPr>
          <w:rFonts w:ascii="Arial" w:cs="Arial" w:eastAsia="Arial" w:hAnsi="Arial"/>
          <w:sz w:val="16"/>
          <w:szCs w:val="16"/>
          <w:color w:val="auto"/>
        </w:rPr>
        <w:t>Additional noteworthy volume and revenue variances on our pipelines for the three and nine months ended September 30, 2014 compared to the three and nine months ended September 30, 2013 were (i) increased volumes and revenues on our Rangeland, South Saskatchewan and Co-Ed pipelines, as these pipelines were shut down during a portion of the second and third quarters of 2013 due to high river flow rates and flooding in the surrounding area,</w:t>
      </w:r>
    </w:p>
    <w:p>
      <w:pPr>
        <w:ind w:right="140" w:firstLine="8"/>
        <w:spacing w:after="0" w:line="287" w:lineRule="auto"/>
        <w:tabs>
          <w:tab w:leader="none" w:pos="265"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incremental volumes and revenues from our Pascagoula, Wascana and Bakken North pipelines, which were placed into service during the second quarter of 2014, (iii) incremental revenues from increased pumpover volumes at our Basin pipeline terminal, (iv) decreased volumes and revenues on our Rainbow pipeline due to (a) lower producer volumes and (b) operational issues during September 2014, (v) higher revenues resulting from a reclassification of certain of our Canadian storage facilities to our Transportation segment during the second quarter of 2014, (vi) increased volumes and revenues on our Line 2000 pipeline for the three-month comparable period due to increased refiner demand for heavy volumes, (vii) increased volumes and revenues on our Capline pipeline for the three-month comparative period due to the timing of a refinery turnaround, which occurred in the third quarter of 2013 and (viii) decreased volumes and revenues on certain of our NGL pipelines due to (a) the discontinuation in the fourth quarter of 2013 of an agreement to transport volumes on a pipeline and (b) the impact of netting joint venture related volumes to our share on a pipeline during 2014, which did not affect revenues.</w:t>
      </w:r>
    </w:p>
    <w:p>
      <w:pPr>
        <w:spacing w:after="0" w:line="170"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i w:val="1"/>
          <w:iCs w:val="1"/>
          <w:color w:val="auto"/>
        </w:rPr>
        <w:t xml:space="preserve">Field Operating Costs. </w:t>
      </w:r>
      <w:r>
        <w:rPr>
          <w:rFonts w:ascii="Arial" w:cs="Arial" w:eastAsia="Arial" w:hAnsi="Arial"/>
          <w:sz w:val="16"/>
          <w:szCs w:val="16"/>
          <w:color w:val="auto"/>
        </w:rPr>
        <w:t>Field operating costs (excluding equity-indexed compensation expenses) increased during the three and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2014 compared to the three and nine months ended September 30, 2013 due to (i) a change in classification of certain costs from General and</w:t>
      </w:r>
    </w:p>
    <w:p>
      <w:pPr>
        <w:sectPr>
          <w:pgSz w:w="11900" w:h="16989" w:orient="portrait"/>
          <w:cols w:equalWidth="0" w:num="1">
            <w:col w:w="11420"/>
          </w:cols>
          <w:pgMar w:left="240" w:top="140" w:right="239" w:bottom="0" w:gutter="0" w:footer="0" w:header="0"/>
          <w:type w:val="continuous"/>
        </w:sectPr>
      </w:pPr>
    </w:p>
    <w:bookmarkStart w:id="24" w:name="page25"/>
    <w:bookmarkEnd w:id="24"/>
    <w:p>
      <w:pPr>
        <w:spacing w:after="0" w:line="62"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Administrative expenses, (ii) increased asset integrity spending, (iii) higher utility costs associated with increased throughput volumes and (iv) operational issues related to crude oil contamination. The increase in field operating costs was not as pronounced for the comparative nine-month periods due to higher environmental remediation costs in 2013.</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(excluding equity-indexed compensation expenses) decreased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and nine months ended September 30, 2014 compared to the three and nine months ended September 30, 2013 primarily due to a change in classification of certain costs to Field Operating Costs.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Maintenance Capital. </w:t>
      </w:r>
      <w:r>
        <w:rPr>
          <w:rFonts w:ascii="Arial" w:cs="Arial" w:eastAsia="Arial" w:hAnsi="Arial"/>
          <w:sz w:val="17"/>
          <w:szCs w:val="17"/>
          <w:color w:val="auto"/>
        </w:rPr>
        <w:t>Maintenance capital consists of capital expenditures for the replacement of partially or fully depreciated assets in order to</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maintain the operating and/or earnings capacity of our existing assets. The increase in maintenance capital for the three and nine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2014 compared to the three and nine months ended September 30, 2013 is primarily due to increased investments on integrity-related projects.</w:t>
      </w:r>
    </w:p>
    <w:p>
      <w:pPr>
        <w:spacing w:after="0" w:line="234"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i w:val="1"/>
          <w:iCs w:val="1"/>
          <w:color w:val="auto"/>
        </w:rPr>
        <w:t>Equity-Indexed Compensation Expense</w:t>
      </w:r>
      <w:r>
        <w:rPr>
          <w:rFonts w:ascii="Arial" w:cs="Arial" w:eastAsia="Arial" w:hAnsi="Arial"/>
          <w:sz w:val="17"/>
          <w:szCs w:val="17"/>
          <w:color w:val="auto"/>
        </w:rPr>
        <w:t>. On a consolidated basis across all segments, equity-indexed compensation expense increased for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September 30, 2014 compared to the same period in 2013, primarily due to a smaller impact of the decrease in unit price during the period compared to the impact of the decrease in unit price for the same period in 2013. Consolidated equity-indexed compensation expense decreased for the nine months ended September 30, 2014 compared to the same period in 2013, primarily due to a less significant impact of the increase in unit price during the nine months ended September 30, 2014 compared to the same period in 2013.</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Allocations of equity-indexed compensation expense vary over time (i) between field operating costs and general and administrative expenses and</w:t>
      </w:r>
    </w:p>
    <w:p>
      <w:pPr>
        <w:spacing w:after="0" w:line="46" w:lineRule="exact"/>
        <w:rPr>
          <w:sz w:val="20"/>
          <w:szCs w:val="20"/>
          <w:color w:val="auto"/>
        </w:rPr>
      </w:pPr>
    </w:p>
    <w:p>
      <w:pPr>
        <w:ind w:right="40" w:firstLine="8"/>
        <w:spacing w:after="0" w:line="255" w:lineRule="auto"/>
        <w:tabs>
          <w:tab w:leader="none" w:pos="265"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between segments and could result in variances in those expense categories or segments that differ from the consolidated variance explanations above. See Note 15 to our Consolidated Financial Statements included in Part IV of our 2013 Annual Report on Form 10-K for additional information regarding our equity-indexed compensation plans.</w:t>
      </w:r>
    </w:p>
    <w:p>
      <w:pPr>
        <w:spacing w:after="0" w:line="19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Equity Earnings in Unconsolidated Entities</w:t>
      </w:r>
      <w:r>
        <w:rPr>
          <w:rFonts w:ascii="Arial" w:cs="Arial" w:eastAsia="Arial" w:hAnsi="Arial"/>
          <w:sz w:val="18"/>
          <w:szCs w:val="18"/>
          <w:color w:val="auto"/>
        </w:rPr>
        <w:t>. The favorable variance in equity earnings in unconsolidated entities for the three and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2014 compared to the three and nine months ended September 30, 2013 was largely due to increased throughput on the Eagle Ford joint venture pipeline as a result of increased production, as discussed above, and increased throughput on the White Cliffs pipeline due to an expansion of the pipeline that was placed into service in July 2014.</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Facilities Segment</w:t>
      </w:r>
    </w:p>
    <w:p>
      <w:pPr>
        <w:spacing w:after="0" w:line="229"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Our Facilities segment operations generally consist of fee-based activities associated with providing storage, terminalling and throughput services for crude oil, refined products, NGL and natural gas, as well as NGL fractionation and isomerization services and natural gas and condensate processing services. The Facilities segment generates revenue through a combination of month-to-month and multi-year agreements and processing arrangements.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operating results from our Facilities segment for the periods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8"/>
            <w:vMerge w:val="restart"/>
          </w:tcPr>
          <w:p>
            <w:pPr>
              <w:jc w:val="right"/>
              <w:ind w:right="3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8"/>
          </w:tcPr>
          <w:p>
            <w:pPr>
              <w:jc w:val="center"/>
              <w:ind w:right="800"/>
              <w:spacing w:after="0"/>
              <w:rPr>
                <w:sz w:val="20"/>
                <w:szCs w:val="20"/>
                <w:color w:val="auto"/>
              </w:rPr>
            </w:pPr>
            <w:r>
              <w:rPr>
                <w:rFonts w:ascii="Arial" w:cs="Arial" w:eastAsia="Arial" w:hAnsi="Arial"/>
                <w:sz w:val="14"/>
                <w:szCs w:val="14"/>
                <w:b w:val="1"/>
                <w:bCs w:val="1"/>
                <w:color w:val="auto"/>
                <w:w w:val="94"/>
              </w:rPr>
              <w:t>Favorable/</w:t>
            </w:r>
          </w:p>
        </w:tc>
        <w:tc>
          <w:tcPr>
            <w:tcW w:w="120" w:type="dxa"/>
            <w:vAlign w:val="bottom"/>
          </w:tcPr>
          <w:p>
            <w:pPr>
              <w:spacing w:after="0"/>
              <w:rPr>
                <w:sz w:val="14"/>
                <w:szCs w:val="14"/>
                <w:color w:val="auto"/>
              </w:rPr>
            </w:pPr>
          </w:p>
        </w:tc>
        <w:tc>
          <w:tcPr>
            <w:tcW w:w="1740" w:type="dxa"/>
            <w:vAlign w:val="bottom"/>
            <w:gridSpan w:val="8"/>
            <w:vMerge w:val="restart"/>
          </w:tcPr>
          <w:p>
            <w:pPr>
              <w:jc w:val="right"/>
              <w:ind w:right="36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5"/>
          </w:tcPr>
          <w:p>
            <w:pPr>
              <w:jc w:val="center"/>
              <w:ind w:left="156"/>
              <w:spacing w:after="0"/>
              <w:rPr>
                <w:sz w:val="20"/>
                <w:szCs w:val="20"/>
                <w:color w:val="auto"/>
              </w:rPr>
            </w:pPr>
            <w:r>
              <w:rPr>
                <w:rFonts w:ascii="Arial" w:cs="Arial" w:eastAsia="Arial" w:hAnsi="Arial"/>
                <w:sz w:val="14"/>
                <w:szCs w:val="14"/>
                <w:b w:val="1"/>
                <w:bCs w:val="1"/>
                <w:color w:val="auto"/>
                <w:w w:val="97"/>
              </w:rPr>
              <w:t>Favorable/</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8"/>
                <w:szCs w:val="8"/>
                <w:b w:val="1"/>
                <w:bCs w:val="1"/>
                <w:color w:val="auto"/>
              </w:rPr>
              <w:t>(1)</w:t>
            </w:r>
          </w:p>
        </w:tc>
        <w:tc>
          <w:tcPr>
            <w:tcW w:w="80" w:type="dxa"/>
            <w:vAlign w:val="bottom"/>
          </w:tcPr>
          <w:p>
            <w:pPr>
              <w:spacing w:after="0"/>
              <w:rPr>
                <w:sz w:val="12"/>
                <w:szCs w:val="12"/>
                <w:color w:val="auto"/>
              </w:rPr>
            </w:pPr>
          </w:p>
        </w:tc>
        <w:tc>
          <w:tcPr>
            <w:tcW w:w="1840" w:type="dxa"/>
            <w:vAlign w:val="bottom"/>
            <w:gridSpan w:val="8"/>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gridSpan w:val="8"/>
          </w:tcPr>
          <w:p>
            <w:pPr>
              <w:jc w:val="center"/>
              <w:ind w:right="800"/>
              <w:spacing w:after="0" w:line="149" w:lineRule="exact"/>
              <w:rPr>
                <w:sz w:val="20"/>
                <w:szCs w:val="20"/>
                <w:color w:val="auto"/>
              </w:rPr>
            </w:pPr>
            <w:r>
              <w:rPr>
                <w:rFonts w:ascii="Arial" w:cs="Arial" w:eastAsia="Arial" w:hAnsi="Arial"/>
                <w:sz w:val="14"/>
                <w:szCs w:val="14"/>
                <w:b w:val="1"/>
                <w:bCs w:val="1"/>
                <w:color w:val="auto"/>
                <w:w w:val="95"/>
              </w:rPr>
              <w:t>(Unfavorable)</w:t>
            </w:r>
          </w:p>
        </w:tc>
        <w:tc>
          <w:tcPr>
            <w:tcW w:w="120" w:type="dxa"/>
            <w:vAlign w:val="bottom"/>
          </w:tcPr>
          <w:p>
            <w:pPr>
              <w:spacing w:after="0"/>
              <w:rPr>
                <w:sz w:val="12"/>
                <w:szCs w:val="12"/>
                <w:color w:val="auto"/>
              </w:rPr>
            </w:pPr>
          </w:p>
        </w:tc>
        <w:tc>
          <w:tcPr>
            <w:tcW w:w="1740" w:type="dxa"/>
            <w:vAlign w:val="bottom"/>
            <w:gridSpan w:val="8"/>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7"/>
          </w:tcPr>
          <w:p>
            <w:pPr>
              <w:jc w:val="center"/>
              <w:ind w:right="390"/>
              <w:spacing w:after="0" w:line="149" w:lineRule="exact"/>
              <w:rPr>
                <w:sz w:val="20"/>
                <w:szCs w:val="20"/>
                <w:color w:val="auto"/>
              </w:rPr>
            </w:pPr>
            <w:r>
              <w:rPr>
                <w:rFonts w:ascii="Arial" w:cs="Arial" w:eastAsia="Arial" w:hAnsi="Arial"/>
                <w:sz w:val="14"/>
                <w:szCs w:val="14"/>
                <w:b w:val="1"/>
                <w:bCs w:val="1"/>
                <w:color w:val="auto"/>
                <w:w w:val="97"/>
              </w:rPr>
              <w:t>(Unfavorable)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4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5"/>
          </w:tcPr>
          <w:p>
            <w:pPr>
              <w:jc w:val="right"/>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8"/>
          </w:tcPr>
          <w:p>
            <w:pPr>
              <w:jc w:val="center"/>
              <w:ind w:right="800"/>
              <w:spacing w:after="0"/>
              <w:rPr>
                <w:sz w:val="20"/>
                <w:szCs w:val="20"/>
                <w:color w:val="auto"/>
              </w:rPr>
            </w:pPr>
            <w:r>
              <w:rPr>
                <w:rFonts w:ascii="Arial" w:cs="Arial" w:eastAsia="Arial" w:hAnsi="Arial"/>
                <w:sz w:val="14"/>
                <w:szCs w:val="14"/>
                <w:b w:val="1"/>
                <w:bCs w:val="1"/>
                <w:color w:val="auto"/>
                <w:w w:val="92"/>
              </w:rPr>
              <w:t>Variance</w:t>
            </w:r>
          </w:p>
        </w:tc>
        <w:tc>
          <w:tcPr>
            <w:tcW w:w="120" w:type="dxa"/>
            <w:vAlign w:val="bottom"/>
          </w:tcPr>
          <w:p>
            <w:pPr>
              <w:spacing w:after="0"/>
              <w:rPr>
                <w:sz w:val="14"/>
                <w:szCs w:val="14"/>
                <w:color w:val="auto"/>
              </w:rPr>
            </w:pPr>
          </w:p>
        </w:tc>
        <w:tc>
          <w:tcPr>
            <w:tcW w:w="1740" w:type="dxa"/>
            <w:vAlign w:val="bottom"/>
            <w:gridSpan w:val="8"/>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5"/>
          </w:tcPr>
          <w:p>
            <w:pPr>
              <w:jc w:val="center"/>
              <w:ind w:left="156"/>
              <w:spacing w:after="0"/>
              <w:rPr>
                <w:sz w:val="20"/>
                <w:szCs w:val="20"/>
                <w:color w:val="auto"/>
              </w:rPr>
            </w:pPr>
            <w:r>
              <w:rPr>
                <w:rFonts w:ascii="Arial" w:cs="Arial" w:eastAsia="Arial" w:hAnsi="Arial"/>
                <w:sz w:val="14"/>
                <w:szCs w:val="14"/>
                <w:b w:val="1"/>
                <w:bCs w:val="1"/>
                <w:color w:val="auto"/>
                <w:w w:val="95"/>
              </w:rPr>
              <w:t>Variance</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(in millions, except per barrel data)</w:t>
            </w:r>
          </w:p>
        </w:tc>
        <w:tc>
          <w:tcPr>
            <w:tcW w:w="240" w:type="dxa"/>
            <w:vAlign w:val="bottom"/>
            <w:tcBorders>
              <w:bottom w:val="single" w:sz="8" w:color="CCEEFF"/>
            </w:tcBorders>
            <w:gridSpan w:val="2"/>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center"/>
              <w:ind w:left="116"/>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4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4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5"/>
          </w:tcPr>
          <w:p>
            <w:pPr>
              <w:spacing w:after="0" w:line="216" w:lineRule="exact"/>
              <w:rPr>
                <w:sz w:val="20"/>
                <w:szCs w:val="20"/>
                <w:color w:val="auto"/>
              </w:rPr>
            </w:pPr>
            <w:r>
              <w:rPr>
                <w:rFonts w:ascii="Arial" w:cs="Arial" w:eastAsia="Arial" w:hAnsi="Arial"/>
                <w:sz w:val="18"/>
                <w:szCs w:val="18"/>
                <w:color w:val="auto"/>
              </w:rPr>
              <w:t xml:space="preserve">Natural gas sales </w:t>
            </w:r>
            <w:r>
              <w:rPr>
                <w:rFonts w:ascii="Arial" w:cs="Arial" w:eastAsia="Arial" w:hAnsi="Arial"/>
                <w:sz w:val="23"/>
                <w:szCs w:val="23"/>
                <w:color w:val="auto"/>
                <w:vertAlign w:val="superscript"/>
              </w:rPr>
              <w:t>(2)</w:t>
            </w:r>
          </w:p>
        </w:tc>
        <w:tc>
          <w:tcPr>
            <w:tcW w:w="8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gridSpan w:val="3"/>
          </w:tcPr>
          <w:p>
            <w:pPr>
              <w:jc w:val="right"/>
              <w:ind w:right="8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rPr>
              <w:t>(23)</w:t>
            </w:r>
          </w:p>
        </w:tc>
        <w:tc>
          <w:tcPr>
            <w:tcW w:w="880" w:type="dxa"/>
            <w:vAlign w:val="bottom"/>
            <w:tcBorders>
              <w:right w:val="single" w:sz="8" w:color="auto"/>
            </w:tcBorders>
            <w:gridSpan w:val="2"/>
          </w:tcPr>
          <w:p>
            <w:pPr>
              <w:jc w:val="right"/>
              <w:ind w:right="125"/>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(196)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8"/>
              </w:rPr>
              <w:t>Storage related costs (natural gas related)</w:t>
            </w: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880" w:type="dxa"/>
            <w:vAlign w:val="bottom"/>
            <w:tcBorders>
              <w:right w:val="single" w:sz="8" w:color="auto"/>
            </w:tcBorders>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(125)%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5"/>
          </w:tcPr>
          <w:p>
            <w:pPr>
              <w:spacing w:after="0" w:line="216" w:lineRule="exact"/>
              <w:rPr>
                <w:sz w:val="20"/>
                <w:szCs w:val="20"/>
                <w:color w:val="auto"/>
              </w:rPr>
            </w:pPr>
            <w:r>
              <w:rPr>
                <w:rFonts w:ascii="Arial" w:cs="Arial" w:eastAsia="Arial" w:hAnsi="Arial"/>
                <w:sz w:val="18"/>
                <w:szCs w:val="18"/>
                <w:color w:val="auto"/>
              </w:rPr>
              <w:t xml:space="preserve">Natural gas sales costs </w:t>
            </w:r>
            <w:r>
              <w:rPr>
                <w:rFonts w:ascii="Arial" w:cs="Arial" w:eastAsia="Arial" w:hAnsi="Arial"/>
                <w:sz w:val="23"/>
                <w:szCs w:val="23"/>
                <w:color w:val="auto"/>
                <w:vertAlign w:val="superscript"/>
              </w:rPr>
              <w:t>(2)</w:t>
            </w:r>
          </w:p>
        </w:tc>
        <w:tc>
          <w:tcPr>
            <w:tcW w:w="8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85"/>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184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5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5"/>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(3)</w:t>
            </w: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40" w:type="dxa"/>
            <w:vAlign w:val="bottom"/>
            <w:gridSpan w:val="5"/>
          </w:tcPr>
          <w:p>
            <w:pPr>
              <w:spacing w:after="0" w:line="201" w:lineRule="exact"/>
              <w:rPr>
                <w:sz w:val="20"/>
                <w:szCs w:val="20"/>
                <w:color w:val="auto"/>
              </w:rPr>
            </w:pPr>
            <w:r>
              <w:rPr>
                <w:rFonts w:ascii="Arial" w:cs="Arial" w:eastAsia="Arial" w:hAnsi="Arial"/>
                <w:sz w:val="18"/>
                <w:szCs w:val="18"/>
                <w:color w:val="auto"/>
              </w:rPr>
              <w:t>Equity-indexed compensation expense -</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gridSpan w:val="5"/>
          </w:tcPr>
          <w:p>
            <w:pPr>
              <w:ind w:left="180"/>
              <w:spacing w:after="0"/>
              <w:rPr>
                <w:sz w:val="20"/>
                <w:szCs w:val="20"/>
                <w:color w:val="auto"/>
              </w:rPr>
            </w:pPr>
            <w:r>
              <w:rPr>
                <w:rFonts w:ascii="Arial" w:cs="Arial" w:eastAsia="Arial" w:hAnsi="Arial"/>
                <w:sz w:val="18"/>
                <w:szCs w:val="18"/>
                <w:color w:val="auto"/>
              </w:rPr>
              <w:t>operations</w:t>
            </w:r>
          </w:p>
        </w:tc>
        <w:tc>
          <w:tcPr>
            <w:tcW w:w="80" w:type="dxa"/>
            <w:vAlign w:val="bottom"/>
          </w:tcPr>
          <w:p>
            <w:pPr>
              <w:spacing w:after="0"/>
              <w:rPr>
                <w:sz w:val="20"/>
                <w:szCs w:val="20"/>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4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rPr>
              <w:t>Segment general and administrative</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480" w:type="dxa"/>
            <w:vAlign w:val="bottom"/>
            <w:tcBorders>
              <w:right w:val="single" w:sz="8" w:color="CCEEFF"/>
            </w:tcBorders>
            <w:shd w:val="clear" w:color="auto" w:fill="CCEEFF"/>
          </w:tcPr>
          <w:p>
            <w:pPr>
              <w:spacing w:after="0"/>
              <w:rPr>
                <w:sz w:val="17"/>
                <w:szCs w:val="17"/>
                <w:color w:val="auto"/>
              </w:rPr>
            </w:pPr>
          </w:p>
        </w:tc>
        <w:tc>
          <w:tcPr>
            <w:tcW w:w="40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gridSpan w:val="5"/>
            <w:shd w:val="clear" w:color="auto" w:fill="CCEEFF"/>
          </w:tcPr>
          <w:p>
            <w:pPr>
              <w:ind w:left="180"/>
              <w:spacing w:after="0" w:line="231"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(3) (4)</w:t>
            </w:r>
          </w:p>
        </w:tc>
        <w:tc>
          <w:tcPr>
            <w:tcW w:w="8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40" w:type="dxa"/>
            <w:vAlign w:val="bottom"/>
            <w:gridSpan w:val="5"/>
          </w:tcPr>
          <w:p>
            <w:pPr>
              <w:spacing w:after="0" w:line="201" w:lineRule="exact"/>
              <w:rPr>
                <w:sz w:val="20"/>
                <w:szCs w:val="20"/>
                <w:color w:val="auto"/>
              </w:rPr>
            </w:pPr>
            <w:r>
              <w:rPr>
                <w:rFonts w:ascii="Arial" w:cs="Arial" w:eastAsia="Arial" w:hAnsi="Arial"/>
                <w:sz w:val="18"/>
                <w:szCs w:val="18"/>
                <w:color w:val="auto"/>
              </w:rPr>
              <w:t>Equity-indexed compensation expense -</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gridSpan w:val="5"/>
          </w:tcPr>
          <w:p>
            <w:pPr>
              <w:ind w:left="18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20"/>
                <w:szCs w:val="20"/>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gridSpan w:val="2"/>
          </w:tcPr>
          <w:p>
            <w:pPr>
              <w:jc w:val="right"/>
              <w:ind w:right="18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5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gridSpan w:val="5"/>
            <w:vMerge w:val="restart"/>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vMerge w:val="restart"/>
            <w:shd w:val="clear" w:color="auto" w:fill="CCEEFF"/>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gridSpan w:val="5"/>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w:t>
            </w:r>
          </w:p>
        </w:tc>
        <w:tc>
          <w:tcPr>
            <w:tcW w:w="8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4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8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right w:val="single" w:sz="8" w:color="CCEEFF"/>
            </w:tcBorders>
            <w:vMerge w:val="continue"/>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gridSpan w:val="5"/>
            <w:vMerge w:val="restart"/>
          </w:tcPr>
          <w:p>
            <w:pPr>
              <w:spacing w:after="0"/>
              <w:rPr>
                <w:sz w:val="20"/>
                <w:szCs w:val="20"/>
                <w:color w:val="auto"/>
              </w:rPr>
            </w:pPr>
            <w:r>
              <w:rPr>
                <w:rFonts w:ascii="Arial" w:cs="Arial" w:eastAsia="Arial" w:hAnsi="Arial"/>
                <w:sz w:val="18"/>
                <w:szCs w:val="18"/>
                <w:color w:val="auto"/>
              </w:rPr>
              <w:t>Maintenance capital</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right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340" w:type="dxa"/>
            <w:vAlign w:val="bottom"/>
            <w:gridSpan w:val="5"/>
            <w:vMerge w:val="continue"/>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19</w:t>
            </w:r>
          </w:p>
        </w:tc>
        <w:tc>
          <w:tcPr>
            <w:tcW w:w="80" w:type="dxa"/>
            <w:vAlign w:val="bottom"/>
          </w:tcPr>
          <w:p>
            <w:pPr>
              <w:spacing w:after="0"/>
              <w:rPr>
                <w:sz w:val="20"/>
                <w:szCs w:val="20"/>
                <w:color w:val="auto"/>
              </w:rPr>
            </w:pPr>
          </w:p>
        </w:tc>
        <w:tc>
          <w:tcPr>
            <w:tcW w:w="100" w:type="dxa"/>
            <w:vAlign w:val="bottom"/>
            <w:vMerge w:val="continue"/>
          </w:tcPr>
          <w:p>
            <w:pPr>
              <w:spacing w:after="0"/>
              <w:rPr>
                <w:sz w:val="20"/>
                <w:szCs w:val="20"/>
                <w:color w:val="auto"/>
              </w:rPr>
            </w:pP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c>
          <w:tcPr>
            <w:tcW w:w="80" w:type="dxa"/>
            <w:vAlign w:val="bottom"/>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(13)</w:t>
            </w:r>
          </w:p>
        </w:tc>
        <w:tc>
          <w:tcPr>
            <w:tcW w:w="240" w:type="dxa"/>
            <w:vAlign w:val="bottom"/>
            <w:vMerge w:val="continue"/>
          </w:tcPr>
          <w:p>
            <w:pPr>
              <w:spacing w:after="0"/>
              <w:rPr>
                <w:sz w:val="20"/>
                <w:szCs w:val="20"/>
                <w:color w:val="auto"/>
              </w:rPr>
            </w:pPr>
          </w:p>
        </w:tc>
        <w:tc>
          <w:tcPr>
            <w:tcW w:w="880" w:type="dxa"/>
            <w:vAlign w:val="bottom"/>
            <w:tcBorders>
              <w:right w:val="single" w:sz="8" w:color="auto"/>
            </w:tcBorders>
            <w:gridSpan w:val="2"/>
          </w:tcPr>
          <w:p>
            <w:pPr>
              <w:jc w:val="right"/>
              <w:ind w:right="125"/>
              <w:spacing w:after="0" w:line="196" w:lineRule="exact"/>
              <w:rPr>
                <w:sz w:val="20"/>
                <w:szCs w:val="20"/>
                <w:color w:val="auto"/>
              </w:rPr>
            </w:pPr>
            <w:r>
              <w:rPr>
                <w:rFonts w:ascii="Arial" w:cs="Arial" w:eastAsia="Arial" w:hAnsi="Arial"/>
                <w:sz w:val="18"/>
                <w:szCs w:val="18"/>
                <w:color w:val="auto"/>
              </w:rPr>
              <w:t>(217)%</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23</w:t>
            </w:r>
          </w:p>
        </w:tc>
        <w:tc>
          <w:tcPr>
            <w:tcW w:w="10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0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w:t>
            </w:r>
          </w:p>
        </w:tc>
        <w:tc>
          <w:tcPr>
            <w:tcW w:w="80" w:type="dxa"/>
            <w:vAlign w:val="bottom"/>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340" w:type="dxa"/>
            <w:vAlign w:val="bottom"/>
            <w:tcBorders>
              <w:top w:val="single" w:sz="8" w:color="CCEEFF"/>
              <w:bottom w:val="single" w:sz="8" w:color="CCEEFF"/>
            </w:tcBorders>
            <w:gridSpan w:val="5"/>
            <w:shd w:val="clear" w:color="auto" w:fill="CCEEFF"/>
          </w:tcPr>
          <w:p>
            <w:pPr>
              <w:spacing w:after="0" w:line="196" w:lineRule="exact"/>
              <w:rPr>
                <w:sz w:val="20"/>
                <w:szCs w:val="20"/>
                <w:color w:val="auto"/>
              </w:rPr>
            </w:pPr>
            <w:r>
              <w:rPr>
                <w:rFonts w:ascii="Arial" w:cs="Arial" w:eastAsia="Arial" w:hAnsi="Arial"/>
                <w:sz w:val="18"/>
                <w:szCs w:val="18"/>
                <w:color w:val="auto"/>
              </w:rPr>
              <w:t>Segment profit per barrel</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right w:val="single" w:sz="8" w:color="CCEEFF"/>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0.40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right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0.41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(0.01</w:t>
            </w:r>
          </w:p>
        </w:tc>
        <w:tc>
          <w:tcPr>
            <w:tcW w:w="240" w:type="dxa"/>
            <w:vAlign w:val="bottom"/>
            <w:tcBorders>
              <w:top w:val="single" w:sz="8" w:color="CCEEFF"/>
              <w:bottom w:val="single" w:sz="8" w:color="CCEEFF"/>
              <w:right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48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400" w:type="dxa"/>
            <w:vAlign w:val="bottom"/>
            <w:tcBorders>
              <w:top w:val="single" w:sz="8" w:color="CCEEFF"/>
              <w:bottom w:val="single" w:sz="8" w:color="CCEEFF"/>
              <w:right w:val="single" w:sz="8" w:color="auto"/>
            </w:tcBorders>
            <w:shd w:val="clear" w:color="auto" w:fill="CCEEFF"/>
          </w:tcPr>
          <w:p>
            <w:pPr>
              <w:jc w:val="right"/>
              <w:ind w:right="125"/>
              <w:spacing w:after="0" w:line="190" w:lineRule="exact"/>
              <w:rPr>
                <w:sz w:val="20"/>
                <w:szCs w:val="20"/>
                <w:color w:val="auto"/>
              </w:rPr>
            </w:pPr>
            <w:r>
              <w:rPr>
                <w:rFonts w:ascii="Arial" w:cs="Arial" w:eastAsia="Arial" w:hAnsi="Arial"/>
                <w:sz w:val="18"/>
                <w:szCs w:val="18"/>
                <w:color w:val="auto"/>
                <w:w w:val="81"/>
              </w:rPr>
              <w:t>)%</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0.40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0.41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(0.01</w:t>
            </w:r>
          </w:p>
        </w:tc>
        <w:tc>
          <w:tcPr>
            <w:tcW w:w="80" w:type="dxa"/>
            <w:vAlign w:val="bottom"/>
            <w:tcBorders>
              <w:top w:val="single" w:sz="8" w:color="CCEEFF"/>
              <w:bottom w:val="single" w:sz="8" w:color="CCEEFF"/>
            </w:tcBorders>
            <w:shd w:val="clear" w:color="auto" w:fill="CCEEFF"/>
          </w:tcPr>
          <w:p>
            <w:pPr>
              <w:jc w:val="center"/>
              <w:spacing w:after="0" w:line="190"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46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260" w:type="dxa"/>
            <w:vAlign w:val="bottom"/>
            <w:tcBorders>
              <w:top w:val="single" w:sz="8" w:color="CCEEFF"/>
              <w:bottom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color w:val="auto"/>
                <w:w w:val="72"/>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jc w:val="right"/>
              <w:ind w:right="16"/>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17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gridSpan w:val="2"/>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340" w:type="dxa"/>
            <w:vAlign w:val="bottom"/>
            <w:gridSpan w:val="5"/>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280" w:type="dxa"/>
            <w:vAlign w:val="bottom"/>
            <w:tcBorders>
              <w:top w:val="single" w:sz="8" w:color="0000EE"/>
            </w:tcBorders>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Favorable/</w:t>
            </w: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8"/>
            <w:vMerge w:val="restart"/>
          </w:tcPr>
          <w:p>
            <w:pPr>
              <w:jc w:val="right"/>
              <w:ind w:right="460"/>
              <w:spacing w:after="0"/>
              <w:rPr>
                <w:sz w:val="20"/>
                <w:szCs w:val="20"/>
                <w:color w:val="auto"/>
              </w:rPr>
            </w:pPr>
            <w:r>
              <w:rPr>
                <w:rFonts w:ascii="Arial" w:cs="Arial" w:eastAsia="Arial" w:hAnsi="Arial"/>
                <w:sz w:val="14"/>
                <w:szCs w:val="14"/>
                <w:b w:val="1"/>
                <w:bCs w:val="1"/>
                <w:color w:val="auto"/>
                <w:w w:val="96"/>
              </w:rPr>
              <w:t>Nine Months Ended</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5"/>
          </w:tcPr>
          <w:p>
            <w:pPr>
              <w:jc w:val="center"/>
              <w:ind w:left="56"/>
              <w:spacing w:after="0"/>
              <w:rPr>
                <w:sz w:val="20"/>
                <w:szCs w:val="20"/>
                <w:color w:val="auto"/>
              </w:rPr>
            </w:pPr>
            <w:r>
              <w:rPr>
                <w:rFonts w:ascii="Arial" w:cs="Arial" w:eastAsia="Arial" w:hAnsi="Arial"/>
                <w:sz w:val="14"/>
                <w:szCs w:val="14"/>
                <w:b w:val="1"/>
                <w:bCs w:val="1"/>
                <w:color w:val="auto"/>
                <w:w w:val="94"/>
              </w:rPr>
              <w:t>Favorable/</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5"/>
            <w:vMerge w:val="continue"/>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gridSpan w:val="8"/>
          </w:tcPr>
          <w:p>
            <w:pPr>
              <w:jc w:val="center"/>
              <w:ind w:right="1080"/>
              <w:spacing w:after="0" w:line="149" w:lineRule="exact"/>
              <w:rPr>
                <w:sz w:val="20"/>
                <w:szCs w:val="20"/>
                <w:color w:val="auto"/>
              </w:rPr>
            </w:pPr>
            <w:r>
              <w:rPr>
                <w:rFonts w:ascii="Arial" w:cs="Arial" w:eastAsia="Arial" w:hAnsi="Arial"/>
                <w:sz w:val="14"/>
                <w:szCs w:val="14"/>
                <w:b w:val="1"/>
                <w:bCs w:val="1"/>
                <w:color w:val="auto"/>
                <w:w w:val="95"/>
              </w:rPr>
              <w:t>(Unfavorable)</w:t>
            </w:r>
          </w:p>
        </w:tc>
        <w:tc>
          <w:tcPr>
            <w:tcW w:w="120" w:type="dxa"/>
            <w:vAlign w:val="bottom"/>
          </w:tcPr>
          <w:p>
            <w:pPr>
              <w:spacing w:after="0"/>
              <w:rPr>
                <w:sz w:val="12"/>
                <w:szCs w:val="12"/>
                <w:color w:val="auto"/>
              </w:rPr>
            </w:pPr>
          </w:p>
        </w:tc>
        <w:tc>
          <w:tcPr>
            <w:tcW w:w="1740" w:type="dxa"/>
            <w:vAlign w:val="bottom"/>
            <w:gridSpan w:val="8"/>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7"/>
          </w:tcPr>
          <w:p>
            <w:pPr>
              <w:jc w:val="center"/>
              <w:ind w:right="490"/>
              <w:spacing w:after="0" w:line="149" w:lineRule="exact"/>
              <w:rPr>
                <w:sz w:val="20"/>
                <w:szCs w:val="20"/>
                <w:color w:val="auto"/>
              </w:rPr>
            </w:pPr>
            <w:r>
              <w:rPr>
                <w:rFonts w:ascii="Arial" w:cs="Arial" w:eastAsia="Arial" w:hAnsi="Arial"/>
                <w:sz w:val="14"/>
                <w:szCs w:val="14"/>
                <w:b w:val="1"/>
                <w:bCs w:val="1"/>
                <w:color w:val="auto"/>
                <w:w w:val="95"/>
              </w:rPr>
              <w:t>(Unfavorable)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 xml:space="preserve">Volumes </w:t>
            </w:r>
            <w:r>
              <w:rPr>
                <w:rFonts w:ascii="Arial" w:cs="Arial" w:eastAsia="Arial" w:hAnsi="Arial"/>
                <w:sz w:val="8"/>
                <w:szCs w:val="8"/>
                <w:b w:val="1"/>
                <w:bCs w:val="1"/>
                <w:color w:val="auto"/>
              </w:rPr>
              <w:t>(5)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5"/>
          </w:tcPr>
          <w:p>
            <w:pPr>
              <w:jc w:val="right"/>
              <w:ind w:right="146"/>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Variance</w:t>
            </w: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8"/>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5"/>
          </w:tcPr>
          <w:p>
            <w:pPr>
              <w:jc w:val="center"/>
              <w:ind w:left="56"/>
              <w:spacing w:after="0"/>
              <w:rPr>
                <w:sz w:val="20"/>
                <w:szCs w:val="20"/>
                <w:color w:val="auto"/>
              </w:rPr>
            </w:pPr>
            <w:r>
              <w:rPr>
                <w:rFonts w:ascii="Arial" w:cs="Arial" w:eastAsia="Arial" w:hAnsi="Arial"/>
                <w:sz w:val="14"/>
                <w:szCs w:val="14"/>
                <w:b w:val="1"/>
                <w:bCs w:val="1"/>
                <w:color w:val="auto"/>
                <w:w w:val="92"/>
              </w:rPr>
              <w:t>Variance</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20" w:type="dxa"/>
            <w:vAlign w:val="bottom"/>
            <w:gridSpan w:val="4"/>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96"/>
              </w:rPr>
              <w:t>2014</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6"/>
          </w:tcPr>
          <w:p>
            <w:pPr>
              <w:jc w:val="right"/>
              <w:ind w:right="580"/>
              <w:spacing w:after="0" w:line="142" w:lineRule="exact"/>
              <w:rPr>
                <w:sz w:val="20"/>
                <w:szCs w:val="20"/>
                <w:color w:val="auto"/>
              </w:rPr>
            </w:pPr>
            <w:r>
              <w:rPr>
                <w:rFonts w:ascii="Arial" w:cs="Arial" w:eastAsia="Arial" w:hAnsi="Arial"/>
                <w:sz w:val="14"/>
                <w:szCs w:val="14"/>
                <w:b w:val="1"/>
                <w:bCs w:val="1"/>
                <w:color w:val="auto"/>
                <w:w w:val="89"/>
              </w:rPr>
              <w:t>Volumes</w:t>
            </w:r>
          </w:p>
        </w:tc>
        <w:tc>
          <w:tcPr>
            <w:tcW w:w="480" w:type="dxa"/>
            <w:vAlign w:val="bottom"/>
            <w:tcBorders>
              <w:top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w w:val="79"/>
              </w:rPr>
              <w:t>%</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96"/>
              </w:rPr>
              <w:t>2014</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w w:val="89"/>
              </w:rPr>
              <w:t>2013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Borders>
              <w:top w:val="single" w:sz="8" w:color="auto"/>
            </w:tcBorders>
            <w:gridSpan w:val="7"/>
          </w:tcPr>
          <w:p>
            <w:pPr>
              <w:ind w:left="120"/>
              <w:spacing w:after="0" w:line="142" w:lineRule="exact"/>
              <w:rPr>
                <w:sz w:val="20"/>
                <w:szCs w:val="20"/>
                <w:color w:val="auto"/>
              </w:rPr>
            </w:pPr>
            <w:r>
              <w:rPr>
                <w:rFonts w:ascii="Arial" w:cs="Arial" w:eastAsia="Arial" w:hAnsi="Arial"/>
                <w:sz w:val="14"/>
                <w:szCs w:val="14"/>
                <w:b w:val="1"/>
                <w:bCs w:val="1"/>
                <w:color w:val="auto"/>
              </w:rPr>
              <w:t>Volumes</w:t>
            </w:r>
          </w:p>
        </w:tc>
        <w:tc>
          <w:tcPr>
            <w:tcW w:w="46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00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Crude oil, refined products and NGL</w:t>
            </w:r>
          </w:p>
        </w:tc>
        <w:tc>
          <w:tcPr>
            <w:tcW w:w="220" w:type="dxa"/>
            <w:vAlign w:val="bottom"/>
            <w:tcBorders>
              <w:top w:val="single" w:sz="8" w:color="CCEEFF"/>
            </w:tcBorders>
            <w:gridSpan w:val="2"/>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right w:val="single" w:sz="8" w:color="CCEEFF"/>
            </w:tcBorders>
            <w:shd w:val="clear" w:color="auto" w:fill="CCEEFF"/>
          </w:tcPr>
          <w:p>
            <w:pPr>
              <w:spacing w:after="0"/>
              <w:rPr>
                <w:sz w:val="16"/>
                <w:szCs w:val="16"/>
                <w:color w:val="auto"/>
              </w:rPr>
            </w:pPr>
          </w:p>
        </w:tc>
        <w:tc>
          <w:tcPr>
            <w:tcW w:w="480" w:type="dxa"/>
            <w:vAlign w:val="bottom"/>
            <w:tcBorders>
              <w:top w:val="single" w:sz="8" w:color="auto"/>
              <w:right w:val="single" w:sz="8" w:color="CCEEFF"/>
            </w:tcBorders>
            <w:shd w:val="clear" w:color="auto" w:fill="CCEEFF"/>
          </w:tcPr>
          <w:p>
            <w:pPr>
              <w:spacing w:after="0"/>
              <w:rPr>
                <w:sz w:val="16"/>
                <w:szCs w:val="16"/>
                <w:color w:val="auto"/>
              </w:rPr>
            </w:pPr>
          </w:p>
        </w:tc>
        <w:tc>
          <w:tcPr>
            <w:tcW w:w="400" w:type="dxa"/>
            <w:vAlign w:val="bottom"/>
            <w:tcBorders>
              <w:top w:val="single" w:sz="8" w:color="CCEEFF"/>
              <w:right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right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4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terminalling and storage (average</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monthly capacity in millions of</w:t>
            </w:r>
          </w:p>
        </w:tc>
        <w:tc>
          <w:tcPr>
            <w:tcW w:w="80" w:type="dxa"/>
            <w:vAlign w:val="bottom"/>
            <w:shd w:val="clear" w:color="auto" w:fill="CCEEFF"/>
          </w:tcPr>
          <w:p>
            <w:pPr>
              <w:spacing w:after="0"/>
              <w:rPr>
                <w:sz w:val="18"/>
                <w:szCs w:val="18"/>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94</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auto"/>
            </w:tcBorders>
            <w:gridSpan w:val="2"/>
            <w:vMerge w:val="restart"/>
            <w:shd w:val="clear" w:color="auto" w:fill="CCEEFF"/>
          </w:tcPr>
          <w:p>
            <w:pPr>
              <w:jc w:val="right"/>
              <w:ind w:right="225"/>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4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barrels)</w:t>
            </w:r>
          </w:p>
        </w:tc>
        <w:tc>
          <w:tcPr>
            <w:tcW w:w="8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auto"/>
            </w:tcBorders>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CCEEFF"/>
            </w:tcBorders>
            <w:gridSpan w:val="4"/>
            <w:vMerge w:val="restart"/>
          </w:tcPr>
          <w:p>
            <w:pPr>
              <w:spacing w:after="0" w:line="195" w:lineRule="exact"/>
              <w:rPr>
                <w:sz w:val="20"/>
                <w:szCs w:val="20"/>
                <w:color w:val="auto"/>
              </w:rPr>
            </w:pPr>
            <w:r>
              <w:rPr>
                <w:rFonts w:ascii="Arial" w:cs="Arial" w:eastAsia="Arial" w:hAnsi="Arial"/>
                <w:sz w:val="18"/>
                <w:szCs w:val="18"/>
                <w:color w:val="auto"/>
              </w:rPr>
              <w:t>Rail load / unload volumes (average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right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220" w:type="dxa"/>
            <w:vAlign w:val="bottom"/>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340" w:type="dxa"/>
            <w:vAlign w:val="bottom"/>
            <w:gridSpan w:val="5"/>
          </w:tcPr>
          <w:p>
            <w:pPr>
              <w:ind w:left="180"/>
              <w:spacing w:after="0"/>
              <w:rPr>
                <w:sz w:val="20"/>
                <w:szCs w:val="20"/>
                <w:color w:val="auto"/>
              </w:rPr>
            </w:pPr>
            <w:r>
              <w:rPr>
                <w:rFonts w:ascii="Arial" w:cs="Arial" w:eastAsia="Arial" w:hAnsi="Arial"/>
                <w:sz w:val="18"/>
                <w:szCs w:val="18"/>
                <w:color w:val="auto"/>
              </w:rPr>
              <w:t>volumes in thousands of barrels per</w:t>
            </w:r>
          </w:p>
        </w:tc>
        <w:tc>
          <w:tcPr>
            <w:tcW w:w="80" w:type="dxa"/>
            <w:vAlign w:val="bottom"/>
          </w:tcPr>
          <w:p>
            <w:pPr>
              <w:spacing w:after="0"/>
              <w:rPr>
                <w:sz w:val="18"/>
                <w:szCs w:val="18"/>
                <w:color w:val="auto"/>
              </w:rPr>
            </w:pPr>
          </w:p>
        </w:tc>
        <w:tc>
          <w:tcPr>
            <w:tcW w:w="7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241</w:t>
            </w:r>
          </w:p>
        </w:tc>
        <w:tc>
          <w:tcPr>
            <w:tcW w:w="80" w:type="dxa"/>
            <w:vAlign w:val="bottom"/>
          </w:tcPr>
          <w:p>
            <w:pPr>
              <w:spacing w:after="0"/>
              <w:rPr>
                <w:sz w:val="18"/>
                <w:szCs w:val="18"/>
                <w:color w:val="auto"/>
              </w:rPr>
            </w:pPr>
          </w:p>
        </w:tc>
        <w:tc>
          <w:tcPr>
            <w:tcW w:w="900" w:type="dxa"/>
            <w:vAlign w:val="bottom"/>
            <w:gridSpan w:val="4"/>
            <w:vMerge w:val="restart"/>
          </w:tcPr>
          <w:p>
            <w:pPr>
              <w:jc w:val="right"/>
              <w:ind w:right="150"/>
              <w:spacing w:after="0"/>
              <w:rPr>
                <w:sz w:val="20"/>
                <w:szCs w:val="20"/>
                <w:color w:val="auto"/>
              </w:rPr>
            </w:pPr>
            <w:r>
              <w:rPr>
                <w:rFonts w:ascii="Arial" w:cs="Arial" w:eastAsia="Arial" w:hAnsi="Arial"/>
                <w:sz w:val="18"/>
                <w:szCs w:val="18"/>
                <w:color w:val="auto"/>
              </w:rPr>
              <w:t>218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vMerge w:val="restart"/>
          </w:tcPr>
          <w:p>
            <w:pPr>
              <w:jc w:val="center"/>
              <w:ind w:left="96"/>
              <w:spacing w:after="0"/>
              <w:rPr>
                <w:sz w:val="20"/>
                <w:szCs w:val="20"/>
                <w:color w:val="auto"/>
              </w:rPr>
            </w:pPr>
            <w:r>
              <w:rPr>
                <w:rFonts w:ascii="Arial" w:cs="Arial" w:eastAsia="Arial" w:hAnsi="Arial"/>
                <w:sz w:val="18"/>
                <w:szCs w:val="18"/>
                <w:color w:val="auto"/>
                <w:w w:val="89"/>
              </w:rPr>
              <w:t>23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Borders>
              <w:right w:val="single" w:sz="8" w:color="auto"/>
            </w:tcBorders>
            <w:gridSpan w:val="2"/>
            <w:vMerge w:val="restart"/>
          </w:tcPr>
          <w:p>
            <w:pPr>
              <w:jc w:val="right"/>
              <w:ind w:right="225"/>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340" w:type="dxa"/>
            <w:vAlign w:val="bottom"/>
            <w:gridSpan w:val="5"/>
          </w:tcPr>
          <w:p>
            <w:pPr>
              <w:ind w:left="180"/>
              <w:spacing w:after="0"/>
              <w:rPr>
                <w:sz w:val="20"/>
                <w:szCs w:val="20"/>
                <w:color w:val="auto"/>
              </w:rPr>
            </w:pPr>
            <w:r>
              <w:rPr>
                <w:rFonts w:ascii="Arial" w:cs="Arial" w:eastAsia="Arial" w:hAnsi="Arial"/>
                <w:sz w:val="18"/>
                <w:szCs w:val="18"/>
                <w:color w:val="auto"/>
              </w:rPr>
              <w:t>day)</w:t>
            </w:r>
          </w:p>
        </w:tc>
        <w:tc>
          <w:tcPr>
            <w:tcW w:w="80" w:type="dxa"/>
            <w:vAlign w:val="bottom"/>
          </w:tcPr>
          <w:p>
            <w:pPr>
              <w:spacing w:after="0"/>
              <w:rPr>
                <w:sz w:val="22"/>
                <w:szCs w:val="22"/>
                <w:color w:val="auto"/>
              </w:rPr>
            </w:pPr>
          </w:p>
        </w:tc>
        <w:tc>
          <w:tcPr>
            <w:tcW w:w="78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gridSpan w:val="4"/>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Borders>
              <w:right w:val="single" w:sz="8" w:color="auto"/>
            </w:tcBorders>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gridSpan w:val="2"/>
            <w:vMerge w:val="continue"/>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gridSpan w:val="2"/>
            <w:vMerge w:val="continue"/>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gridSpan w:val="2"/>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3220" w:type="dxa"/>
            <w:vAlign w:val="bottom"/>
            <w:tcBorders>
              <w:top w:val="single" w:sz="8" w:color="CCEEFF"/>
            </w:tcBorders>
            <w:gridSpan w:val="4"/>
            <w:shd w:val="clear" w:color="auto" w:fill="CCEEFF"/>
          </w:tcPr>
          <w:p>
            <w:pPr>
              <w:spacing w:after="0" w:line="190" w:lineRule="exact"/>
              <w:rPr>
                <w:sz w:val="20"/>
                <w:szCs w:val="20"/>
                <w:color w:val="auto"/>
              </w:rPr>
            </w:pPr>
            <w:r>
              <w:rPr>
                <w:rFonts w:ascii="Arial" w:cs="Arial" w:eastAsia="Arial" w:hAnsi="Arial"/>
                <w:sz w:val="18"/>
                <w:szCs w:val="18"/>
                <w:color w:val="auto"/>
              </w:rPr>
              <w:t>Natural gas storage (average monthly</w:t>
            </w: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97</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ind w:left="96"/>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right w:val="single" w:sz="8" w:color="CCEEFF"/>
            </w:tcBorders>
            <w:gridSpan w:val="2"/>
            <w:shd w:val="clear" w:color="auto" w:fill="CCEEFF"/>
          </w:tcPr>
          <w:p>
            <w:pPr>
              <w:spacing w:after="0"/>
              <w:rPr>
                <w:sz w:val="18"/>
                <w:szCs w:val="18"/>
                <w:color w:val="auto"/>
              </w:rPr>
            </w:pPr>
          </w:p>
        </w:tc>
        <w:tc>
          <w:tcPr>
            <w:tcW w:w="4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right w:val="single" w:sz="8" w:color="auto"/>
            </w:tcBorders>
            <w:shd w:val="clear" w:color="auto" w:fill="CCEEFF"/>
          </w:tcPr>
          <w:p>
            <w:pPr>
              <w:jc w:val="right"/>
              <w:ind w:right="225"/>
              <w:spacing w:after="0"/>
              <w:rPr>
                <w:sz w:val="20"/>
                <w:szCs w:val="20"/>
                <w:color w:val="auto"/>
              </w:rPr>
            </w:pPr>
            <w:r>
              <w:rPr>
                <w:rFonts w:ascii="Arial" w:cs="Arial" w:eastAsia="Arial" w:hAnsi="Arial"/>
                <w:sz w:val="12"/>
                <w:szCs w:val="12"/>
                <w:color w:val="auto"/>
                <w:w w:val="74"/>
              </w:rPr>
              <w:t>%</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top w:val="single" w:sz="8" w:color="CCEEFF"/>
            </w:tcBorders>
            <w:shd w:val="clear" w:color="auto" w:fill="CCEEFF"/>
          </w:tcPr>
          <w:p>
            <w:pPr>
              <w:jc w:val="right"/>
              <w:ind w:right="30"/>
              <w:spacing w:after="0" w:line="190" w:lineRule="exact"/>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1280" w:type="dxa"/>
            <w:vAlign w:val="bottom"/>
            <w:shd w:val="clear" w:color="auto" w:fill="CCEEFF"/>
          </w:tcPr>
          <w:p>
            <w:pPr>
              <w:spacing w:after="0"/>
              <w:rPr>
                <w:sz w:val="8"/>
                <w:szCs w:val="8"/>
                <w:color w:val="auto"/>
              </w:rPr>
            </w:pPr>
          </w:p>
        </w:tc>
        <w:tc>
          <w:tcPr>
            <w:tcW w:w="1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4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4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tcBorders>
              <w:right w:val="single" w:sz="8" w:color="CCEEFF"/>
            </w:tcBorders>
            <w:shd w:val="clear" w:color="auto" w:fill="CCEEFF"/>
          </w:tcPr>
          <w:p>
            <w:pPr>
              <w:spacing w:after="0"/>
              <w:rPr>
                <w:sz w:val="8"/>
                <w:szCs w:val="8"/>
                <w:color w:val="auto"/>
              </w:rPr>
            </w:pPr>
          </w:p>
        </w:tc>
        <w:tc>
          <w:tcPr>
            <w:tcW w:w="480" w:type="dxa"/>
            <w:vAlign w:val="bottom"/>
            <w:tcBorders>
              <w:right w:val="single" w:sz="8" w:color="CCEEFF"/>
            </w:tcBorders>
            <w:shd w:val="clear" w:color="auto" w:fill="CCEEFF"/>
          </w:tcPr>
          <w:p>
            <w:pPr>
              <w:spacing w:after="0"/>
              <w:rPr>
                <w:sz w:val="8"/>
                <w:szCs w:val="8"/>
                <w:color w:val="auto"/>
              </w:rPr>
            </w:pPr>
          </w:p>
        </w:tc>
        <w:tc>
          <w:tcPr>
            <w:tcW w:w="400" w:type="dxa"/>
            <w:vAlign w:val="bottom"/>
            <w:tcBorders>
              <w:right w:val="single" w:sz="8" w:color="auto"/>
            </w:tcBorders>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tcBorders>
              <w:right w:val="single" w:sz="8" w:color="CCEEFF"/>
            </w:tcBorders>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-2104390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-2104390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25" w:right="199" w:bottom="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3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working capacity in billions of cubic</w:t>
            </w: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feet)</w:t>
            </w:r>
          </w:p>
        </w:tc>
        <w:tc>
          <w:tcPr>
            <w:tcW w:w="7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CCEEFF"/>
              <w:right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20" w:type="dxa"/>
            <w:vAlign w:val="bottom"/>
            <w:vMerge w:val="restart"/>
          </w:tcPr>
          <w:p>
            <w:pPr>
              <w:spacing w:after="0" w:line="195" w:lineRule="exact"/>
              <w:rPr>
                <w:sz w:val="20"/>
                <w:szCs w:val="20"/>
                <w:color w:val="auto"/>
              </w:rPr>
            </w:pPr>
            <w:r>
              <w:rPr>
                <w:rFonts w:ascii="Arial" w:cs="Arial" w:eastAsia="Arial" w:hAnsi="Arial"/>
                <w:sz w:val="18"/>
                <w:szCs w:val="18"/>
                <w:color w:val="auto"/>
              </w:rPr>
              <w:t>NGL fractionation (average volumes in</w:t>
            </w: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220" w:type="dxa"/>
            <w:vAlign w:val="bottom"/>
            <w:vMerge w:val="continue"/>
          </w:tcPr>
          <w:p>
            <w:pPr>
              <w:spacing w:after="0"/>
              <w:rPr>
                <w:sz w:val="13"/>
                <w:szCs w:val="13"/>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104</w:t>
            </w: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106</w:t>
            </w: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(2)</w:t>
            </w:r>
          </w:p>
        </w:tc>
        <w:tc>
          <w:tcPr>
            <w:tcW w:w="116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3"/>
                <w:szCs w:val="13"/>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94</w:t>
            </w: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99</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(5)</w:t>
            </w:r>
          </w:p>
        </w:tc>
        <w:tc>
          <w:tcPr>
            <w:tcW w:w="10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3220" w:type="dxa"/>
            <w:vAlign w:val="bottom"/>
          </w:tcPr>
          <w:p>
            <w:pPr>
              <w:ind w:left="180"/>
              <w:spacing w:after="0"/>
              <w:rPr>
                <w:sz w:val="20"/>
                <w:szCs w:val="20"/>
                <w:color w:val="auto"/>
              </w:rPr>
            </w:pPr>
            <w:r>
              <w:rPr>
                <w:rFonts w:ascii="Arial" w:cs="Arial" w:eastAsia="Arial" w:hAnsi="Arial"/>
                <w:sz w:val="18"/>
                <w:szCs w:val="18"/>
                <w:color w:val="auto"/>
              </w:rPr>
              <w:t>thousands of barrels per day)</w:t>
            </w:r>
          </w:p>
        </w:tc>
        <w:tc>
          <w:tcPr>
            <w:tcW w:w="980" w:type="dxa"/>
            <w:vAlign w:val="bottom"/>
            <w:gridSpan w:val="2"/>
            <w:vMerge w:val="continue"/>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160" w:type="dxa"/>
            <w:vAlign w:val="bottom"/>
            <w:tcBorders>
              <w:right w:val="single" w:sz="8" w:color="auto"/>
            </w:tcBorders>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vMerge w:val="restart"/>
            <w:shd w:val="clear" w:color="auto" w:fill="CCEEFF"/>
          </w:tcPr>
          <w:p>
            <w:pPr>
              <w:spacing w:after="0" w:line="176" w:lineRule="exact"/>
              <w:rPr>
                <w:sz w:val="20"/>
                <w:szCs w:val="20"/>
                <w:color w:val="auto"/>
              </w:rPr>
            </w:pPr>
            <w:r>
              <w:rPr>
                <w:rFonts w:ascii="Arial" w:cs="Arial" w:eastAsia="Arial" w:hAnsi="Arial"/>
                <w:sz w:val="18"/>
                <w:szCs w:val="18"/>
                <w:color w:val="auto"/>
                <w:w w:val="97"/>
              </w:rPr>
              <w:t>Facilities segment total (average monthly</w:t>
            </w: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220" w:type="dxa"/>
            <w:vAlign w:val="bottom"/>
            <w:vMerge w:val="continue"/>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121</w:t>
            </w: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120</w:t>
            </w: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160" w:type="dxa"/>
            <w:vAlign w:val="bottom"/>
            <w:tcBorders>
              <w:right w:val="single" w:sz="8" w:color="auto"/>
            </w:tcBorders>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121</w:t>
            </w: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120</w:t>
            </w: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0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7"/>
        </w:trPr>
        <w:tc>
          <w:tcPr>
            <w:tcW w:w="322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volumes in millions of barrels) </w:t>
            </w:r>
            <w:r>
              <w:rPr>
                <w:rFonts w:ascii="Arial" w:cs="Arial" w:eastAsia="Arial" w:hAnsi="Arial"/>
                <w:sz w:val="23"/>
                <w:szCs w:val="23"/>
                <w:color w:val="auto"/>
                <w:vertAlign w:val="superscript"/>
              </w:rPr>
              <w:t>(6)</w:t>
            </w:r>
          </w:p>
        </w:tc>
        <w:tc>
          <w:tcPr>
            <w:tcW w:w="98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160" w:type="dxa"/>
            <w:vAlign w:val="bottom"/>
            <w:tcBorders>
              <w:right w:val="single" w:sz="8" w:color="auto"/>
            </w:tcBorders>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1830705"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30705" cy="21590"/>
                    </a:xfrm>
                    <a:prstGeom prst="rect">
                      <a:avLst/>
                    </a:prstGeom>
                    <a:noFill/>
                  </pic:spPr>
                </pic:pic>
              </a:graphicData>
            </a:graphic>
          </wp:anchor>
        </w:drawing>
      </w:r>
    </w:p>
    <w:p>
      <w:pPr>
        <w:sectPr>
          <w:pgSz w:w="11900" w:h="16838" w:orient="portrait"/>
          <w:cols w:equalWidth="0" w:num="1">
            <w:col w:w="11420"/>
          </w:cols>
          <w:pgMar w:left="240" w:top="134" w:right="239" w:bottom="0" w:gutter="0" w:footer="0" w:header="0"/>
        </w:sect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2"/>
          <w:szCs w:val="12"/>
          <w:color w:val="auto"/>
        </w:rPr>
        <w:t>(1)</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(2)</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(3)</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(4)</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(5)</w:t>
      </w: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and expenses include intersegment amounts.</w:t>
      </w:r>
    </w:p>
    <w:p>
      <w:pPr>
        <w:spacing w:after="0" w:line="225" w:lineRule="exact"/>
        <w:rPr>
          <w:sz w:val="20"/>
          <w:szCs w:val="20"/>
          <w:color w:val="auto"/>
        </w:rPr>
      </w:pPr>
    </w:p>
    <w:p>
      <w:pPr>
        <w:ind w:left="20" w:right="300" w:hanging="11"/>
        <w:spacing w:after="0" w:line="277" w:lineRule="auto"/>
        <w:rPr>
          <w:sz w:val="20"/>
          <w:szCs w:val="20"/>
          <w:color w:val="auto"/>
        </w:rPr>
      </w:pPr>
      <w:r>
        <w:rPr>
          <w:rFonts w:ascii="Arial" w:cs="Arial" w:eastAsia="Arial" w:hAnsi="Arial"/>
          <w:sz w:val="18"/>
          <w:szCs w:val="18"/>
          <w:color w:val="auto"/>
        </w:rPr>
        <w:t>Effective January 1, 2014, our natural gas sales and costs, primarily attributable to the activities performed by our natural gas storage commercial optimization group, are reported in the Supply and Logistics segment.</w:t>
      </w:r>
    </w:p>
    <w:p>
      <w:pPr>
        <w:spacing w:after="0" w:line="170" w:lineRule="exact"/>
        <w:rPr>
          <w:sz w:val="20"/>
          <w:szCs w:val="20"/>
          <w:color w:val="auto"/>
        </w:rPr>
      </w:pPr>
    </w:p>
    <w:p>
      <w:pPr>
        <w:ind w:left="20" w:right="40" w:hanging="11"/>
        <w:spacing w:after="0" w:line="277" w:lineRule="auto"/>
        <w:rPr>
          <w:sz w:val="20"/>
          <w:szCs w:val="20"/>
          <w:color w:val="auto"/>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234" w:lineRule="exact"/>
        <w:rPr>
          <w:sz w:val="20"/>
          <w:szCs w:val="20"/>
          <w:color w:val="auto"/>
        </w:rPr>
      </w:pPr>
    </w:p>
    <w:p>
      <w:pPr>
        <w:ind w:left="20" w:right="340" w:hanging="11"/>
        <w:spacing w:after="0" w:line="277" w:lineRule="auto"/>
        <w:rPr>
          <w:sz w:val="20"/>
          <w:szCs w:val="20"/>
          <w:color w:val="auto"/>
        </w:rPr>
      </w:pPr>
      <w:r>
        <w:rPr>
          <w:rFonts w:ascii="Arial" w:cs="Arial" w:eastAsia="Arial" w:hAnsi="Arial"/>
          <w:sz w:val="18"/>
          <w:szCs w:val="18"/>
          <w:color w:val="auto"/>
        </w:rPr>
        <w:t>Volumes associated with assets employed through acquisitions and internal growth projects represent total volumes for the number of months we employed the assets divided by the number of months in the period.</w:t>
      </w:r>
    </w:p>
    <w:p>
      <w:pPr>
        <w:spacing w:after="0" w:line="170" w:lineRule="exact"/>
        <w:rPr>
          <w:sz w:val="20"/>
          <w:szCs w:val="20"/>
          <w:color w:val="auto"/>
        </w:rPr>
      </w:pPr>
    </w:p>
    <w:p>
      <w:pPr>
        <w:ind w:left="20" w:hanging="7"/>
        <w:spacing w:after="0" w:line="302" w:lineRule="auto"/>
        <w:rPr>
          <w:sz w:val="20"/>
          <w:szCs w:val="20"/>
          <w:color w:val="auto"/>
        </w:rPr>
      </w:pPr>
      <w:r>
        <w:rPr>
          <w:rFonts w:ascii="Arial" w:cs="Arial" w:eastAsia="Arial" w:hAnsi="Arial"/>
          <w:sz w:val="16"/>
          <w:szCs w:val="16"/>
          <w:color w:val="auto"/>
        </w:rPr>
        <w:t>Facilities segment total is calculated as the sum of: (i) crude oil, refined products and NGL terminalling and storage capacity; (ii) rail load and unload volumes multiplied by the number of days in the period and divided by the number of months in the period; (iii) natural gas storage working capacity divided by 6 to account for the 6:1 mcf of gas to crude Btu equivalent ratio and further divided by 1,000 to convert to monthly volumes in millions; and (iv) NGL fractionation volumes multiplied by the number of days in the period and divided by the number of months in the period.</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is a discussion of items impacting Facilities segment profit and segment profit per barrel for the periods indicated.</w:t>
      </w:r>
    </w:p>
    <w:p>
      <w:pPr>
        <w:spacing w:after="0" w:line="200" w:lineRule="exact"/>
        <w:rPr>
          <w:sz w:val="20"/>
          <w:szCs w:val="20"/>
          <w:color w:val="auto"/>
        </w:rPr>
      </w:pPr>
    </w:p>
    <w:p>
      <w:pPr>
        <w:sectPr>
          <w:pgSz w:w="11900" w:h="16838" w:orient="portrait"/>
          <w:cols w:equalWidth="0" w:num="2">
            <w:col w:w="160" w:space="480"/>
            <w:col w:w="10780"/>
          </w:cols>
          <w:pgMar w:left="240" w:top="134" w:right="239" w:bottom="0" w:gutter="0" w:footer="0" w:header="0"/>
          <w:type w:val="continuous"/>
        </w:sectPr>
      </w:pPr>
    </w:p>
    <w:p>
      <w:pPr>
        <w:spacing w:after="0" w:line="25"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i w:val="1"/>
          <w:iCs w:val="1"/>
          <w:color w:val="auto"/>
        </w:rPr>
        <w:t xml:space="preserve">Net Operating Revenues and Volumes. </w:t>
      </w:r>
      <w:r>
        <w:rPr>
          <w:rFonts w:ascii="Arial" w:cs="Arial" w:eastAsia="Arial" w:hAnsi="Arial"/>
          <w:sz w:val="18"/>
          <w:szCs w:val="18"/>
          <w:color w:val="auto"/>
        </w:rPr>
        <w:t>As noted in the table above, our Facilities segment revenues, less storage related costs, increased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and nine months ended September 30, 2014 as compared to the same periods of 2013. Total Facilities segment volumes were relatively consistent over the periods presented. Variances between the comparative periods were driven by:</w:t>
      </w:r>
    </w:p>
    <w:p>
      <w:pPr>
        <w:spacing w:after="0" w:line="181" w:lineRule="exact"/>
        <w:rPr>
          <w:sz w:val="20"/>
          <w:szCs w:val="20"/>
          <w:color w:val="auto"/>
        </w:rPr>
      </w:pPr>
    </w:p>
    <w:p>
      <w:pPr>
        <w:ind w:left="660" w:right="160" w:hanging="328"/>
        <w:spacing w:after="0" w:line="279" w:lineRule="auto"/>
        <w:tabs>
          <w:tab w:leader="none" w:pos="624" w:val="left"/>
        </w:tabs>
        <w:numPr>
          <w:ilvl w:val="0"/>
          <w:numId w:val="24"/>
        </w:numPr>
        <w:rPr>
          <w:rFonts w:ascii="Arial" w:cs="Arial" w:eastAsia="Arial" w:hAnsi="Arial"/>
          <w:sz w:val="17"/>
          <w:szCs w:val="17"/>
          <w:color w:val="auto"/>
        </w:rPr>
      </w:pPr>
      <w:r>
        <w:rPr>
          <w:rFonts w:ascii="Arial" w:cs="Arial" w:eastAsia="Arial" w:hAnsi="Arial"/>
          <w:sz w:val="17"/>
          <w:szCs w:val="17"/>
          <w:color w:val="auto"/>
        </w:rPr>
        <w:t>NGL Fractionation, NGL Storage and Natural Gas Processing Activities — Increased net revenues from our NGL fractionation and storage and natural gas processing activities of $11 million and $33 million, respectively, for the three and nine months ended September 30, 2014 compared to the three and nine months ended September 30, 2013, were largely driven by higher facility fee revenues due to rate increases at certain of our storage and fractionation facilities, which more than offset the impact of lower fractionation volumes during the 2014 periods.</w:t>
      </w:r>
    </w:p>
    <w:p>
      <w:pPr>
        <w:spacing w:after="0" w:line="171" w:lineRule="exact"/>
        <w:rPr>
          <w:sz w:val="20"/>
          <w:szCs w:val="20"/>
          <w:color w:val="auto"/>
        </w:rPr>
      </w:pPr>
    </w:p>
    <w:p>
      <w:pPr>
        <w:ind w:left="660" w:right="100"/>
        <w:spacing w:after="0" w:line="276" w:lineRule="auto"/>
        <w:rPr>
          <w:sz w:val="20"/>
          <w:szCs w:val="20"/>
          <w:color w:val="auto"/>
        </w:rPr>
      </w:pPr>
      <w:r>
        <w:rPr>
          <w:rFonts w:ascii="Arial" w:cs="Arial" w:eastAsia="Arial" w:hAnsi="Arial"/>
          <w:sz w:val="17"/>
          <w:szCs w:val="17"/>
          <w:color w:val="auto"/>
        </w:rPr>
        <w:t>These increases in NGL revenues include estimated unfavorable foreign currency impacts of $3 million and $13 million for the three and nine months ended September 30, 2014, respectively, as compared to the three and nine months ended September 30, 2013 due to the depreciation of the Canadian dollar relative to the U.S. dollar. The average CAD to USD exchange rates for the three months ended September 30, 2014 and 2013 were $1.09 CAD: $1.00 USD and $1.04 CAD: $1.00 USD, respectively. The average CAD to USD exchange rates for the nine months ended September 30, 2014 and 2013 were $1.09 CAD: $1.00 USD and $1.02 CAD: $1.00 USD, respectively.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120" w:hanging="328"/>
        <w:spacing w:after="0" w:line="257" w:lineRule="auto"/>
        <w:tabs>
          <w:tab w:leader="none" w:pos="6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Rail Terminals — Revenues from rail load and unload activities increased by $3 million and $5 million for the three and nine months ended September 30, 2014, respectively, compared to the same periods in 2013. These increases were due to new rail terminals that came on line in the fourth quarter of 2013, partially offset by the unfavorable impact of rail delays and lower volumes at certain of our existing rail terminals during the comparative 2014 periods. The nine-month 2014 period was further unfavorably impacted by weather-related issues at certain of our terminals during the first quarter of 2014.</w:t>
      </w:r>
    </w:p>
    <w:p>
      <w:pPr>
        <w:spacing w:after="0" w:line="188" w:lineRule="exact"/>
        <w:rPr>
          <w:rFonts w:ascii="Arial" w:cs="Arial" w:eastAsia="Arial" w:hAnsi="Arial"/>
          <w:sz w:val="18"/>
          <w:szCs w:val="18"/>
          <w:color w:val="auto"/>
        </w:rPr>
      </w:pPr>
    </w:p>
    <w:p>
      <w:pPr>
        <w:ind w:left="660" w:right="40" w:hanging="328"/>
        <w:spacing w:after="0" w:line="264" w:lineRule="auto"/>
        <w:tabs>
          <w:tab w:leader="none" w:pos="6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Condensate Processing Activities — Increased revenues from our condensate processing activities of $2 million and $7 million for the three and nine months ended September 30, 2014, respectively, compared to the three and nine months ended September 30, 2013 were largely driven by the start-up and subsequent expansion of our Eagle Ford processing facility.</w:t>
      </w:r>
    </w:p>
    <w:p>
      <w:pPr>
        <w:spacing w:after="0" w:line="181" w:lineRule="exact"/>
        <w:rPr>
          <w:rFonts w:ascii="Arial" w:cs="Arial" w:eastAsia="Arial" w:hAnsi="Arial"/>
          <w:sz w:val="18"/>
          <w:szCs w:val="18"/>
          <w:color w:val="auto"/>
        </w:rPr>
      </w:pPr>
    </w:p>
    <w:p>
      <w:pPr>
        <w:ind w:left="660" w:right="160" w:hanging="328"/>
        <w:spacing w:after="0" w:line="276" w:lineRule="auto"/>
        <w:tabs>
          <w:tab w:leader="none" w:pos="624" w:val="left"/>
        </w:tabs>
        <w:numPr>
          <w:ilvl w:val="0"/>
          <w:numId w:val="25"/>
        </w:numPr>
        <w:rPr>
          <w:rFonts w:ascii="Arial" w:cs="Arial" w:eastAsia="Arial" w:hAnsi="Arial"/>
          <w:sz w:val="17"/>
          <w:szCs w:val="17"/>
          <w:color w:val="auto"/>
        </w:rPr>
      </w:pPr>
      <w:r>
        <w:rPr>
          <w:rFonts w:ascii="Arial" w:cs="Arial" w:eastAsia="Arial" w:hAnsi="Arial"/>
          <w:sz w:val="17"/>
          <w:szCs w:val="17"/>
          <w:color w:val="auto"/>
        </w:rPr>
        <w:t>Crude Oil Storage — Revenues from our crude oil storage activities increased by $3 million and $4 million, respectively, for the three and nine months ended September 30, 2014 over the three and nine months ended September 30, 2013, primarily due to an expansion at our St. James terminal and increased throughput at our Cushing and Yorktown terminals. However, such results were partially offset by lower net revenues from certain storage facilities in California and the East Coast due to decreased demand, as well as the reclassification of certain of our Canadian storage facilities to our Transportation segment during the second quarter of 2014.</w:t>
      </w:r>
    </w:p>
    <w:p>
      <w:pPr>
        <w:spacing w:after="0" w:line="172" w:lineRule="exact"/>
        <w:rPr>
          <w:rFonts w:ascii="Arial" w:cs="Arial" w:eastAsia="Arial" w:hAnsi="Arial"/>
          <w:sz w:val="17"/>
          <w:szCs w:val="17"/>
          <w:color w:val="auto"/>
        </w:rPr>
      </w:pPr>
    </w:p>
    <w:p>
      <w:pPr>
        <w:ind w:left="660" w:right="220" w:hanging="328"/>
        <w:spacing w:after="0" w:line="302" w:lineRule="auto"/>
        <w:tabs>
          <w:tab w:leader="none" w:pos="624" w:val="left"/>
        </w:tabs>
        <w:numPr>
          <w:ilvl w:val="0"/>
          <w:numId w:val="25"/>
        </w:numPr>
        <w:rPr>
          <w:rFonts w:ascii="Arial" w:cs="Arial" w:eastAsia="Arial" w:hAnsi="Arial"/>
          <w:sz w:val="16"/>
          <w:szCs w:val="16"/>
          <w:color w:val="auto"/>
        </w:rPr>
      </w:pPr>
      <w:r>
        <w:rPr>
          <w:rFonts w:ascii="Arial" w:cs="Arial" w:eastAsia="Arial" w:hAnsi="Arial"/>
          <w:sz w:val="16"/>
          <w:szCs w:val="16"/>
          <w:color w:val="auto"/>
        </w:rPr>
        <w:t>Natural Gas Storage Operations — Net revenues from our natural gas storage operations decreased by approximately $5 million and $26 million during the three and nine month 2014 periods, respectively, primarily due to less favorable storage rates on contracts that renewed or replaced expiring contracts. The nine-month 2014 period was further unfavorably impacted by costs incurred in our natural gas storage activities to manage deliverability requirements in conjunction with the extended period of severe cold weather experienced during the first quarter of 2014.</w:t>
      </w:r>
    </w:p>
    <w:p>
      <w:pPr>
        <w:spacing w:after="0" w:line="154"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Field operating costs (excluding equity-indexed compensation expenses) increased during the three and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2014 compared to the three and nine months ended September 30, 2013 due to (i) increased costs for rail facilities which came on line in the fourth quarter of 2013, (ii) a change in classification of certain costs from General and Administrative expenses and (iii) an increase in costs associated with our NGL storage caverns. Higher gas and electricity utility prices in the first and second quarters of 2014 also contributed to an increase in costs for the comparative nine-month periods.</w:t>
      </w:r>
    </w:p>
    <w:p>
      <w:pPr>
        <w:sectPr>
          <w:pgSz w:w="11900" w:h="16838" w:orient="portrait"/>
          <w:cols w:equalWidth="0" w:num="1">
            <w:col w:w="11420"/>
          </w:cols>
          <w:pgMar w:left="240" w:top="134" w:right="239" w:bottom="0" w:gutter="0" w:footer="0" w:header="0"/>
          <w:type w:val="continuous"/>
        </w:sectPr>
      </w:pPr>
    </w:p>
    <w:bookmarkStart w:id="26" w:name="page27"/>
    <w:bookmarkEnd w:id="26"/>
    <w:p>
      <w:pPr>
        <w:spacing w:after="0" w:line="51"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(excluding equity-indexed compensation expenses) remained relatively</w:t>
      </w:r>
      <w:r>
        <w:rPr>
          <w:rFonts w:ascii="Arial" w:cs="Arial" w:eastAsia="Arial" w:hAnsi="Arial"/>
          <w:sz w:val="16"/>
          <w:szCs w:val="16"/>
          <w:i w:val="1"/>
          <w:iCs w:val="1"/>
          <w:color w:val="auto"/>
        </w:rPr>
        <w:t xml:space="preserve"> </w:t>
      </w:r>
      <w:r>
        <w:rPr>
          <w:rFonts w:ascii="Arial" w:cs="Arial" w:eastAsia="Arial" w:hAnsi="Arial"/>
          <w:sz w:val="16"/>
          <w:szCs w:val="16"/>
          <w:color w:val="auto"/>
        </w:rPr>
        <w:t>consistent for the three months ended September 30, 2014 compared to the three months ended September 30, 2013 and decreased slightly during the comparative nine-month periods. These results reflect the net impact of a decrease in General and Administrative expenses due to a change in classification of certain costs to Field Operating Costs during the 2014 periods partially offset by increased expenses resulting from overall growth in the segment.</w:t>
      </w:r>
    </w:p>
    <w:p>
      <w:pPr>
        <w:spacing w:after="0" w:line="154"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i w:val="1"/>
          <w:iCs w:val="1"/>
          <w:color w:val="auto"/>
        </w:rPr>
        <w:t xml:space="preserve">Maintenance Capital. </w:t>
      </w:r>
      <w:r>
        <w:rPr>
          <w:rFonts w:ascii="Arial" w:cs="Arial" w:eastAsia="Arial" w:hAnsi="Arial"/>
          <w:sz w:val="18"/>
          <w:szCs w:val="18"/>
          <w:color w:val="auto"/>
        </w:rPr>
        <w:t>The increase in maintenance capital for the three and nine months ended September 30, 2014 compared to the three and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2013 is primarily due to timing of maintenance projects for tanks and other facility assets.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Supply and Logistics Segment</w:t>
      </w:r>
    </w:p>
    <w:p>
      <w:pPr>
        <w:spacing w:after="0" w:line="229"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Our revenues from supply and logistics activities reflect the sale of gathered and bulk-purchased crude oil, as well as sales of NGL volumes purchased from suppliers and natural gas sales attributable to the activities performed by our natural gas storage commercial optimization group. We do not anticipate that future changes in revenues resulting from variances in commodity prices will be a primary driver of segment profit. Generally, we expect our segment profit to increase or decrease directionally with (i) increases or decreases in our Supply and Logistics segment volumes (which consist of lease gathering crude oil purchase volumes, NGL sales volumes and waterborne cargos), (ii) demand for lease gathering services we provide producers and (iii) the overall volatility and strength or weakness of market conditions and the allocation of our assets among our various risk management strategies. In addition, the execution of our risk management strategies in conjunction with our assets can provide upside in certain markets.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operating results from our Supply and Logistics segment for the periods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5"/>
            <w:vMerge w:val="restart"/>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tcPr>
          <w:p>
            <w:pPr>
              <w:jc w:val="center"/>
              <w:ind w:left="257"/>
              <w:spacing w:after="0"/>
              <w:rPr>
                <w:sz w:val="20"/>
                <w:szCs w:val="20"/>
                <w:color w:val="auto"/>
              </w:rPr>
            </w:pPr>
            <w:r>
              <w:rPr>
                <w:rFonts w:ascii="Arial" w:cs="Arial" w:eastAsia="Arial" w:hAnsi="Arial"/>
                <w:sz w:val="14"/>
                <w:szCs w:val="14"/>
                <w:b w:val="1"/>
                <w:bCs w:val="1"/>
                <w:color w:val="auto"/>
                <w:w w:val="97"/>
              </w:rPr>
              <w:t>Favorable/</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6"/>
            <w:vMerge w:val="restart"/>
          </w:tcPr>
          <w:p>
            <w:pPr>
              <w:ind w:left="100"/>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left="237"/>
              <w:spacing w:after="0"/>
              <w:rPr>
                <w:sz w:val="20"/>
                <w:szCs w:val="20"/>
                <w:color w:val="auto"/>
              </w:rPr>
            </w:pPr>
            <w:r>
              <w:rPr>
                <w:rFonts w:ascii="Arial" w:cs="Arial" w:eastAsia="Arial" w:hAnsi="Arial"/>
                <w:sz w:val="14"/>
                <w:szCs w:val="14"/>
                <w:b w:val="1"/>
                <w:bCs w:val="1"/>
                <w:color w:val="auto"/>
                <w:w w:val="94"/>
              </w:rPr>
              <w:t>Favorable/</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8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8"/>
                <w:szCs w:val="8"/>
                <w:b w:val="1"/>
                <w:bCs w:val="1"/>
                <w:color w:val="auto"/>
              </w:rPr>
              <w:t>(1) (2)</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tcPr>
          <w:p>
            <w:pPr>
              <w:jc w:val="center"/>
              <w:ind w:left="257"/>
              <w:spacing w:after="0" w:line="149" w:lineRule="exact"/>
              <w:rPr>
                <w:sz w:val="20"/>
                <w:szCs w:val="20"/>
                <w:color w:val="auto"/>
              </w:rPr>
            </w:pPr>
            <w:r>
              <w:rPr>
                <w:rFonts w:ascii="Arial" w:cs="Arial" w:eastAsia="Arial" w:hAnsi="Arial"/>
                <w:sz w:val="14"/>
                <w:szCs w:val="14"/>
                <w:b w:val="1"/>
                <w:bCs w:val="1"/>
                <w:color w:val="auto"/>
                <w:w w:val="97"/>
              </w:rPr>
              <w:t>(Unfavorable)</w:t>
            </w: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6"/>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171"/>
        </w:trPr>
        <w:tc>
          <w:tcPr>
            <w:tcW w:w="28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tcPr>
          <w:p>
            <w:pPr>
              <w:jc w:val="center"/>
              <w:ind w:left="257"/>
              <w:spacing w:after="0"/>
              <w:rPr>
                <w:sz w:val="20"/>
                <w:szCs w:val="20"/>
                <w:color w:val="auto"/>
              </w:rPr>
            </w:pPr>
            <w:r>
              <w:rPr>
                <w:rFonts w:ascii="Arial" w:cs="Arial" w:eastAsia="Arial" w:hAnsi="Arial"/>
                <w:sz w:val="14"/>
                <w:szCs w:val="14"/>
                <w:b w:val="1"/>
                <w:bCs w:val="1"/>
                <w:color w:val="auto"/>
                <w:w w:val="95"/>
              </w:rPr>
              <w:t>Variance</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left="237"/>
              <w:spacing w:after="0"/>
              <w:rPr>
                <w:sz w:val="20"/>
                <w:szCs w:val="20"/>
                <w:color w:val="auto"/>
              </w:rPr>
            </w:pPr>
            <w:r>
              <w:rPr>
                <w:rFonts w:ascii="Arial" w:cs="Arial" w:eastAsia="Arial" w:hAnsi="Arial"/>
                <w:sz w:val="14"/>
                <w:szCs w:val="14"/>
                <w:b w:val="1"/>
                <w:bCs w:val="1"/>
                <w:color w:val="auto"/>
                <w:w w:val="92"/>
              </w:rPr>
              <w:t>Variance</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(in millions, except per barrel data)</w:t>
            </w:r>
          </w:p>
        </w:tc>
        <w:tc>
          <w:tcPr>
            <w:tcW w:w="2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880" w:type="dxa"/>
            <w:vAlign w:val="bottom"/>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(10,488)</w:t>
            </w:r>
          </w:p>
        </w:tc>
        <w:tc>
          <w:tcPr>
            <w:tcW w:w="16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(10,189)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(299)</w:t>
            </w:r>
          </w:p>
        </w:tc>
        <w:tc>
          <w:tcPr>
            <w:tcW w:w="30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(32,041)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(29,439)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70"/>
              <w:spacing w:after="0"/>
              <w:rPr>
                <w:sz w:val="20"/>
                <w:szCs w:val="20"/>
                <w:color w:val="auto"/>
              </w:rPr>
            </w:pPr>
            <w:r>
              <w:rPr>
                <w:rFonts w:ascii="Arial" w:cs="Arial" w:eastAsia="Arial" w:hAnsi="Arial"/>
                <w:sz w:val="18"/>
                <w:szCs w:val="18"/>
                <w:color w:val="auto"/>
              </w:rPr>
              <w:t>(2,602)</w:t>
            </w:r>
          </w:p>
        </w:tc>
        <w:tc>
          <w:tcPr>
            <w:tcW w:w="18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2880" w:type="dxa"/>
            <w:vAlign w:val="bottom"/>
          </w:tcPr>
          <w:p>
            <w:pPr>
              <w:spacing w:after="0" w:line="201" w:lineRule="exact"/>
              <w:rPr>
                <w:sz w:val="20"/>
                <w:szCs w:val="20"/>
                <w:color w:val="auto"/>
              </w:rPr>
            </w:pPr>
            <w:r>
              <w:rPr>
                <w:rFonts w:ascii="Arial" w:cs="Arial" w:eastAsia="Arial" w:hAnsi="Arial"/>
                <w:sz w:val="18"/>
                <w:szCs w:val="18"/>
                <w:color w:val="auto"/>
                <w:w w:val="92"/>
              </w:rPr>
              <w:t>Equity-indexed compensation expense</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180"/>
              <w:spacing w:after="0"/>
              <w:rPr>
                <w:sz w:val="20"/>
                <w:szCs w:val="20"/>
                <w:color w:val="auto"/>
              </w:rPr>
            </w:pPr>
            <w:r>
              <w:rPr>
                <w:rFonts w:ascii="Arial" w:cs="Arial" w:eastAsia="Arial" w:hAnsi="Arial"/>
                <w:sz w:val="18"/>
                <w:szCs w:val="18"/>
                <w:color w:val="auto"/>
              </w:rPr>
              <w:t>- operations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Segment general and administrative</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180"/>
              <w:spacing w:after="0" w:line="231"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(4) (5)</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2880" w:type="dxa"/>
            <w:vAlign w:val="bottom"/>
          </w:tcPr>
          <w:p>
            <w:pPr>
              <w:spacing w:after="0" w:line="201" w:lineRule="exact"/>
              <w:rPr>
                <w:sz w:val="20"/>
                <w:szCs w:val="20"/>
                <w:color w:val="auto"/>
              </w:rPr>
            </w:pPr>
            <w:r>
              <w:rPr>
                <w:rFonts w:ascii="Arial" w:cs="Arial" w:eastAsia="Arial" w:hAnsi="Arial"/>
                <w:sz w:val="18"/>
                <w:szCs w:val="18"/>
                <w:color w:val="auto"/>
                <w:w w:val="92"/>
              </w:rPr>
              <w:t>Equity-indexed compensation expense</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180"/>
              <w:spacing w:after="0"/>
              <w:rPr>
                <w:sz w:val="20"/>
                <w:szCs w:val="20"/>
                <w:color w:val="auto"/>
              </w:rPr>
            </w:pPr>
            <w:r>
              <w:rPr>
                <w:rFonts w:ascii="Arial" w:cs="Arial" w:eastAsia="Arial" w:hAnsi="Arial"/>
                <w:sz w:val="18"/>
                <w:szCs w:val="18"/>
                <w:color w:val="auto"/>
              </w:rPr>
              <w:t>- general and administrative</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0"/>
                <w:szCs w:val="20"/>
                <w:color w:val="auto"/>
              </w:rPr>
            </w:pPr>
          </w:p>
        </w:tc>
        <w:tc>
          <w:tcPr>
            <w:tcW w:w="860" w:type="dxa"/>
            <w:vAlign w:val="bottom"/>
            <w:tcBorders>
              <w:right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3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8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24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8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4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138%</w:t>
            </w:r>
          </w:p>
        </w:tc>
        <w:tc>
          <w:tcPr>
            <w:tcW w:w="2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4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4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Maintenance capital</w:t>
            </w: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right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88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240" w:type="dxa"/>
            <w:vAlign w:val="bottom"/>
            <w:vMerge w:val="continue"/>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14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2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150"/>
              <w:spacing w:after="0" w:line="196" w:lineRule="exact"/>
              <w:rPr>
                <w:sz w:val="20"/>
                <w:szCs w:val="20"/>
                <w:color w:val="auto"/>
              </w:rPr>
            </w:pPr>
            <w:r>
              <w:rPr>
                <w:rFonts w:ascii="Arial" w:cs="Arial" w:eastAsia="Arial" w:hAnsi="Arial"/>
                <w:sz w:val="18"/>
                <w:szCs w:val="18"/>
                <w:color w:val="auto"/>
              </w:rPr>
              <w:t>71%</w:t>
            </w:r>
          </w:p>
        </w:tc>
        <w:tc>
          <w:tcPr>
            <w:tcW w:w="220" w:type="dxa"/>
            <w:vAlign w:val="bottom"/>
            <w:vMerge w:val="continue"/>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14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14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2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3"/>
          </w:tcPr>
          <w:p>
            <w:pPr>
              <w:jc w:val="right"/>
              <w:ind w:right="120"/>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Segment profit per barrel</w:t>
            </w:r>
          </w:p>
        </w:tc>
        <w:tc>
          <w:tcPr>
            <w:tcW w:w="240" w:type="dxa"/>
            <w:vAlign w:val="bottom"/>
            <w:tcBorders>
              <w:top w:val="single" w:sz="8" w:color="CCEEFF"/>
            </w:tcBorders>
            <w:vMerge w:val="restart"/>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shd w:val="clear" w:color="auto" w:fill="CCEEFF"/>
          </w:tcPr>
          <w:p>
            <w:pPr>
              <w:spacing w:after="0" w:line="20" w:lineRule="exact"/>
              <w:rPr>
                <w:sz w:val="1"/>
                <w:szCs w:val="1"/>
                <w:color w:val="auto"/>
              </w:rPr>
            </w:pPr>
          </w:p>
        </w:tc>
        <w:tc>
          <w:tcPr>
            <w:tcW w:w="100" w:type="dxa"/>
            <w:vAlign w:val="bottom"/>
            <w:tcBorders>
              <w:top w:val="single" w:sz="8" w:color="CCEEFF"/>
            </w:tcBorders>
            <w:vMerge w:val="restart"/>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vMerge w:val="restart"/>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shd w:val="clear" w:color="auto" w:fill="CCEEFF"/>
          </w:tcPr>
          <w:p>
            <w:pPr>
              <w:spacing w:after="0" w:line="20" w:lineRule="exact"/>
              <w:rPr>
                <w:sz w:val="1"/>
                <w:szCs w:val="1"/>
                <w:color w:val="auto"/>
              </w:rPr>
            </w:pPr>
          </w:p>
        </w:tc>
        <w:tc>
          <w:tcPr>
            <w:tcW w:w="80" w:type="dxa"/>
            <w:vAlign w:val="bottom"/>
            <w:tcBorders>
              <w:top w:val="single" w:sz="8" w:color="CCEEFF"/>
            </w:tcBorders>
            <w:vMerge w:val="restart"/>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shd w:val="clear" w:color="auto" w:fill="CCEEFF"/>
          </w:tcPr>
          <w:p>
            <w:pPr>
              <w:spacing w:after="0" w:line="20" w:lineRule="exact"/>
              <w:rPr>
                <w:sz w:val="1"/>
                <w:szCs w:val="1"/>
                <w:color w:val="auto"/>
              </w:rPr>
            </w:pPr>
          </w:p>
        </w:tc>
        <w:tc>
          <w:tcPr>
            <w:tcW w:w="80" w:type="dxa"/>
            <w:vAlign w:val="bottom"/>
            <w:tcBorders>
              <w:top w:val="single" w:sz="8" w:color="CCEEFF"/>
            </w:tcBorders>
            <w:vMerge w:val="restart"/>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880" w:type="dxa"/>
            <w:vAlign w:val="bottom"/>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1.47</w:t>
            </w:r>
          </w:p>
        </w:tc>
        <w:tc>
          <w:tcPr>
            <w:tcW w:w="2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0.69</w:t>
            </w:r>
          </w:p>
        </w:tc>
        <w:tc>
          <w:tcPr>
            <w:tcW w:w="140" w:type="dxa"/>
            <w:vAlign w:val="bottom"/>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0.78</w:t>
            </w:r>
          </w:p>
        </w:tc>
        <w:tc>
          <w:tcPr>
            <w:tcW w:w="24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113%</w:t>
            </w:r>
          </w:p>
        </w:tc>
        <w:tc>
          <w:tcPr>
            <w:tcW w:w="22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1.75</w:t>
            </w:r>
          </w:p>
        </w:tc>
        <w:tc>
          <w:tcPr>
            <w:tcW w:w="140" w:type="dxa"/>
            <w:vAlign w:val="bottom"/>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2.33</w:t>
            </w:r>
          </w:p>
        </w:tc>
        <w:tc>
          <w:tcPr>
            <w:tcW w:w="140" w:type="dxa"/>
            <w:vAlign w:val="bottom"/>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(0.58</w:t>
            </w:r>
          </w:p>
        </w:tc>
        <w:tc>
          <w:tcPr>
            <w:tcW w:w="2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gridSpan w:val="5"/>
            <w:vMerge w:val="restart"/>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3"/>
          </w:tcPr>
          <w:p>
            <w:pPr>
              <w:jc w:val="center"/>
              <w:ind w:left="257"/>
              <w:spacing w:after="0"/>
              <w:rPr>
                <w:sz w:val="20"/>
                <w:szCs w:val="20"/>
                <w:color w:val="auto"/>
              </w:rPr>
            </w:pPr>
            <w:r>
              <w:rPr>
                <w:rFonts w:ascii="Arial" w:cs="Arial" w:eastAsia="Arial" w:hAnsi="Arial"/>
                <w:sz w:val="14"/>
                <w:szCs w:val="14"/>
                <w:b w:val="1"/>
                <w:bCs w:val="1"/>
                <w:color w:val="auto"/>
                <w:w w:val="97"/>
              </w:rPr>
              <w:t>Favorable/</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gridSpan w:val="6"/>
            <w:vMerge w:val="restart"/>
          </w:tcPr>
          <w:p>
            <w:pPr>
              <w:ind w:left="100"/>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jc w:val="center"/>
              <w:ind w:left="237"/>
              <w:spacing w:after="0"/>
              <w:rPr>
                <w:sz w:val="20"/>
                <w:szCs w:val="20"/>
                <w:color w:val="auto"/>
              </w:rPr>
            </w:pPr>
            <w:r>
              <w:rPr>
                <w:rFonts w:ascii="Arial" w:cs="Arial" w:eastAsia="Arial" w:hAnsi="Arial"/>
                <w:sz w:val="14"/>
                <w:szCs w:val="14"/>
                <w:b w:val="1"/>
                <w:bCs w:val="1"/>
                <w:color w:val="auto"/>
                <w:w w:val="94"/>
              </w:rPr>
              <w:t>Favorable/</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880" w:type="dxa"/>
            <w:vAlign w:val="bottom"/>
            <w:vMerge w:val="restart"/>
          </w:tcPr>
          <w:p>
            <w:pPr>
              <w:spacing w:after="0"/>
              <w:rPr>
                <w:sz w:val="20"/>
                <w:szCs w:val="20"/>
                <w:color w:val="auto"/>
              </w:rPr>
            </w:pPr>
            <w:r>
              <w:rPr>
                <w:rFonts w:ascii="Arial" w:cs="Arial" w:eastAsia="Arial" w:hAnsi="Arial"/>
                <w:sz w:val="14"/>
                <w:szCs w:val="14"/>
                <w:b w:val="1"/>
                <w:bCs w:val="1"/>
                <w:color w:val="auto"/>
              </w:rPr>
              <w:t>Average Daily Volumes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tcPr>
          <w:p>
            <w:pPr>
              <w:jc w:val="center"/>
              <w:ind w:left="257"/>
              <w:spacing w:after="0" w:line="149" w:lineRule="exact"/>
              <w:rPr>
                <w:sz w:val="20"/>
                <w:szCs w:val="20"/>
                <w:color w:val="auto"/>
              </w:rPr>
            </w:pPr>
            <w:r>
              <w:rPr>
                <w:rFonts w:ascii="Arial" w:cs="Arial" w:eastAsia="Arial" w:hAnsi="Arial"/>
                <w:sz w:val="14"/>
                <w:szCs w:val="14"/>
                <w:b w:val="1"/>
                <w:bCs w:val="1"/>
                <w:color w:val="auto"/>
                <w:w w:val="97"/>
              </w:rPr>
              <w:t>(Unfavorable)</w:t>
            </w: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6"/>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171"/>
        </w:trPr>
        <w:tc>
          <w:tcPr>
            <w:tcW w:w="28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tcPr>
          <w:p>
            <w:pPr>
              <w:jc w:val="center"/>
              <w:ind w:left="257"/>
              <w:spacing w:after="0"/>
              <w:rPr>
                <w:sz w:val="20"/>
                <w:szCs w:val="20"/>
                <w:color w:val="auto"/>
              </w:rPr>
            </w:pPr>
            <w:r>
              <w:rPr>
                <w:rFonts w:ascii="Arial" w:cs="Arial" w:eastAsia="Arial" w:hAnsi="Arial"/>
                <w:sz w:val="14"/>
                <w:szCs w:val="14"/>
                <w:b w:val="1"/>
                <w:bCs w:val="1"/>
                <w:color w:val="auto"/>
                <w:w w:val="95"/>
              </w:rPr>
              <w:t>Variance</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left="237"/>
              <w:spacing w:after="0"/>
              <w:rPr>
                <w:sz w:val="20"/>
                <w:szCs w:val="20"/>
                <w:color w:val="auto"/>
              </w:rPr>
            </w:pPr>
            <w:r>
              <w:rPr>
                <w:rFonts w:ascii="Arial" w:cs="Arial" w:eastAsia="Arial" w:hAnsi="Arial"/>
                <w:sz w:val="14"/>
                <w:szCs w:val="14"/>
                <w:b w:val="1"/>
                <w:bCs w:val="1"/>
                <w:color w:val="auto"/>
                <w:w w:val="92"/>
              </w:rPr>
              <w:t>Variance</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(in thousands of barrels per day)</w:t>
            </w:r>
          </w:p>
        </w:tc>
        <w:tc>
          <w:tcPr>
            <w:tcW w:w="2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Volumes</w:t>
            </w:r>
          </w:p>
        </w:tc>
        <w:tc>
          <w:tcPr>
            <w:tcW w:w="24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9"/>
              </w:rPr>
              <w:t>Volumes</w:t>
            </w: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w w:val="99"/>
              </w:rPr>
              <w:t>Crude oil lease gathering purchases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NGL sales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153</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196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7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Waterborne cargos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2880" w:type="dxa"/>
            <w:vAlign w:val="bottom"/>
          </w:tcPr>
          <w:p>
            <w:pPr>
              <w:ind w:left="180"/>
              <w:spacing w:after="0"/>
              <w:rPr>
                <w:sz w:val="20"/>
                <w:szCs w:val="20"/>
                <w:color w:val="auto"/>
              </w:rPr>
            </w:pPr>
            <w:r>
              <w:rPr>
                <w:rFonts w:ascii="Arial" w:cs="Arial" w:eastAsia="Arial" w:hAnsi="Arial"/>
                <w:sz w:val="18"/>
                <w:szCs w:val="18"/>
                <w:color w:val="auto"/>
                <w:w w:val="96"/>
              </w:rPr>
              <w:t>Supply and Logistics segment total</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1,124</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w w:val="87"/>
              </w:rPr>
              <w:t>%</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1830705"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30705" cy="21590"/>
                    </a:xfrm>
                    <a:prstGeom prst="rect">
                      <a:avLst/>
                    </a:prstGeom>
                    <a:noFill/>
                  </pic:spPr>
                </pic:pic>
              </a:graphicData>
            </a:graphic>
          </wp:anchor>
        </w:drawing>
      </w:r>
    </w:p>
    <w:p>
      <w:pPr>
        <w:sectPr>
          <w:pgSz w:w="11900" w:h="16890"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2"/>
          <w:szCs w:val="12"/>
          <w:color w:val="auto"/>
        </w:rPr>
        <w:t>(1)</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(2)</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(3)</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(4)</w:t>
      </w: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include intersegment amounts.</w:t>
      </w:r>
    </w:p>
    <w:p>
      <w:pPr>
        <w:spacing w:after="0" w:line="225" w:lineRule="exact"/>
        <w:rPr>
          <w:sz w:val="20"/>
          <w:szCs w:val="20"/>
          <w:color w:val="auto"/>
        </w:rPr>
      </w:pPr>
    </w:p>
    <w:p>
      <w:pPr>
        <w:ind w:left="20" w:right="780" w:hanging="11"/>
        <w:spacing w:after="0" w:line="277" w:lineRule="auto"/>
        <w:rPr>
          <w:sz w:val="20"/>
          <w:szCs w:val="20"/>
          <w:color w:val="auto"/>
        </w:rPr>
      </w:pPr>
      <w:r>
        <w:rPr>
          <w:rFonts w:ascii="Arial" w:cs="Arial" w:eastAsia="Arial" w:hAnsi="Arial"/>
          <w:sz w:val="18"/>
          <w:szCs w:val="18"/>
          <w:color w:val="auto"/>
        </w:rPr>
        <w:t>Prior to January 1, 2014, natural gas sales revenues and costs attributable to the activities performed by our natural gas storage commercial optimization group were reported in the Facilities segment.</w:t>
      </w:r>
    </w:p>
    <w:p>
      <w:pPr>
        <w:spacing w:after="0" w:line="170" w:lineRule="exact"/>
        <w:rPr>
          <w:sz w:val="20"/>
          <w:szCs w:val="20"/>
          <w:color w:val="auto"/>
        </w:rPr>
      </w:pPr>
    </w:p>
    <w:p>
      <w:pPr>
        <w:ind w:left="20" w:right="400" w:hanging="11"/>
        <w:spacing w:after="0" w:line="342" w:lineRule="auto"/>
        <w:rPr>
          <w:sz w:val="20"/>
          <w:szCs w:val="20"/>
          <w:color w:val="auto"/>
        </w:rPr>
      </w:pPr>
      <w:r>
        <w:rPr>
          <w:rFonts w:ascii="Arial" w:cs="Arial" w:eastAsia="Arial" w:hAnsi="Arial"/>
          <w:sz w:val="16"/>
          <w:szCs w:val="16"/>
          <w:color w:val="auto"/>
        </w:rPr>
        <w:t>Purchases and related costs include interest expense (related to hedged inventory purchases) of $4 million and $11 million for the three and nine months ended September 30, 2014 and $8 million and $21 million for the three and nine months ended September 30, 2013, respectively.</w:t>
      </w:r>
    </w:p>
    <w:p>
      <w:pPr>
        <w:spacing w:after="0" w:line="124" w:lineRule="exact"/>
        <w:rPr>
          <w:sz w:val="20"/>
          <w:szCs w:val="20"/>
          <w:color w:val="auto"/>
        </w:rPr>
      </w:pPr>
    </w:p>
    <w:p>
      <w:pPr>
        <w:ind w:left="20" w:right="40" w:hanging="11"/>
        <w:spacing w:after="0" w:line="277" w:lineRule="auto"/>
        <w:rPr>
          <w:sz w:val="20"/>
          <w:szCs w:val="20"/>
          <w:color w:val="auto"/>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234"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90" w:orient="portrait"/>
          <w:cols w:equalWidth="0" w:num="2">
            <w:col w:w="160" w:space="480"/>
            <w:col w:w="10780"/>
          </w:cols>
          <w:pgMar w:left="240" w:top="125" w:right="239" w:bottom="0" w:gutter="0" w:footer="0" w:header="0"/>
          <w:type w:val="continuous"/>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following table presents the range of the NYMEX West Texas Intermediate benchmark price of crude oil during the three and nine months ended September 30, 2014 and 2013.</w:t>
      </w:r>
    </w:p>
    <w:p>
      <w:pPr>
        <w:spacing w:after="0" w:line="162" w:lineRule="exact"/>
        <w:rPr>
          <w:sz w:val="20"/>
          <w:szCs w:val="20"/>
          <w:color w:val="auto"/>
        </w:rPr>
      </w:pPr>
    </w:p>
    <w:p>
      <w:pPr>
        <w:ind w:left="8500"/>
        <w:spacing w:after="0"/>
        <w:rPr>
          <w:sz w:val="20"/>
          <w:szCs w:val="20"/>
          <w:color w:val="auto"/>
        </w:rPr>
      </w:pPr>
      <w:r>
        <w:rPr>
          <w:rFonts w:ascii="Arial" w:cs="Arial" w:eastAsia="Arial" w:hAnsi="Arial"/>
          <w:sz w:val="14"/>
          <w:szCs w:val="14"/>
          <w:b w:val="1"/>
          <w:bCs w:val="1"/>
          <w:color w:val="auto"/>
        </w:rPr>
        <w:t>NYMEX WTI</w:t>
      </w:r>
    </w:p>
    <w:p>
      <w:pPr>
        <w:spacing w:after="0" w:line="4" w:lineRule="exact"/>
        <w:rPr>
          <w:sz w:val="20"/>
          <w:szCs w:val="20"/>
          <w:color w:val="auto"/>
        </w:rPr>
      </w:pPr>
    </w:p>
    <w:p>
      <w:pPr>
        <w:ind w:left="8440"/>
        <w:spacing w:after="0"/>
        <w:rPr>
          <w:sz w:val="20"/>
          <w:szCs w:val="20"/>
          <w:color w:val="auto"/>
        </w:rPr>
      </w:pPr>
      <w:r>
        <w:rPr>
          <w:rFonts w:ascii="Arial" w:cs="Arial" w:eastAsia="Arial" w:hAnsi="Arial"/>
          <w:sz w:val="14"/>
          <w:szCs w:val="14"/>
          <w:b w:val="1"/>
          <w:bCs w:val="1"/>
          <w:color w:val="auto"/>
        </w:rPr>
        <w:t>Crude Oil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-3175</wp:posOffset>
            </wp:positionV>
            <wp:extent cx="19208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ind w:left="7980"/>
        <w:spacing w:after="0"/>
        <w:tabs>
          <w:tab w:leader="none" w:pos="9600" w:val="left"/>
        </w:tabs>
        <w:rPr>
          <w:sz w:val="20"/>
          <w:szCs w:val="20"/>
          <w:color w:val="auto"/>
        </w:rPr>
      </w:pPr>
      <w:r>
        <w:rPr>
          <w:rFonts w:ascii="Arial" w:cs="Arial" w:eastAsia="Arial" w:hAnsi="Arial"/>
          <w:sz w:val="14"/>
          <w:szCs w:val="14"/>
          <w:b w:val="1"/>
          <w:bCs w:val="1"/>
          <w:color w:val="auto"/>
        </w:rPr>
        <w:t>Low</w:t>
      </w:r>
      <w:r>
        <w:rPr>
          <w:sz w:val="20"/>
          <w:szCs w:val="20"/>
          <w:color w:val="auto"/>
        </w:rPr>
        <w:tab/>
      </w:r>
      <w:r>
        <w:rPr>
          <w:rFonts w:ascii="Arial" w:cs="Arial" w:eastAsia="Arial" w:hAnsi="Arial"/>
          <w:sz w:val="14"/>
          <w:szCs w:val="14"/>
          <w:b w:val="1"/>
          <w:bCs w:val="1"/>
          <w:color w:val="auto"/>
        </w:rPr>
        <w:t>High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wp:posOffset>
            </wp:positionV>
            <wp:extent cx="6277610"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77610" cy="146050"/>
                    </a:xfrm>
                    <a:prstGeom prst="rect">
                      <a:avLst/>
                    </a:prstGeom>
                    <a:noFill/>
                  </pic:spPr>
                </pic:pic>
              </a:graphicData>
            </a:graphic>
          </wp:anchor>
        </w:drawing>
      </w:r>
    </w:p>
    <w:p>
      <w:pPr>
        <w:sectPr>
          <w:pgSz w:w="11900" w:h="16890" w:orient="portrait"/>
          <w:cols w:equalWidth="0" w:num="1">
            <w:col w:w="11420"/>
          </w:cols>
          <w:pgMar w:left="240" w:top="125" w:right="239" w:bottom="0" w:gutter="0" w:footer="0" w:header="0"/>
          <w:type w:val="continuous"/>
        </w:sectPr>
      </w:pPr>
    </w:p>
    <w:p>
      <w:pPr>
        <w:spacing w:after="0" w:line="9" w:lineRule="exact"/>
        <w:rPr>
          <w:sz w:val="20"/>
          <w:szCs w:val="20"/>
          <w:color w:val="auto"/>
        </w:rPr>
      </w:pPr>
    </w:p>
    <w:p>
      <w:pPr>
        <w:ind w:left="660"/>
        <w:spacing w:after="0"/>
        <w:tabs>
          <w:tab w:leader="none" w:pos="7400" w:val="left"/>
          <w:tab w:leader="none" w:pos="8600" w:val="left"/>
          <w:tab w:leader="none" w:pos="9060" w:val="left"/>
          <w:tab w:leader="none" w:pos="10160" w:val="left"/>
        </w:tabs>
        <w:rPr>
          <w:sz w:val="20"/>
          <w:szCs w:val="20"/>
          <w:color w:val="auto"/>
        </w:rPr>
      </w:pPr>
      <w:r>
        <w:rPr>
          <w:rFonts w:ascii="Arial" w:cs="Arial" w:eastAsia="Arial" w:hAnsi="Arial"/>
          <w:sz w:val="18"/>
          <w:szCs w:val="18"/>
          <w:color w:val="auto"/>
        </w:rPr>
        <w:t>Three months ended September 30, 2014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90</w:t>
        <w:tab/>
        <w:t>$</w:t>
      </w:r>
      <w:r>
        <w:rPr>
          <w:sz w:val="20"/>
          <w:szCs w:val="20"/>
          <w:color w:val="auto"/>
        </w:rPr>
        <w:tab/>
      </w:r>
      <w:r>
        <w:rPr>
          <w:rFonts w:ascii="Arial" w:cs="Arial" w:eastAsia="Arial" w:hAnsi="Arial"/>
          <w:sz w:val="15"/>
          <w:szCs w:val="15"/>
          <w:color w:val="auto"/>
        </w:rPr>
        <w:t>106</w:t>
      </w:r>
    </w:p>
    <w:p>
      <w:pPr>
        <w:sectPr>
          <w:pgSz w:w="11900" w:h="16890" w:orient="portrait"/>
          <w:cols w:equalWidth="0" w:num="1">
            <w:col w:w="11420"/>
          </w:cols>
          <w:pgMar w:left="240" w:top="125" w:right="239" w:bottom="0" w:gutter="0" w:footer="0" w:header="0"/>
          <w:type w:val="continuous"/>
        </w:sectPr>
      </w:pPr>
    </w:p>
    <w:bookmarkStart w:id="27" w:name="page28"/>
    <w:bookmarkEnd w:id="27"/>
    <w:p>
      <w:pPr>
        <w:spacing w:after="0" w:line="12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860" w:type="dxa"/>
            <w:vAlign w:val="bottom"/>
            <w:gridSpan w:val="2"/>
          </w:tcPr>
          <w:p>
            <w:pPr>
              <w:spacing w:after="0"/>
              <w:rPr>
                <w:sz w:val="20"/>
                <w:szCs w:val="20"/>
                <w:color w:val="auto"/>
              </w:rPr>
            </w:pPr>
            <w:r>
              <w:rPr>
                <w:rFonts w:ascii="Arial" w:cs="Arial" w:eastAsia="Arial" w:hAnsi="Arial"/>
                <w:sz w:val="18"/>
                <w:szCs w:val="18"/>
                <w:color w:val="auto"/>
              </w:rPr>
              <w:t>Three months ended September 30, 2013</w:t>
            </w:r>
          </w:p>
        </w:tc>
        <w:tc>
          <w:tcPr>
            <w:tcW w:w="25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96</w:t>
            </w:r>
          </w:p>
        </w:tc>
        <w:tc>
          <w:tcPr>
            <w:tcW w:w="74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Nine months ended September 30, 2014</w:t>
            </w:r>
          </w:p>
        </w:tc>
        <w:tc>
          <w:tcPr>
            <w:tcW w:w="25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90</w:t>
            </w:r>
          </w:p>
        </w:tc>
        <w:tc>
          <w:tcPr>
            <w:tcW w:w="74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Nine months ended September 30, 2013</w:t>
            </w:r>
          </w:p>
        </w:tc>
        <w:tc>
          <w:tcPr>
            <w:tcW w:w="25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86</w:t>
            </w:r>
          </w:p>
        </w:tc>
        <w:tc>
          <w:tcPr>
            <w:tcW w:w="7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Because the commodities that we buy and sell are generally indexed to the same pricing indices for both the sales and purchases, revenues and costs related to purchases will fluctuate with market prices. However, the margins related to those sales and purchases will not necessarily have a corresponding increase or decrease. The absolute amount of our revenues and purchases increased for the three and nine months ended September 30, 2014 relative to the comparative periods, primarily resulting from increases in crude oil volumes in 2014, partially offset by decreases in crude oil prices relative to the comparative three-month period.</w:t>
      </w:r>
    </w:p>
    <w:p>
      <w:pPr>
        <w:spacing w:after="0" w:line="18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Generally, we expect a base level of earnings from our Supply and Logistics segment from the assets employed by this segment. This base level may be optimized and enhanced when there is a high level of market volatility, favorable basis differentials and/or a steep contango or backwardated market structure. Also, our NGL marketing operations are sensitive to weather-related demand, particularly during the approximate five-month peak heating season of November through March, and temperature differences from period-to-period may have a significant effect on NGL demand and thus our financial performance.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is a discussion of items impacting Supply and Logistics segment profit and segment profit per barrel for the periods indicated.</w:t>
      </w:r>
    </w:p>
    <w:p>
      <w:pPr>
        <w:spacing w:after="0" w:line="237"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i w:val="1"/>
          <w:iCs w:val="1"/>
          <w:color w:val="auto"/>
        </w:rPr>
        <w:t xml:space="preserve">Net Operating Revenues and Volumes. </w:t>
      </w:r>
      <w:r>
        <w:rPr>
          <w:rFonts w:ascii="Arial" w:cs="Arial" w:eastAsia="Arial" w:hAnsi="Arial"/>
          <w:sz w:val="17"/>
          <w:szCs w:val="17"/>
          <w:color w:val="auto"/>
        </w:rPr>
        <w:t>Our Supply and Logistics segment revenues, net of purchases and related costs, excluding gains and losses</w:t>
      </w:r>
      <w:r>
        <w:rPr>
          <w:rFonts w:ascii="Arial" w:cs="Arial" w:eastAsia="Arial" w:hAnsi="Arial"/>
          <w:sz w:val="17"/>
          <w:szCs w:val="17"/>
          <w:i w:val="1"/>
          <w:iCs w:val="1"/>
          <w:color w:val="auto"/>
        </w:rPr>
        <w:t xml:space="preserve"> </w:t>
      </w:r>
      <w:r>
        <w:rPr>
          <w:rFonts w:ascii="Arial" w:cs="Arial" w:eastAsia="Arial" w:hAnsi="Arial"/>
          <w:sz w:val="17"/>
          <w:szCs w:val="17"/>
          <w:color w:val="auto"/>
        </w:rPr>
        <w:t>from certain derivative activities (see the “Impact from Certain Derivative Activities” section below), increased slightly for the three months ended September 30, 2014 compared to the three months ended September 30, 2013, while such results decreased year-over-year for the nine month comparative periods presented. The following factors impacted revenues and volumes in the comparative periods:</w:t>
      </w:r>
    </w:p>
    <w:p>
      <w:pPr>
        <w:spacing w:after="0" w:line="171" w:lineRule="exact"/>
        <w:rPr>
          <w:sz w:val="20"/>
          <w:szCs w:val="20"/>
          <w:color w:val="auto"/>
        </w:rPr>
      </w:pPr>
    </w:p>
    <w:p>
      <w:pPr>
        <w:ind w:left="660" w:right="180" w:hanging="328"/>
        <w:spacing w:after="0" w:line="255" w:lineRule="auto"/>
        <w:tabs>
          <w:tab w:leader="none" w:pos="6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NGL Marketing Operations — Net revenues from our NGL marketing operations decreased during the three and nine months ended September 30, 2014 as compared to the three and nine months ended September 30, 2013. This decrease was driven by higher purchases and related costs in the 2014 periods, primarily due to (i) a higher weighted average inventory cost and (ii) increased facility fees. Additionally, NGL margins during the nine-month 2014 period were further impacted by less favorable market conditions, most notably during the second quarter of 2014, as market pricing was stronger in 2013 due to heating requirements during a winter season that extended into the second quarter and greater petrochemical demand for propane.</w:t>
      </w:r>
    </w:p>
    <w:p>
      <w:pPr>
        <w:spacing w:after="0" w:line="193" w:lineRule="exact"/>
        <w:rPr>
          <w:rFonts w:ascii="Arial" w:cs="Arial" w:eastAsia="Arial" w:hAnsi="Arial"/>
          <w:sz w:val="18"/>
          <w:szCs w:val="18"/>
          <w:color w:val="auto"/>
        </w:rPr>
      </w:pPr>
    </w:p>
    <w:p>
      <w:pPr>
        <w:ind w:left="660" w:right="120" w:hanging="328"/>
        <w:spacing w:after="0" w:line="257" w:lineRule="auto"/>
        <w:tabs>
          <w:tab w:leader="none" w:pos="6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North American Crude Oil Production and Related Market Economics — The significant increase in oil and liquids-rich gas production growth in North America has generally created regional supply and demand imbalances due to the lack of sufficient infrastructure to support the movement of such production, which increased certain crude oil location differentials. The lack of existing pipeline takeaway capacity and associated logistical challenges created market conditions that provided opportunities to capture above-baseline margins in our supply and logistics crude oil activities over the last few years.</w:t>
      </w:r>
    </w:p>
    <w:p>
      <w:pPr>
        <w:spacing w:after="0" w:line="188" w:lineRule="exact"/>
        <w:rPr>
          <w:sz w:val="20"/>
          <w:szCs w:val="20"/>
          <w:color w:val="auto"/>
        </w:rPr>
      </w:pPr>
    </w:p>
    <w:p>
      <w:pPr>
        <w:ind w:left="660" w:right="80"/>
        <w:spacing w:after="0" w:line="297" w:lineRule="auto"/>
        <w:rPr>
          <w:sz w:val="20"/>
          <w:szCs w:val="20"/>
          <w:color w:val="auto"/>
        </w:rPr>
      </w:pPr>
      <w:r>
        <w:rPr>
          <w:rFonts w:ascii="Arial" w:cs="Arial" w:eastAsia="Arial" w:hAnsi="Arial"/>
          <w:sz w:val="16"/>
          <w:szCs w:val="16"/>
          <w:color w:val="auto"/>
        </w:rPr>
        <w:t>For the nine months ended September 30, 2014 compared to the nine months ended September 30, 2013, net revenues from our crude oil supply and logistics activities decreased, as there were fewer opportunities to capture above-baseline margins, particularly in the first quarter of 2014 compared to the first quarter of 2013. However, the widening of certain differentials in the third quarter of 2014 allowed for more opportunities to capture above-baseline margins as compared to the third quarter of 2013, which led to an increase in net revenues from our crude oil supply and logistics activities for the three months ended September 30, 2014 compared to the three months ended September 30, 2013.</w:t>
      </w:r>
    </w:p>
    <w:p>
      <w:pPr>
        <w:spacing w:after="0" w:line="158" w:lineRule="exact"/>
        <w:rPr>
          <w:sz w:val="20"/>
          <w:szCs w:val="20"/>
          <w:color w:val="auto"/>
        </w:rPr>
      </w:pPr>
    </w:p>
    <w:p>
      <w:pPr>
        <w:ind w:left="660" w:right="20"/>
        <w:spacing w:after="0" w:line="255" w:lineRule="auto"/>
        <w:rPr>
          <w:sz w:val="20"/>
          <w:szCs w:val="20"/>
          <w:color w:val="auto"/>
        </w:rPr>
      </w:pPr>
      <w:r>
        <w:rPr>
          <w:rFonts w:ascii="Arial" w:cs="Arial" w:eastAsia="Arial" w:hAnsi="Arial"/>
          <w:sz w:val="18"/>
          <w:szCs w:val="18"/>
          <w:color w:val="auto"/>
        </w:rPr>
        <w:t>We believe the fundamentals of our business remain strong as lease-gathered volumes for the three and nine month periods ended September 30, 2014 increased by 13% and 9%, respectively, as compared to volumes in the same three and nine month periods in 2013. However, as the midstream infrastructure continues to be developed, we believe a normalization of margins will continue to occur as the logistics challenges are addressed. (See Items 1 and 2 “Business and Properties—Description of Segments and Associated Assets—Supply and Logistics Segment—Impact of Commodity Price Volatility and Dynamic Market Conditions on Our Business Model” included in Part I of our 2013 Annual Report on Form 10-K for further discussion regarding our business model, including diversification and utilization of our asset base among varying demand- and supply-driven markets.)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140" w:hanging="328"/>
        <w:spacing w:after="0" w:line="264" w:lineRule="auto"/>
        <w:tabs>
          <w:tab w:leader="none" w:pos="6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Natural Gas Storage Commercial Optimization — Our natural gas storage commercial optimization activities for the nine months ended September 30, 2014 were unfavorably impacted by costs incurred to manage deliverability requirements in conjunction with the extended period of severe cold weather experienced during the first quarter of 2014.</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Impact from Certain Derivative Activities</w:t>
      </w:r>
      <w:r>
        <w:rPr>
          <w:rFonts w:ascii="Arial" w:cs="Arial" w:eastAsia="Arial" w:hAnsi="Arial"/>
          <w:sz w:val="18"/>
          <w:szCs w:val="18"/>
          <w:color w:val="auto"/>
        </w:rPr>
        <w:t>. The mark-to-market valuation of certain of our derivative activities impacted our net revenues as shown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table below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780" w:type="dxa"/>
            <w:vAlign w:val="bottom"/>
            <w:gridSpan w:val="4"/>
          </w:tcPr>
          <w:p>
            <w:pPr>
              <w:jc w:val="center"/>
              <w:ind w:left="207"/>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4"/>
          </w:tcPr>
          <w:p>
            <w:pPr>
              <w:jc w:val="center"/>
              <w:ind w:left="147"/>
              <w:spacing w:after="0"/>
              <w:rPr>
                <w:sz w:val="20"/>
                <w:szCs w:val="20"/>
                <w:color w:val="auto"/>
              </w:rPr>
            </w:pPr>
            <w:r>
              <w:rPr>
                <w:rFonts w:ascii="Arial" w:cs="Arial" w:eastAsia="Arial" w:hAnsi="Arial"/>
                <w:sz w:val="14"/>
                <w:szCs w:val="14"/>
                <w:b w:val="1"/>
                <w:bCs w:val="1"/>
                <w:color w:val="auto"/>
                <w:w w:val="94"/>
              </w:rPr>
              <w:t>Nine Months Ended</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1780" w:type="dxa"/>
            <w:vAlign w:val="bottom"/>
            <w:tcBorders>
              <w:bottom w:val="single" w:sz="8" w:color="auto"/>
            </w:tcBorders>
            <w:gridSpan w:val="4"/>
          </w:tcPr>
          <w:p>
            <w:pPr>
              <w:jc w:val="center"/>
              <w:ind w:left="187"/>
              <w:spacing w:after="0"/>
              <w:rPr>
                <w:sz w:val="20"/>
                <w:szCs w:val="20"/>
                <w:color w:val="auto"/>
              </w:rPr>
            </w:pPr>
            <w:r>
              <w:rPr>
                <w:rFonts w:ascii="Arial" w:cs="Arial" w:eastAsia="Arial" w:hAnsi="Arial"/>
                <w:sz w:val="14"/>
                <w:szCs w:val="14"/>
                <w:b w:val="1"/>
                <w:bCs w:val="1"/>
                <w:color w:val="auto"/>
                <w:w w:val="91"/>
              </w:rPr>
              <w:t>September 30,</w:t>
            </w:r>
          </w:p>
        </w:tc>
        <w:tc>
          <w:tcPr>
            <w:tcW w:w="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Variance</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ind w:left="147"/>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5"/>
              </w:rPr>
              <w:t>Variance</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7"/>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line="210" w:lineRule="exact"/>
              <w:rPr>
                <w:sz w:val="20"/>
                <w:szCs w:val="20"/>
                <w:color w:val="auto"/>
              </w:rPr>
            </w:pPr>
            <w:r>
              <w:rPr>
                <w:rFonts w:ascii="Arial" w:cs="Arial" w:eastAsia="Arial" w:hAnsi="Arial"/>
                <w:sz w:val="18"/>
                <w:szCs w:val="18"/>
                <w:color w:val="auto"/>
              </w:rPr>
              <w:t xml:space="preserve">Gains/(losses) from certain derivative activities </w:t>
            </w:r>
            <w:r>
              <w:rPr>
                <w:rFonts w:ascii="Arial" w:cs="Arial" w:eastAsia="Arial" w:hAnsi="Arial"/>
                <w:sz w:val="23"/>
                <w:szCs w:val="23"/>
                <w:color w:val="auto"/>
                <w:vertAlign w:val="superscript"/>
              </w:rPr>
              <w:t>(1)</w:t>
            </w:r>
          </w:p>
        </w:tc>
        <w:tc>
          <w:tcPr>
            <w:tcW w:w="660" w:type="dxa"/>
            <w:vAlign w:val="bottom"/>
            <w:shd w:val="clear" w:color="auto" w:fill="CCEEFF"/>
          </w:tcPr>
          <w:p>
            <w:pPr>
              <w:jc w:val="right"/>
              <w:ind w:right="507"/>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1"/>
              </w:rPr>
              <w:t>(57)</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67"/>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86</w:t>
            </w:r>
          </w:p>
        </w:tc>
        <w:tc>
          <w:tcPr>
            <w:tcW w:w="16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07"/>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40" w:hanging="652"/>
        <w:spacing w:after="0"/>
        <w:tabs>
          <w:tab w:leader="none" w:pos="648"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Includes mark-to-market and other gains and losses resulting from certain derivative instruments that are related to underlying activities in future periods or the reversal of mark-to-market gains and losses from the prior period. These amounts are reduced by the net impact of inventory valuation adjustments attributable to inventory hedged by the related derivative and gains recognized in later periods on physical sales of inventory that was previously written down. See Note 10 to our condensed consolidated financial statements for a comprehensive discussion regarding our derivatives and risk management activities.</w:t>
      </w:r>
    </w:p>
    <w:p>
      <w:pPr>
        <w:spacing w:after="0" w:line="204"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i w:val="1"/>
          <w:iCs w:val="1"/>
          <w:color w:val="auto"/>
        </w:rPr>
        <w:t xml:space="preserve">Field Operating Costs. </w:t>
      </w:r>
      <w:r>
        <w:rPr>
          <w:rFonts w:ascii="Arial" w:cs="Arial" w:eastAsia="Arial" w:hAnsi="Arial"/>
          <w:sz w:val="16"/>
          <w:szCs w:val="16"/>
          <w:color w:val="auto"/>
        </w:rPr>
        <w:t>The increase in field operating costs (excluding equity-indexed compensation expenses) for the three and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2014 compared to the three and nine months ended September 30, 2013 was primarily due to an increase in trucking costs associated with</w:t>
      </w:r>
    </w:p>
    <w:p>
      <w:pPr>
        <w:sectPr>
          <w:pgSz w:w="11900" w:h="16962" w:orient="portrait"/>
          <w:cols w:equalWidth="0" w:num="1">
            <w:col w:w="11420"/>
          </w:cols>
          <w:pgMar w:left="240" w:top="125" w:right="239" w:bottom="0" w:gutter="0" w:footer="0" w:header="0"/>
        </w:sectPr>
      </w:pPr>
    </w:p>
    <w:bookmarkStart w:id="28" w:name="page29"/>
    <w:bookmarkEnd w:id="28"/>
    <w:p>
      <w:pPr>
        <w:ind w:right="500"/>
        <w:spacing w:after="0" w:line="277" w:lineRule="auto"/>
        <w:rPr>
          <w:sz w:val="20"/>
          <w:szCs w:val="20"/>
          <w:color w:val="auto"/>
        </w:rPr>
      </w:pPr>
      <w:r>
        <w:rPr>
          <w:rFonts w:ascii="Arial" w:cs="Arial" w:eastAsia="Arial" w:hAnsi="Arial"/>
          <w:sz w:val="18"/>
          <w:szCs w:val="18"/>
          <w:color w:val="auto"/>
        </w:rPr>
        <w:t>higher crude oil lease gathered volumes. However, the increase in field operating costs for the comparative nine-month periods was partially offset by a decrease in third-party transportation costs in the first quarter of 2014 as compared to the first quarter of 2013.</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i w:val="1"/>
          <w:iCs w:val="1"/>
          <w:color w:val="auto"/>
        </w:rPr>
        <w:t xml:space="preserve">Maintenance Capital. </w:t>
      </w:r>
      <w:r>
        <w:rPr>
          <w:rFonts w:ascii="Arial" w:cs="Arial" w:eastAsia="Arial" w:hAnsi="Arial"/>
          <w:sz w:val="18"/>
          <w:szCs w:val="18"/>
          <w:color w:val="auto"/>
        </w:rPr>
        <w:t>The decrease in maintenance capital for the three and nine months ended September 30, 2014 compared to the three and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2013 is primarily due to reduced spending on trucking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The increase in depreciation and amortization expense for the three and nine months ended September 30, 2014 over the three and nine months ended September 30, 2013 was primarily due to various internal growth projects completed throughout 2013 and 2014, as well as an acceleration of depreciation on certain pipeline assets to reflect a change in their estimated useful lives.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The increase in interest expense for the three and nine months ended September 30, 2014 over the three and nine months ended September 30, 2013 resulted from higher average debt outstanding during the 2014 periods, primarily due to (i) our August 2013 issuance of $700 million, 3.85% senior notes,</w:t>
      </w:r>
    </w:p>
    <w:p>
      <w:pPr>
        <w:ind w:right="20" w:firstLine="8"/>
        <w:spacing w:after="0" w:line="261" w:lineRule="auto"/>
        <w:tabs>
          <w:tab w:leader="none" w:pos="26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April 2014 issuance of $700 million, 4.70% senior notes and (iii) our September 2014 issuance of $750 million, 3.60% senior notes, partially offset by the maturity of our $250 million, 5.63% senior notes in December 2013.</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Income/(Expense), Net</w:t>
      </w:r>
    </w:p>
    <w:p>
      <w:pPr>
        <w:spacing w:after="0" w:line="229"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Other income/(expense), net in each of the periods presented was primarily comprised of foreign currency gains or losses related to revaluations of CAD-denominated interest receivables associated with our intercompany notes and the impact of related foreign currency hedges.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ind w:right="760" w:firstLine="648"/>
        <w:spacing w:after="0" w:line="308" w:lineRule="auto"/>
        <w:rPr>
          <w:sz w:val="20"/>
          <w:szCs w:val="20"/>
          <w:color w:val="auto"/>
        </w:rPr>
      </w:pPr>
      <w:r>
        <w:rPr>
          <w:rFonts w:ascii="Arial" w:cs="Arial" w:eastAsia="Arial" w:hAnsi="Arial"/>
          <w:sz w:val="17"/>
          <w:szCs w:val="17"/>
          <w:color w:val="auto"/>
        </w:rPr>
        <w:t>The increase in income tax expense for the three and nine months ended September 30, 2014 compared to the three and nine months ended September 30, 2013 was primarily a result of higher year over year earnings from our taxable Canadian operations.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Net Income Attributable to Noncontrolling Interests</w:t>
      </w:r>
    </w:p>
    <w:p>
      <w:pPr>
        <w:spacing w:after="0" w:line="229"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Net income attributable to noncontrolling interests decreased for the three and nine months ended September 30, 2014 compared to the three and nine months ended September 30, 2013 as a result of our completion of the PNG Merger on December 31, 2013, pursuant to which we acquired all of the noncontrolling interests in PNG.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Our primary sources of liquidity are (i) cash flow from operating activities, (ii) borrowings under our commercial paper program or credit facilities and (iii) funds received from sales of equity and debt securities. Our primary cash requirements include, but are not limited to, (i) ordinary course of business uses, such as the payment of amounts related to the purchase of crude oil, NGL and other products and other expenses and interest payments on outstanding debt, (ii) expansion and maintenance activities, (iii) acquisitions of assets or businesses, (iv) repayment of principal on long-term debt and (v) distributions to our unitholders and general partner. We generally expect to fund our short-term cash requirements through cash flow generated from operating activities and/or borrowings under our commercial paper program or credit facilities. In addition, we generally expect to fund our long-term needs, such as those resulting from expansion activities or acquisitions and refinancing our long-term debt, through a variety of sources (either separately or in combination), which may include the sources mentioned above as funding for short-term needs and/or the issuance of additional equity or debt securities. As of September 30, 2014, we had a working capital deficit of $408 million and approximately $2.5 billion of liquidity available to meet our ongoing operating, investing and financing needs as noted below (in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As of</w:t>
            </w:r>
          </w:p>
        </w:tc>
      </w:tr>
      <w:tr>
        <w:trPr>
          <w:trHeight w:val="171"/>
        </w:trPr>
        <w:tc>
          <w:tcPr>
            <w:tcW w:w="9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3"/>
              </w:rPr>
              <w:t>September 30, 2014</w:t>
            </w:r>
          </w:p>
        </w:tc>
      </w:tr>
      <w:tr>
        <w:trPr>
          <w:trHeight w:val="210"/>
        </w:trPr>
        <w:tc>
          <w:tcPr>
            <w:tcW w:w="974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Availability under PAA senior unsecured revolving credit facility </w:t>
            </w:r>
            <w:r>
              <w:rPr>
                <w:rFonts w:ascii="Arial" w:cs="Arial" w:eastAsia="Arial" w:hAnsi="Arial"/>
                <w:sz w:val="23"/>
                <w:szCs w:val="23"/>
                <w:color w:val="auto"/>
                <w:vertAlign w:val="superscript"/>
              </w:rPr>
              <w:t>(1)</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740" w:type="dxa"/>
            <w:vAlign w:val="bottom"/>
          </w:tcPr>
          <w:p>
            <w:pPr>
              <w:spacing w:after="0" w:line="216" w:lineRule="exact"/>
              <w:rPr>
                <w:sz w:val="20"/>
                <w:szCs w:val="20"/>
                <w:color w:val="auto"/>
              </w:rPr>
            </w:pPr>
            <w:r>
              <w:rPr>
                <w:rFonts w:ascii="Arial" w:cs="Arial" w:eastAsia="Arial" w:hAnsi="Arial"/>
                <w:sz w:val="18"/>
                <w:szCs w:val="18"/>
                <w:color w:val="auto"/>
              </w:rPr>
              <w:t xml:space="preserve">Availability under PAA senior secured hedged inventory facility </w:t>
            </w:r>
            <w:r>
              <w:rPr>
                <w:rFonts w:ascii="Arial" w:cs="Arial" w:eastAsia="Arial" w:hAnsi="Arial"/>
                <w:sz w:val="23"/>
                <w:szCs w:val="23"/>
                <w:color w:val="auto"/>
                <w:vertAlign w:val="superscript"/>
              </w:rPr>
              <w:t>(1)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1,343</w:t>
            </w:r>
          </w:p>
        </w:tc>
        <w:tc>
          <w:tcPr>
            <w:tcW w:w="80" w:type="dxa"/>
            <w:vAlign w:val="bottom"/>
          </w:tcPr>
          <w:p>
            <w:pPr>
              <w:spacing w:after="0"/>
              <w:rPr>
                <w:sz w:val="18"/>
                <w:szCs w:val="18"/>
                <w:color w:val="auto"/>
              </w:rPr>
            </w:pP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Less: Amounts outstanding under PAA commercial paper program</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(423)</w:t>
            </w:r>
          </w:p>
        </w:tc>
      </w:tr>
      <w:tr>
        <w:trPr>
          <w:trHeight w:val="210"/>
        </w:trPr>
        <w:tc>
          <w:tcPr>
            <w:tcW w:w="9740" w:type="dxa"/>
            <w:vAlign w:val="bottom"/>
          </w:tcPr>
          <w:p>
            <w:pPr>
              <w:ind w:left="180"/>
              <w:spacing w:after="0"/>
              <w:rPr>
                <w:sz w:val="20"/>
                <w:szCs w:val="20"/>
                <w:color w:val="auto"/>
              </w:rPr>
            </w:pPr>
            <w:r>
              <w:rPr>
                <w:rFonts w:ascii="Arial" w:cs="Arial" w:eastAsia="Arial" w:hAnsi="Arial"/>
                <w:sz w:val="18"/>
                <w:szCs w:val="18"/>
                <w:color w:val="auto"/>
              </w:rPr>
              <w:t>Subtotal</w:t>
            </w: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r>
      <w:tr>
        <w:trPr>
          <w:trHeight w:val="210"/>
        </w:trPr>
        <w:tc>
          <w:tcPr>
            <w:tcW w:w="9740" w:type="dxa"/>
            <w:vAlign w:val="bottom"/>
          </w:tcPr>
          <w:p>
            <w:pPr>
              <w:ind w:left="18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9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720" w:hanging="652"/>
        <w:spacing w:after="0" w:line="227" w:lineRule="auto"/>
        <w:tabs>
          <w:tab w:leader="none" w:pos="648"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Represents availability prior to giving effect to amounts outstanding under the PAA commercial paper program. Borrowings under the PAA commercial paper program reduce available capacity under the facility.</w:t>
      </w:r>
    </w:p>
    <w:p>
      <w:pPr>
        <w:spacing w:after="0" w:line="202"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We believe that we have, and will continue to have, the ability to access the commercial paper program and credit facilities, which we use to meet our short-term cash needs. We believe that our financial position remains strong and we have sufficient liquidity; however, extended disruptions in the financial markets and/or energy price volatility that adversely affect our business may have a materially adverse effect on our financial condition, results of operations or cash flows. Also, see “Risk Factors” in Item 1A of our 2013 Annual Report on Form 10-K for further discussion regarding risks that may impact our liquidity and capital resources. Usage of the credit facilities, which provide the backstop for the commercial paper program, is subject to ongoing compliance with covenants. As of September 30, 2014, we were in compliance with all such covenants.</w:t>
      </w:r>
    </w:p>
    <w:p>
      <w:pPr>
        <w:sectPr>
          <w:pgSz w:w="11900" w:h="16838" w:orient="portrait"/>
          <w:cols w:equalWidth="0" w:num="1">
            <w:col w:w="11420"/>
          </w:cols>
          <w:pgMar w:left="240" w:top="125" w:right="239" w:bottom="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For a comprehensive discussion of the primary drivers of cash flow from operating activities, including the impact of varying market conditions and the timing of settlement of our derivative activities, see “Liquidity and Capital Resources-Cash Flow from Operating Activities” under Item 7 of our 2013 Annual Report on Form 10-K.</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Net cash provided by operating activities for the first nine months of 2014 was approximately $1.3 billion, primarily resulting from earnings from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our operations. Net cash provided by operating activities for the first nine months of 2013 of approximately $1.6 billion also resulted primarily from earnings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from our operations. In addition, we decreased the amount of our inventory during the first nine months of 2013, primarily due to the sale of crude oil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inventory that had been stored during the contango market. This decrease in crude oil inventory was partially offset by an increase in NGL inventory as we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began to increase inventory levels in preparation for end users’ increased demand for product used for heating during the peak heating season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November through March. The net proceeds received from liquidation of our crude oil inventory during this period was used to repay borrowings under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credit facilities or commercial paper program and favorably impacted our cash flow from operating activities.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w:t>
      </w:r>
      <w:r>
        <w:rPr>
          <w:rFonts w:ascii="Arial" w:cs="Arial" w:eastAsia="Arial" w:hAnsi="Arial"/>
          <w:sz w:val="18"/>
          <w:szCs w:val="18"/>
          <w:b w:val="1"/>
          <w:bCs w:val="1"/>
          <w:i w:val="1"/>
          <w:iCs w:val="1"/>
          <w:color w:val="auto"/>
        </w:rPr>
        <w:t>cquisitions and Capital Expenditures</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In addition to operating needs discussed above, we also use cash for acquisition activities and internal growth projects. We have made and will continue to make capital expenditures for acquisitions, expansion capital and maintenance capital.</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i w:val="1"/>
          <w:iCs w:val="1"/>
          <w:color w:val="auto"/>
        </w:rPr>
        <w:t xml:space="preserve">2014 Capital Expansion Projects. </w:t>
      </w:r>
      <w:r>
        <w:rPr>
          <w:rFonts w:ascii="Arial" w:cs="Arial" w:eastAsia="Arial" w:hAnsi="Arial"/>
          <w:sz w:val="18"/>
          <w:szCs w:val="18"/>
          <w:color w:val="auto"/>
        </w:rPr>
        <w:t>See “—Acquisitions and Internal Growth Projects” for detail of our projected capital expenditures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ending December 31, 2014. We expect the majority of funding for our remaining 2014 capital program will continue to be provided by borrowings under our commercial paper program, our credit facilities and cash flow in excess of partnership distributions, as well as through our access to the capital markets for equity and debt as we deem necessary.</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The price of acquisitions includes cash paid, assumed liabilities and net working capital items. Because of the non-cash items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total price of the acquisition and the timing of certain cash payments, the net cash paid may differ significantly from the total price of the acquisitions completed during the period. Historically, we have financed acquisitions primarily with cash generated from operating activities and the financing activities discussed below.</w:t>
      </w:r>
    </w:p>
    <w:p>
      <w:pPr>
        <w:spacing w:after="0" w:line="18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As of November 5, 2014, we entered into a definitive purchase and sale agreement with Oxy that provides for our purchase of Oxy’s 50% interest in BridgeTex for $1.075 billion. See Note 14 to our condensed consolidated financial statements for details of this potential acquisition, including discussion of conditions precedent to closing. We intend to initially use borrowings under our commercial paper program to fund this acquisition. On a long-term basis, we intend to follow our financial strategy by funding at least 55% of the acquisition with equity and cash flow in excess of distributions and the remaining amount with long-term debt.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and Debt Financing Activities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financing activities primarily relate to funding acquisitions, internal capital expansion projects and refinancing our debt maturities, as well as short-term working capital and hedged inventory borrowings related to our NGL business and contango market activities. Our financing activities have primarily consisted of equity offerings, senior notes offerings and borrowings and repayments under our commercial paper program or credit facilities, as well as payment of distributions to our unitholders and general partner.</w:t>
      </w:r>
    </w:p>
    <w:p>
      <w:pPr>
        <w:spacing w:after="0" w:line="187"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i w:val="1"/>
          <w:iCs w:val="1"/>
          <w:color w:val="auto"/>
        </w:rPr>
        <w:t xml:space="preserve">Registration Statements. </w:t>
      </w:r>
      <w:r>
        <w:rPr>
          <w:rFonts w:ascii="Arial" w:cs="Arial" w:eastAsia="Arial" w:hAnsi="Arial"/>
          <w:sz w:val="17"/>
          <w:szCs w:val="17"/>
          <w:color w:val="auto"/>
        </w:rPr>
        <w:t>We periodically access the capital markets for both equity and debt financing. We have filed with the SEC a universal shelf</w:t>
      </w:r>
      <w:r>
        <w:rPr>
          <w:rFonts w:ascii="Arial" w:cs="Arial" w:eastAsia="Arial" w:hAnsi="Arial"/>
          <w:sz w:val="17"/>
          <w:szCs w:val="17"/>
          <w:i w:val="1"/>
          <w:iCs w:val="1"/>
          <w:color w:val="auto"/>
        </w:rPr>
        <w:t xml:space="preserve"> </w:t>
      </w:r>
      <w:r>
        <w:rPr>
          <w:rFonts w:ascii="Arial" w:cs="Arial" w:eastAsia="Arial" w:hAnsi="Arial"/>
          <w:sz w:val="17"/>
          <w:szCs w:val="17"/>
          <w:color w:val="auto"/>
        </w:rPr>
        <w:t>registration statement that, subject to effectiveness at the time of use, allows us to issue up to an aggregate of $2.0 billion of debt or equity securities (“Traditional Shelf”). All issuances of equity securities associated with our continuous offering program, as discussed further below, have been issued pursuant to the Traditional Shelf. At September 30, 2014, we had approximately $809 million of unsold securities available under the Traditional Shelf. We also have access to a universal shelf registration statement (“WKSI Shelf”), which provides us with the ability to offer and sell an unlimited amount of debt and equity securities via an underwritten offering, subject to market conditions and our capital needs.</w:t>
      </w:r>
    </w:p>
    <w:p>
      <w:pPr>
        <w:spacing w:after="0" w:line="178"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i w:val="1"/>
          <w:iCs w:val="1"/>
          <w:color w:val="auto"/>
        </w:rPr>
        <w:t>Continuous Offering Program</w:t>
      </w:r>
      <w:r>
        <w:rPr>
          <w:rFonts w:ascii="Arial" w:cs="Arial" w:eastAsia="Arial" w:hAnsi="Arial"/>
          <w:sz w:val="17"/>
          <w:szCs w:val="17"/>
          <w:color w:val="auto"/>
        </w:rPr>
        <w:t>. In August 2014, we entered into an equity distribution agreement with several financial institutions pursuant to which</w:t>
      </w:r>
      <w:r>
        <w:rPr>
          <w:rFonts w:ascii="Arial" w:cs="Arial" w:eastAsia="Arial" w:hAnsi="Arial"/>
          <w:sz w:val="17"/>
          <w:szCs w:val="17"/>
          <w:i w:val="1"/>
          <w:iCs w:val="1"/>
          <w:color w:val="auto"/>
        </w:rPr>
        <w:t xml:space="preserve"> </w:t>
      </w:r>
      <w:r>
        <w:rPr>
          <w:rFonts w:ascii="Arial" w:cs="Arial" w:eastAsia="Arial" w:hAnsi="Arial"/>
          <w:sz w:val="17"/>
          <w:szCs w:val="17"/>
          <w:color w:val="auto"/>
        </w:rPr>
        <w:t>we may offer and sell, through sales agents, common units representing limited partner interests having an aggregate offering price of up to $900 million. During the nine months ended September 30, 2014, we issued an aggregate of approximately 11.8 million common units under our continuous offering program, generating proceeds of $669 million, including our general partner’s proportionate capital contribution of $14 million, net of $7 million of commissions to our sales agents. The net proceeds from sales were used for general partnership purposes.</w:t>
      </w:r>
    </w:p>
    <w:p>
      <w:pPr>
        <w:spacing w:after="0" w:line="17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Credit Agreements, Commercial Paper Program and Indentures. </w:t>
      </w:r>
      <w:r>
        <w:rPr>
          <w:rFonts w:ascii="Arial" w:cs="Arial" w:eastAsia="Arial" w:hAnsi="Arial"/>
          <w:sz w:val="18"/>
          <w:szCs w:val="18"/>
          <w:color w:val="auto"/>
        </w:rPr>
        <w:t>Our credit agreements (which impact our ability to access our commercial paper</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because they provide the backstop that supports our short-term credit ratings) and the indentures governing our senior notes contain cross-default provisions. A default under our credit agreements would permit the lenders to accelerate the maturity of the outstanding debt. As long as we are in compliance with the provisions in our credit agreements, our ability to make distributions of available cash is not restricted. We were in compliance with the covenants contained in our credit agreements and indentures as of September 30, 2014.</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During the nine months ended September 30, 2014 and 2013, we had net repayments on our credit agreements and commercial paper program of $683 million and $464 million, respectively. The net repayments during both periods resulted primarily from cash flow from operating activities, as well as cash received from our debt and equity activities.</w:t>
      </w:r>
    </w:p>
    <w:p>
      <w:pPr>
        <w:sectPr>
          <w:pgSz w:w="11900" w:h="16838" w:orient="portrait"/>
          <w:cols w:equalWidth="0" w:num="1">
            <w:col w:w="11420"/>
          </w:cols>
          <w:pgMar w:left="240" w:top="341" w:right="239" w:bottom="0" w:gutter="0" w:footer="0" w:header="0"/>
        </w:sectPr>
      </w:pPr>
    </w:p>
    <w:bookmarkStart w:id="30" w:name="page31"/>
    <w:bookmarkEnd w:id="30"/>
    <w:p>
      <w:pPr>
        <w:ind w:right="80" w:firstLine="648"/>
        <w:spacing w:after="0" w:line="264" w:lineRule="auto"/>
        <w:rPr>
          <w:sz w:val="20"/>
          <w:szCs w:val="20"/>
          <w:color w:val="auto"/>
        </w:rPr>
      </w:pPr>
      <w:r>
        <w:rPr>
          <w:rFonts w:ascii="Arial" w:cs="Arial" w:eastAsia="Arial" w:hAnsi="Arial"/>
          <w:sz w:val="18"/>
          <w:szCs w:val="18"/>
          <w:color w:val="auto"/>
        </w:rPr>
        <w:t>In August 2014, we extended the maturity dates of our senior secured hedged inventory facility and our senior unsecured revolving credit facility by one year through the exercise of the option included in the current credit agreements. Our senior secured hedged inventory facility and our senior unsecured revolving credit facility now mature in August 2017 and August 2019, respectively.</w:t>
      </w:r>
    </w:p>
    <w:p>
      <w:pPr>
        <w:spacing w:after="0" w:line="18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Effective October 20, 2014, the maximum aggregate borrowing capacity under our commercial paper program was increased from $1.5 billion to $3.0 billion.</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April 2014, we completed the issuance of $700 million, 4.70% senior notes due 2044 at a public offering price of 99.734%. Interest payments are due on June 15 and December 15 of each year, commencing on December 15, 2014. We used the net proceeds from this offering of $691 million, after deducting the underwriting discount and offering expenses, to repay outstanding borrowings under our commercial paper program and for general partnership purposes.</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September 2014, we completed the issuance of $750 million, 3.60% senior notes due 2024 at a public offering price of 99.842%. Interest payments are due on May 1 and November 1 of each year, commencing on May 1, 2015. We used the net proceeds from this offering of $743 million, after deducting the underwriting discount and offering expenses, to repay outstanding borrowings under our commercial paper program and for general partnership purposes.</w:t>
      </w:r>
    </w:p>
    <w:p>
      <w:pPr>
        <w:spacing w:after="0" w:line="18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Our $150 million, 5.25% senior notes will mature in June 2015, and our $400 million, 3.95% senior notes will mature in September 2015. We intend to use borrowings under our commercial paper program to repay these senior notes when they mature.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Paid to Our Unitholders, General Partner and Noncontrolling Interests</w:t>
      </w:r>
    </w:p>
    <w:p>
      <w:pPr>
        <w:spacing w:after="0" w:line="225"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i w:val="1"/>
          <w:iCs w:val="1"/>
          <w:color w:val="auto"/>
        </w:rPr>
        <w:t xml:space="preserve">Distributions to our unitholders and general partner. </w:t>
      </w:r>
      <w:r>
        <w:rPr>
          <w:rFonts w:ascii="Arial" w:cs="Arial" w:eastAsia="Arial" w:hAnsi="Arial"/>
          <w:sz w:val="16"/>
          <w:szCs w:val="16"/>
          <w:color w:val="auto"/>
        </w:rPr>
        <w:t>We distribute 100% of our available cash within 45 days after the end of each quarter to</w:t>
      </w:r>
      <w:r>
        <w:rPr>
          <w:rFonts w:ascii="Arial" w:cs="Arial" w:eastAsia="Arial" w:hAnsi="Arial"/>
          <w:sz w:val="16"/>
          <w:szCs w:val="16"/>
          <w:i w:val="1"/>
          <w:iCs w:val="1"/>
          <w:color w:val="auto"/>
        </w:rPr>
        <w:t xml:space="preserve"> </w:t>
      </w:r>
      <w:r>
        <w:rPr>
          <w:rFonts w:ascii="Arial" w:cs="Arial" w:eastAsia="Arial" w:hAnsi="Arial"/>
          <w:sz w:val="16"/>
          <w:szCs w:val="16"/>
          <w:color w:val="auto"/>
        </w:rPr>
        <w:t>unitholders of record and to our general partner. Available cash is generally defined as all of our cash and cash equivalents on hand at the end of each quarter less reserves established in the discretion of our general partner for future requirements. On November 14, 2014 we will pay a distribution of $0.6600 per limited partner unit, which represents a 10.0% increase over the distribution we paid in November 2013. See Note 8 to our condensed consolidated financial statements for details of distributions paid. Also, see Item 5. “Market for Registrant’s Common Units, Related Unitholder Matters and Issuer Purchases of Equity Securities—Cash Distribution Policy” included in our 2013 Annual Report on Form 10-K for additional discussion on distributions.</w:t>
      </w:r>
    </w:p>
    <w:p>
      <w:pPr>
        <w:spacing w:after="0" w:line="16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Distributions to noncontrolling interests. </w:t>
      </w:r>
      <w:r>
        <w:rPr>
          <w:rFonts w:ascii="Arial" w:cs="Arial" w:eastAsia="Arial" w:hAnsi="Arial"/>
          <w:sz w:val="18"/>
          <w:szCs w:val="18"/>
          <w:color w:val="auto"/>
        </w:rPr>
        <w:t>We paid $2 million and $37 million for distributions to noncontrolling interests during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2014 and 2013, respectively. The decrease in amounts paid is due to our completion of the purchase of all of the noncontrolling interests in PNG on December 31, 2013.</w:t>
      </w:r>
    </w:p>
    <w:p>
      <w:pPr>
        <w:spacing w:after="0" w:line="18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believe that we have sufficient liquid assets, cash flow from operating activities and borrowing capacity under our credit agreements to meet our financial commitments, debt service obligations, contingencies and anticipated capital expenditures. We are, however, subject to business and operational risks that could adversely affect our cash flow. A prolonged material decrease in our cash flows would likely produce an adverse effect on our borrowing capacity.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discussion of contingencies that may impact us, see Note 11 to our condensed consolidated financial statements.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i w:val="1"/>
          <w:iCs w:val="1"/>
          <w:color w:val="auto"/>
        </w:rPr>
        <w:t xml:space="preserve">Contractual Obligations. </w:t>
      </w:r>
      <w:r>
        <w:rPr>
          <w:rFonts w:ascii="Arial" w:cs="Arial" w:eastAsia="Arial" w:hAnsi="Arial"/>
          <w:sz w:val="16"/>
          <w:szCs w:val="16"/>
          <w:color w:val="auto"/>
        </w:rPr>
        <w:t>In the ordinary course of doing business, we purchase crude oil and NGL from third parties under contracts, the majority</w:t>
      </w:r>
      <w:r>
        <w:rPr>
          <w:rFonts w:ascii="Arial" w:cs="Arial" w:eastAsia="Arial" w:hAnsi="Arial"/>
          <w:sz w:val="16"/>
          <w:szCs w:val="16"/>
          <w:i w:val="1"/>
          <w:iCs w:val="1"/>
          <w:color w:val="auto"/>
        </w:rPr>
        <w:t xml:space="preserve"> </w:t>
      </w:r>
      <w:r>
        <w:rPr>
          <w:rFonts w:ascii="Arial" w:cs="Arial" w:eastAsia="Arial" w:hAnsi="Arial"/>
          <w:sz w:val="16"/>
          <w:szCs w:val="16"/>
          <w:color w:val="auto"/>
        </w:rPr>
        <w:t>of which range in term from thirty-day evergreen to five years with a limited number of contracts extending up to approximately ten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In addition, we enter into similar contractual obligations in conjunction with our natural gas operations. The table below includes purchase obligations related to these activities. Where applicable, the amounts presented represent the net obligations associated with our counterparties (including giving effect to netting buy/sell contracts and those subject to a net settlement arrangement). We do not expect to use a significant amount of internal capital to meet these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obligations, as the obligations will be funded by corresponding sales to entities that we deem creditworthy or who have provided credit support we consider adequate.</w:t>
      </w:r>
    </w:p>
    <w:p>
      <w:pPr>
        <w:spacing w:after="0" w:line="17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following table includes our best estimate of the amount and timing of these payments as well as others due under the specified contractual obligations as of September 30, 2014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Remainder of</w:t>
            </w:r>
          </w:p>
        </w:tc>
        <w:tc>
          <w:tcPr>
            <w:tcW w:w="200" w:type="dxa"/>
            <w:vAlign w:val="bottom"/>
          </w:tcPr>
          <w:p>
            <w:pPr>
              <w:spacing w:after="0"/>
              <w:rPr>
                <w:sz w:val="14"/>
                <w:szCs w:val="14"/>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2019 and</w:t>
            </w:r>
          </w:p>
        </w:tc>
        <w:tc>
          <w:tcPr>
            <w:tcW w:w="180" w:type="dxa"/>
            <w:vAlign w:val="bottom"/>
          </w:tcPr>
          <w:p>
            <w:pPr>
              <w:spacing w:after="0"/>
              <w:rPr>
                <w:sz w:val="14"/>
                <w:szCs w:val="14"/>
                <w:color w:val="auto"/>
              </w:rPr>
            </w:pPr>
          </w:p>
        </w:tc>
        <w:tc>
          <w:tcPr>
            <w:tcW w:w="8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354"/>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Thereafter</w:t>
            </w:r>
          </w:p>
        </w:tc>
        <w:tc>
          <w:tcPr>
            <w:tcW w:w="18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20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Long-term debt, including current</w:t>
            </w: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maturities and related interest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gridSpan w:val="2"/>
            <w:shd w:val="clear" w:color="auto" w:fill="CCEEFF"/>
          </w:tcPr>
          <w:p>
            <w:pPr>
              <w:ind w:left="180"/>
              <w:spacing w:after="0" w:line="231" w:lineRule="exact"/>
              <w:rPr>
                <w:sz w:val="20"/>
                <w:szCs w:val="20"/>
                <w:color w:val="auto"/>
              </w:rPr>
            </w:pPr>
            <w:r>
              <w:rPr>
                <w:rFonts w:ascii="Arial" w:cs="Arial" w:eastAsia="Arial" w:hAnsi="Arial"/>
                <w:sz w:val="18"/>
                <w:szCs w:val="18"/>
                <w:color w:val="auto"/>
              </w:rPr>
              <w:t xml:space="preserve">payments </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954</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9,798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13,098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Leases </w:t>
            </w:r>
            <w:r>
              <w:rPr>
                <w:rFonts w:ascii="Arial" w:cs="Arial" w:eastAsia="Arial" w:hAnsi="Arial"/>
                <w:sz w:val="23"/>
                <w:szCs w:val="23"/>
                <w:color w:val="auto"/>
                <w:vertAlign w:val="superscript"/>
              </w:rPr>
              <w:t>(2)</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419</w:t>
            </w: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23"/>
                <w:szCs w:val="23"/>
                <w:color w:val="auto"/>
                <w:vertAlign w:val="superscript"/>
              </w:rPr>
              <w:t>(3)</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Subtotal</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935</w:t>
            </w: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10,430</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14,676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Crude oil, natural gas, NGL and other</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gridSpan w:val="2"/>
            <w:shd w:val="clear" w:color="auto" w:fill="CCEEFF"/>
          </w:tcPr>
          <w:p>
            <w:pPr>
              <w:ind w:left="180"/>
              <w:spacing w:after="0" w:line="231" w:lineRule="exact"/>
              <w:rPr>
                <w:sz w:val="20"/>
                <w:szCs w:val="20"/>
                <w:color w:val="auto"/>
              </w:rPr>
            </w:pPr>
            <w:r>
              <w:rPr>
                <w:rFonts w:ascii="Arial" w:cs="Arial" w:eastAsia="Arial" w:hAnsi="Arial"/>
                <w:sz w:val="18"/>
                <w:szCs w:val="18"/>
                <w:color w:val="auto"/>
              </w:rPr>
              <w:t xml:space="preserve">purchases </w:t>
            </w:r>
            <w:r>
              <w:rPr>
                <w:rFonts w:ascii="Arial" w:cs="Arial" w:eastAsia="Arial" w:hAnsi="Arial"/>
                <w:sz w:val="23"/>
                <w:szCs w:val="23"/>
                <w:color w:val="auto"/>
                <w:vertAlign w:val="superscript"/>
              </w:rPr>
              <w:t>(4)</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4,360</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7,584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4,987</w:t>
            </w: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2,909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8,215</w:t>
            </w: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34,552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4,583</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5,922</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18,645</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49,228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288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1821180</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31" w:name="page32"/>
    <w:bookmarkEnd w:id="31"/>
    <w:p>
      <w:pPr>
        <w:spacing w:after="0" w:line="31"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left="20" w:hanging="11"/>
        <w:spacing w:after="0" w:line="259" w:lineRule="auto"/>
        <w:rPr>
          <w:sz w:val="20"/>
          <w:szCs w:val="20"/>
          <w:color w:val="auto"/>
        </w:rPr>
      </w:pPr>
      <w:r>
        <w:rPr>
          <w:rFonts w:ascii="Arial" w:cs="Arial" w:eastAsia="Arial" w:hAnsi="Arial"/>
          <w:sz w:val="18"/>
          <w:szCs w:val="18"/>
          <w:color w:val="auto"/>
        </w:rPr>
        <w:t>Includes debt service payments, interest payments due on senior notes and the commitment fee on assumed available capacity under the PAA revolving credit facilities. Although there may be short-term borrowings under the PAA revolving credit facilities and commercial paper program, we historically repay and borrow at varying amounts. As such, we have included only the maximum commitment fee (as if no short-term borrowings were outstanding on the facilities or commercial paper program) in the amounts above.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Leases are primarily for (i) surface rentals, (ii) office rent, (iii) pipeline assets and (iv) trucks, trailers and railcars.</w:t>
      </w:r>
    </w:p>
    <w:p>
      <w:pPr>
        <w:spacing w:after="0" w:line="225" w:lineRule="exact"/>
        <w:rPr>
          <w:sz w:val="20"/>
          <w:szCs w:val="20"/>
          <w:color w:val="auto"/>
        </w:rPr>
      </w:pPr>
    </w:p>
    <w:p>
      <w:pPr>
        <w:ind w:left="20" w:right="20" w:hanging="11"/>
        <w:spacing w:after="0" w:line="264" w:lineRule="auto"/>
        <w:rPr>
          <w:sz w:val="20"/>
          <w:szCs w:val="20"/>
          <w:color w:val="auto"/>
        </w:rPr>
      </w:pPr>
      <w:r>
        <w:rPr>
          <w:rFonts w:ascii="Arial" w:cs="Arial" w:eastAsia="Arial" w:hAnsi="Arial"/>
          <w:sz w:val="18"/>
          <w:szCs w:val="18"/>
          <w:color w:val="auto"/>
        </w:rPr>
        <w:t>Includes (i) other long-term liabilities, (ii) storage, processing and transportation agreements and (iii) commitments related to our capital expansion projects, including projected contributions for our share of the capital spending of our equity-method investments. Excludes a non-current liability of $2 million related to derivative activity included in Crude oil, natural gas, NGL and other purchases.</w:t>
      </w:r>
    </w:p>
    <w:p>
      <w:pPr>
        <w:spacing w:after="0" w:line="181" w:lineRule="exact"/>
        <w:rPr>
          <w:sz w:val="20"/>
          <w:szCs w:val="20"/>
          <w:color w:val="auto"/>
        </w:rPr>
      </w:pPr>
    </w:p>
    <w:p>
      <w:pPr>
        <w:ind w:left="20" w:right="40" w:hanging="11"/>
        <w:spacing w:after="0" w:line="286" w:lineRule="auto"/>
        <w:rPr>
          <w:sz w:val="20"/>
          <w:szCs w:val="20"/>
          <w:color w:val="auto"/>
        </w:rPr>
      </w:pPr>
      <w:r>
        <w:rPr>
          <w:rFonts w:ascii="Arial" w:cs="Arial" w:eastAsia="Arial" w:hAnsi="Arial"/>
          <w:sz w:val="17"/>
          <w:szCs w:val="17"/>
          <w:color w:val="auto"/>
        </w:rPr>
        <w:t>Amounts are primarily based on estimated volumes and market prices based on average activity during September 2014.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166" w:lineRule="exact"/>
        <w:rPr>
          <w:sz w:val="20"/>
          <w:szCs w:val="20"/>
          <w:color w:val="auto"/>
        </w:rPr>
      </w:pPr>
    </w:p>
    <w:p>
      <w:pPr>
        <w:sectPr>
          <w:pgSz w:w="11900" w:h="16861" w:orient="portrait"/>
          <w:cols w:equalWidth="0" w:num="2">
            <w:col w:w="140" w:space="500"/>
            <w:col w:w="10760"/>
          </w:cols>
          <w:pgMar w:left="240" w:top="125" w:right="259" w:bottom="0" w:gutter="0" w:footer="0" w:header="0"/>
        </w:sectPr>
      </w:pPr>
    </w:p>
    <w:p>
      <w:pPr>
        <w:ind w:right="140" w:firstLine="648"/>
        <w:spacing w:after="0" w:line="312" w:lineRule="auto"/>
        <w:rPr>
          <w:sz w:val="20"/>
          <w:szCs w:val="20"/>
          <w:color w:val="auto"/>
        </w:rPr>
      </w:pPr>
      <w:r>
        <w:rPr>
          <w:rFonts w:ascii="Arial" w:cs="Arial" w:eastAsia="Arial" w:hAnsi="Arial"/>
          <w:sz w:val="16"/>
          <w:szCs w:val="16"/>
          <w:i w:val="1"/>
          <w:iCs w:val="1"/>
          <w:color w:val="auto"/>
        </w:rPr>
        <w:t xml:space="preserve">Letters of Credit. </w:t>
      </w:r>
      <w:r>
        <w:rPr>
          <w:rFonts w:ascii="Arial" w:cs="Arial" w:eastAsia="Arial" w:hAnsi="Arial"/>
          <w:sz w:val="16"/>
          <w:szCs w:val="16"/>
          <w:color w:val="auto"/>
        </w:rPr>
        <w:t>In connection with supply and logistics activities, we provide certain suppliers with irrevocable standby letters of credit to secure</w:t>
      </w:r>
      <w:r>
        <w:rPr>
          <w:rFonts w:ascii="Arial" w:cs="Arial" w:eastAsia="Arial" w:hAnsi="Arial"/>
          <w:sz w:val="16"/>
          <w:szCs w:val="16"/>
          <w:i w:val="1"/>
          <w:iCs w:val="1"/>
          <w:color w:val="auto"/>
        </w:rPr>
        <w:t xml:space="preserve"> </w:t>
      </w:r>
      <w:r>
        <w:rPr>
          <w:rFonts w:ascii="Arial" w:cs="Arial" w:eastAsia="Arial" w:hAnsi="Arial"/>
          <w:sz w:val="16"/>
          <w:szCs w:val="16"/>
          <w:color w:val="auto"/>
        </w:rPr>
        <w:t>our obligation for the purchase of crude oil, NGL and natural gas. Additionally, we issue letters of credit to support insurance programs and construction activities. At September 30, 2014 and December 31, 2013, we had outstanding letters of credit of $66 million and $41 million,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as defined by Item 303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For additional discussion regarding our critical accounting policies and estimates, see “Critical Accounting Policies and Estimates” under Item 7 of our 2013 Annual Report on Form 10-K.</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20" w:firstLine="778"/>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78" w:lineRule="exact"/>
        <w:rPr>
          <w:sz w:val="20"/>
          <w:szCs w:val="20"/>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planned internal growth projects;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25" w:lineRule="exact"/>
        <w:rPr>
          <w:rFonts w:ascii="Arial" w:cs="Arial" w:eastAsia="Arial" w:hAnsi="Arial"/>
          <w:sz w:val="18"/>
          <w:szCs w:val="18"/>
          <w:color w:val="auto"/>
        </w:rPr>
      </w:pPr>
    </w:p>
    <w:p>
      <w:pPr>
        <w:ind w:left="980" w:right="200" w:hanging="324"/>
        <w:spacing w:after="0" w:line="264" w:lineRule="auto"/>
        <w:tabs>
          <w:tab w:leader="none" w:pos="944"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declines in the volume of crude oil, refined product and NGL shipped, processed, purchased, stored, fractionated and/or gathered at or through the use of our facilities, whether due to declines in production from existing oil and gas reserves, failure to develop or slowdown in the development of additional oil and gas reserves or other factors;</w:t>
      </w:r>
    </w:p>
    <w:p>
      <w:pPr>
        <w:spacing w:after="0" w:line="181" w:lineRule="exact"/>
        <w:rPr>
          <w:rFonts w:ascii="Arial" w:cs="Arial" w:eastAsia="Arial" w:hAnsi="Arial"/>
          <w:sz w:val="18"/>
          <w:szCs w:val="18"/>
          <w:color w:val="auto"/>
        </w:rPr>
      </w:pPr>
    </w:p>
    <w:p>
      <w:pPr>
        <w:ind w:left="980" w:right="280" w:hanging="324"/>
        <w:spacing w:after="0" w:line="308" w:lineRule="auto"/>
        <w:tabs>
          <w:tab w:leader="none" w:pos="944" w:val="left"/>
        </w:tabs>
        <w:numPr>
          <w:ilvl w:val="0"/>
          <w:numId w:val="31"/>
        </w:numPr>
        <w:rPr>
          <w:rFonts w:ascii="Arial" w:cs="Arial" w:eastAsia="Arial" w:hAnsi="Arial"/>
          <w:sz w:val="17"/>
          <w:szCs w:val="17"/>
          <w:color w:val="auto"/>
        </w:rPr>
      </w:pPr>
      <w:r>
        <w:rPr>
          <w:rFonts w:ascii="Arial" w:cs="Arial" w:eastAsia="Arial" w:hAnsi="Arial"/>
          <w:sz w:val="17"/>
          <w:szCs w:val="17"/>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46" w:lineRule="exact"/>
        <w:rPr>
          <w:rFonts w:ascii="Arial" w:cs="Arial" w:eastAsia="Arial" w:hAnsi="Arial"/>
          <w:sz w:val="17"/>
          <w:szCs w:val="17"/>
          <w:color w:val="auto"/>
        </w:rPr>
      </w:pPr>
    </w:p>
    <w:p>
      <w:pPr>
        <w:ind w:left="940" w:hanging="284"/>
        <w:spacing w:after="0"/>
        <w:tabs>
          <w:tab w:leader="none" w:pos="9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occurrence of a natural disaster, catastrophe, terrorist attack or other event, including attacks on our electronic and computer systems;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tightened capital markets or other factors that increase our cost of capital or limit our access to capital;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225" w:lineRule="exact"/>
        <w:rPr>
          <w:rFonts w:ascii="Arial" w:cs="Arial" w:eastAsia="Arial" w:hAnsi="Arial"/>
          <w:sz w:val="18"/>
          <w:szCs w:val="18"/>
          <w:color w:val="auto"/>
        </w:rPr>
      </w:pPr>
    </w:p>
    <w:p>
      <w:pPr>
        <w:ind w:left="980" w:right="120" w:hanging="324"/>
        <w:spacing w:after="0" w:line="277" w:lineRule="auto"/>
        <w:tabs>
          <w:tab w:leader="none" w:pos="944"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25" w:lineRule="exact"/>
        <w:rPr>
          <w:rFonts w:ascii="Arial" w:cs="Arial" w:eastAsia="Arial" w:hAnsi="Arial"/>
          <w:sz w:val="18"/>
          <w:szCs w:val="18"/>
          <w:color w:val="auto"/>
        </w:rPr>
      </w:pPr>
    </w:p>
    <w:p>
      <w:pPr>
        <w:ind w:left="980" w:hanging="324"/>
        <w:spacing w:after="0" w:line="277" w:lineRule="auto"/>
        <w:tabs>
          <w:tab w:leader="none" w:pos="94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ectPr>
          <w:pgSz w:w="11900" w:h="16861" w:orient="portrait"/>
          <w:cols w:equalWidth="0" w:num="1">
            <w:col w:w="11400"/>
          </w:cols>
          <w:pgMar w:left="240" w:top="125" w:right="259" w:bottom="0" w:gutter="0" w:footer="0" w:header="0"/>
          <w:type w:val="continuous"/>
        </w:sectPr>
      </w:pPr>
    </w:p>
    <w:bookmarkStart w:id="32" w:name="page33"/>
    <w:bookmarkEnd w:id="32"/>
    <w:p>
      <w:pPr>
        <w:ind w:left="940" w:hanging="284"/>
        <w:spacing w:after="0"/>
        <w:tabs>
          <w:tab w:leader="none" w:pos="94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shortages or cost increases of supplies, materials or labor;</w:t>
      </w:r>
    </w:p>
    <w:p>
      <w:pPr>
        <w:spacing w:after="0" w:line="225" w:lineRule="exact"/>
        <w:rPr>
          <w:rFonts w:ascii="Arial" w:cs="Arial" w:eastAsia="Arial" w:hAnsi="Arial"/>
          <w:sz w:val="18"/>
          <w:szCs w:val="18"/>
          <w:b w:val="1"/>
          <w:bCs w:val="1"/>
          <w:color w:val="auto"/>
        </w:rPr>
      </w:pPr>
    </w:p>
    <w:p>
      <w:pPr>
        <w:ind w:left="940" w:hanging="284"/>
        <w:spacing w:after="0"/>
        <w:tabs>
          <w:tab w:leader="none" w:pos="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25" w:lineRule="exact"/>
        <w:rPr>
          <w:rFonts w:ascii="Arial" w:cs="Arial" w:eastAsia="Arial" w:hAnsi="Arial"/>
          <w:sz w:val="18"/>
          <w:szCs w:val="18"/>
          <w:color w:val="auto"/>
        </w:rPr>
      </w:pPr>
    </w:p>
    <w:p>
      <w:pPr>
        <w:ind w:left="980" w:right="800" w:hanging="324"/>
        <w:spacing w:after="0" w:line="277" w:lineRule="auto"/>
        <w:tabs>
          <w:tab w:leader="none" w:pos="944"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obtain debt or equity financing on satisfactory terms to fund additional acquisitions, expansion projects, working capital requirements and the repayment or refinancing of indebtedness;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impact of current and future laws, rulings, governmental regulations, accounting standards and statements, and related interpretations;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our units at the time of vesting under our long-term incentive plans;</w:t>
      </w:r>
    </w:p>
    <w:p>
      <w:pPr>
        <w:spacing w:after="0" w:line="236" w:lineRule="exact"/>
        <w:rPr>
          <w:rFonts w:ascii="Arial" w:cs="Arial" w:eastAsia="Arial" w:hAnsi="Arial"/>
          <w:sz w:val="17"/>
          <w:szCs w:val="17"/>
          <w:color w:val="auto"/>
        </w:rPr>
      </w:pPr>
    </w:p>
    <w:p>
      <w:pPr>
        <w:ind w:left="980" w:hanging="324"/>
        <w:spacing w:after="0" w:line="277" w:lineRule="auto"/>
        <w:tabs>
          <w:tab w:leader="none" w:pos="944" w:val="left"/>
        </w:tabs>
        <w:numPr>
          <w:ilvl w:val="0"/>
          <w:numId w:val="33"/>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our facilities, including our ability to satisfy our contractual obligations to our customers at our facilities;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25" w:lineRule="exact"/>
        <w:rPr>
          <w:rFonts w:ascii="Arial" w:cs="Arial" w:eastAsia="Arial" w:hAnsi="Arial"/>
          <w:sz w:val="18"/>
          <w:szCs w:val="18"/>
          <w:color w:val="auto"/>
        </w:rPr>
      </w:pPr>
    </w:p>
    <w:p>
      <w:pPr>
        <w:ind w:left="980" w:hanging="324"/>
        <w:spacing w:after="0" w:line="277" w:lineRule="auto"/>
        <w:tabs>
          <w:tab w:leader="none" w:pos="944"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70" w:lineRule="exact"/>
        <w:rPr>
          <w:rFonts w:ascii="Arial" w:cs="Arial" w:eastAsia="Arial" w:hAnsi="Arial"/>
          <w:sz w:val="18"/>
          <w:szCs w:val="18"/>
          <w:color w:val="auto"/>
        </w:rPr>
      </w:pPr>
    </w:p>
    <w:p>
      <w:pPr>
        <w:ind w:left="980" w:right="80" w:hanging="324"/>
        <w:spacing w:after="0" w:line="308" w:lineRule="auto"/>
        <w:tabs>
          <w:tab w:leader="none" w:pos="944" w:val="left"/>
        </w:tabs>
        <w:numPr>
          <w:ilvl w:val="0"/>
          <w:numId w:val="33"/>
        </w:numPr>
        <w:rPr>
          <w:rFonts w:ascii="Arial" w:cs="Arial" w:eastAsia="Arial" w:hAnsi="Arial"/>
          <w:sz w:val="17"/>
          <w:szCs w:val="17"/>
          <w:color w:val="auto"/>
        </w:rPr>
      </w:pPr>
      <w:r>
        <w:rPr>
          <w:rFonts w:ascii="Arial" w:cs="Arial" w:eastAsia="Arial" w:hAnsi="Arial"/>
          <w:sz w:val="17"/>
          <w:szCs w:val="17"/>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47"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color w:val="auto"/>
        </w:rPr>
        <w:t>Other factors described herein, as well as factors that are unknown or unpredictable, could also have a material adverse effect on future results. Please read “Risk Factors” discussed in Item 1A of our 2013 Annual Report on Form 10-K. Except as required by applicable securities laws, we do not intend to update these forward-looking statements and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8"/>
          <w:szCs w:val="18"/>
          <w:b w:val="1"/>
          <w:bCs w:val="1"/>
          <w:color w:val="auto"/>
        </w:rPr>
        <w:t>ommodity Price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derivative instruments to hedge commodity price risk associated with the following commodities:</w:t>
      </w:r>
    </w:p>
    <w:p>
      <w:pPr>
        <w:spacing w:after="0" w:line="225" w:lineRule="exact"/>
        <w:rPr>
          <w:sz w:val="20"/>
          <w:szCs w:val="20"/>
          <w:color w:val="auto"/>
        </w:rPr>
      </w:pPr>
    </w:p>
    <w:p>
      <w:pPr>
        <w:ind w:left="940" w:hanging="284"/>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i w:val="1"/>
          <w:iCs w:val="1"/>
          <w:u w:val="single" w:color="auto"/>
          <w:color w:val="auto"/>
        </w:rPr>
        <w:t>Crude oil and refined products</w:t>
      </w:r>
    </w:p>
    <w:p>
      <w:pPr>
        <w:spacing w:after="0" w:line="225" w:lineRule="exact"/>
        <w:rPr>
          <w:sz w:val="20"/>
          <w:szCs w:val="20"/>
          <w:color w:val="auto"/>
        </w:rPr>
      </w:pPr>
    </w:p>
    <w:p>
      <w:pPr>
        <w:ind w:left="980" w:right="60"/>
        <w:spacing w:after="0" w:line="259" w:lineRule="auto"/>
        <w:rPr>
          <w:sz w:val="20"/>
          <w:szCs w:val="20"/>
          <w:color w:val="auto"/>
        </w:rPr>
      </w:pPr>
      <w:r>
        <w:rPr>
          <w:rFonts w:ascii="Arial" w:cs="Arial" w:eastAsia="Arial" w:hAnsi="Arial"/>
          <w:sz w:val="18"/>
          <w:szCs w:val="18"/>
          <w:color w:val="auto"/>
        </w:rPr>
        <w:t>We utilize crude oil and refined products derivatives to hedge commodity price risk inherent in our Supply and Logistics and Transportation segments. Our objectives for these derivatives include hedging anticipated purchases and sales, stored inventory, and storage capacity utilization. We manage these exposures with various instruments including exchange-traded and over-the-counter futures, forwards, swaps and options.</w:t>
      </w:r>
    </w:p>
    <w:p>
      <w:pPr>
        <w:spacing w:after="0" w:line="187" w:lineRule="exact"/>
        <w:rPr>
          <w:sz w:val="20"/>
          <w:szCs w:val="20"/>
          <w:color w:val="auto"/>
        </w:rPr>
      </w:pPr>
    </w:p>
    <w:p>
      <w:pPr>
        <w:ind w:left="940" w:hanging="284"/>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i w:val="1"/>
          <w:iCs w:val="1"/>
          <w:u w:val="single" w:color="auto"/>
          <w:color w:val="auto"/>
        </w:rPr>
        <w:t>Natural gas</w:t>
      </w:r>
    </w:p>
    <w:p>
      <w:pPr>
        <w:spacing w:after="0" w:line="225" w:lineRule="exact"/>
        <w:rPr>
          <w:sz w:val="20"/>
          <w:szCs w:val="20"/>
          <w:color w:val="auto"/>
        </w:rPr>
      </w:pPr>
    </w:p>
    <w:p>
      <w:pPr>
        <w:jc w:val="both"/>
        <w:ind w:left="980" w:right="160"/>
        <w:spacing w:after="0" w:line="264" w:lineRule="auto"/>
        <w:rPr>
          <w:sz w:val="20"/>
          <w:szCs w:val="20"/>
          <w:color w:val="auto"/>
        </w:rPr>
      </w:pPr>
      <w:r>
        <w:rPr>
          <w:rFonts w:ascii="Arial" w:cs="Arial" w:eastAsia="Arial" w:hAnsi="Arial"/>
          <w:sz w:val="18"/>
          <w:szCs w:val="18"/>
          <w:color w:val="auto"/>
        </w:rPr>
        <w:t>We utilize natural gas derivatives to hedge commodity price risk inherent in our Supply and Logistics and Facilities segments. Our objectives for these derivatives include hedging anticipated purchases and sales and managing our anticipated base gas requirements. We manage these exposures with various instruments including exchange-traded futures, swaps and options.</w:t>
      </w:r>
    </w:p>
    <w:p>
      <w:pPr>
        <w:spacing w:after="0" w:line="181" w:lineRule="exact"/>
        <w:rPr>
          <w:sz w:val="20"/>
          <w:szCs w:val="20"/>
          <w:color w:val="auto"/>
        </w:rPr>
      </w:pPr>
    </w:p>
    <w:p>
      <w:pPr>
        <w:ind w:left="940" w:hanging="284"/>
        <w:spacing w:after="0"/>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i w:val="1"/>
          <w:iCs w:val="1"/>
          <w:u w:val="single" w:color="auto"/>
          <w:color w:val="auto"/>
        </w:rPr>
        <w:t>NGL</w:t>
      </w:r>
    </w:p>
    <w:p>
      <w:pPr>
        <w:spacing w:after="0" w:line="225" w:lineRule="exact"/>
        <w:rPr>
          <w:sz w:val="20"/>
          <w:szCs w:val="20"/>
          <w:color w:val="auto"/>
        </w:rPr>
      </w:pPr>
    </w:p>
    <w:p>
      <w:pPr>
        <w:ind w:left="980" w:right="400"/>
        <w:spacing w:after="0" w:line="286" w:lineRule="auto"/>
        <w:rPr>
          <w:sz w:val="20"/>
          <w:szCs w:val="20"/>
          <w:color w:val="auto"/>
        </w:rPr>
      </w:pPr>
      <w:r>
        <w:rPr>
          <w:rFonts w:ascii="Arial" w:cs="Arial" w:eastAsia="Arial" w:hAnsi="Arial"/>
          <w:sz w:val="17"/>
          <w:szCs w:val="17"/>
          <w:color w:val="auto"/>
        </w:rPr>
        <w:t>We utilize NGL derivatives, primarily butane and propane derivatives, to hedge commodity price risk inherent in our Supply and Logistics segment. Our objectives for these derivatives include hedging anticipated purchases and sales. We manage these exposures with various instruments including exchange-traded and over-the-counter futures, forwards, swaps and options.</w:t>
      </w:r>
    </w:p>
    <w:p>
      <w:pPr>
        <w:spacing w:after="0" w:line="166"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See Note 10 to our condensed consolidated financial statements for further discussion regarding our hedging strategies and objectives.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0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Our policy is to (i) purchase only product for which we have a market, (ii) hedge our purchase and sales contracts so that price fluctuations do not materially affect our operating income and (iii) not acquire and hold physical inventory or other derivative instruments for the purpose of speculating on outright commodity price changes, as these activities could expose us to significant losses.</w:t>
      </w:r>
    </w:p>
    <w:p>
      <w:pPr>
        <w:spacing w:after="0" w:line="18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fair value of our commodity derivatives and the change in fair value as of September 30, 2014 that would be expected from a 10% price increase or decrease is shown in the table below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100" w:type="dxa"/>
            <w:vAlign w:val="bottom"/>
            <w:vMerge w:val="restart"/>
          </w:tcPr>
          <w:p>
            <w:pPr>
              <w:jc w:val="right"/>
              <w:ind w:right="26"/>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Effect of 10%</w:t>
            </w:r>
          </w:p>
        </w:tc>
        <w:tc>
          <w:tcPr>
            <w:tcW w:w="160" w:type="dxa"/>
            <w:vAlign w:val="bottom"/>
          </w:tcPr>
          <w:p>
            <w:pPr>
              <w:spacing w:after="0"/>
              <w:rPr>
                <w:sz w:val="14"/>
                <w:szCs w:val="14"/>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Effect of 10%</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Price Increase</w:t>
            </w:r>
          </w:p>
        </w:tc>
        <w:tc>
          <w:tcPr>
            <w:tcW w:w="160" w:type="dxa"/>
            <w:vAlign w:val="bottom"/>
          </w:tcPr>
          <w:p>
            <w:pPr>
              <w:spacing w:after="0"/>
              <w:rPr>
                <w:sz w:val="14"/>
                <w:szCs w:val="14"/>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Price Decrease</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Crude oil and related products</w:t>
            </w:r>
          </w:p>
        </w:tc>
        <w:tc>
          <w:tcPr>
            <w:tcW w:w="1100" w:type="dxa"/>
            <w:vAlign w:val="bottom"/>
            <w:tcBorders>
              <w:top w:val="single" w:sz="8" w:color="auto"/>
            </w:tcBorders>
            <w:shd w:val="clear" w:color="auto" w:fill="CCEEFF"/>
          </w:tcPr>
          <w:p>
            <w:pPr>
              <w:jc w:val="right"/>
              <w:ind w:right="946"/>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Natural gas</w:t>
            </w:r>
          </w:p>
        </w:tc>
        <w:tc>
          <w:tcPr>
            <w:tcW w:w="110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NGL and other</w:t>
            </w:r>
          </w:p>
        </w:tc>
        <w:tc>
          <w:tcPr>
            <w:tcW w:w="1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0"/>
        </w:trPr>
        <w:tc>
          <w:tcPr>
            <w:tcW w:w="6640" w:type="dxa"/>
            <w:vAlign w:val="bottom"/>
          </w:tcPr>
          <w:p>
            <w:pPr>
              <w:ind w:left="180"/>
              <w:spacing w:after="0"/>
              <w:rPr>
                <w:sz w:val="20"/>
                <w:szCs w:val="20"/>
                <w:color w:val="auto"/>
              </w:rPr>
            </w:pPr>
            <w:r>
              <w:rPr>
                <w:rFonts w:ascii="Arial" w:cs="Arial" w:eastAsia="Arial" w:hAnsi="Arial"/>
                <w:sz w:val="18"/>
                <w:szCs w:val="18"/>
                <w:color w:val="auto"/>
              </w:rPr>
              <w:t>Total fair value</w:t>
            </w:r>
          </w:p>
        </w:tc>
        <w:tc>
          <w:tcPr>
            <w:tcW w:w="1100" w:type="dxa"/>
            <w:vAlign w:val="bottom"/>
            <w:tcBorders>
              <w:bottom w:val="single" w:sz="8" w:color="auto"/>
            </w:tcBorders>
          </w:tcPr>
          <w:p>
            <w:pPr>
              <w:jc w:val="right"/>
              <w:ind w:right="946"/>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Our use of variable rate debt and any forecasted issuances of fixed rate debt expose us to interest rate risk. Therefore, from time to time, we use interest rate derivatives to hedge interest rate risk associated with anticipated debt issuances and, in certain cases, outstanding debt instruments. All of our senior notes are fixed rate notes and thus are not subject to interest rate risk. The majority of our variable rate debt at September 30, 2014, $423 million, is subject to interest rate re-sets, which range from one day to two weeks. The average interest rate of approximately 0.3% is based upon rates in effect during the nine months ended September 30, 2014. The fair value of our interest rate derivatives is a liability of $15 million as of September 30, 2014. A 10% increase in the forward LIBOR curve as of September 30, 2014 would result in an increase of $17 million to the fair value of our interest rate derivatives. A 10% decrease in the forward LIBOR curve as of September 30, 2014 would result in a decrease of $17 million to the fair value of our interest rate derivatives. See Note 10 to our condensed consolidated financial statements for a discussion of our interest rate risk hedging activities.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Rate Risk</w:t>
      </w:r>
    </w:p>
    <w:p>
      <w:pPr>
        <w:spacing w:after="0" w:line="229" w:lineRule="exact"/>
        <w:rPr>
          <w:sz w:val="20"/>
          <w:szCs w:val="20"/>
          <w:color w:val="auto"/>
        </w:rPr>
      </w:pPr>
    </w:p>
    <w:p>
      <w:pPr>
        <w:ind w:right="220" w:firstLine="648"/>
        <w:spacing w:after="0" w:line="272" w:lineRule="auto"/>
        <w:rPr>
          <w:sz w:val="20"/>
          <w:szCs w:val="20"/>
          <w:color w:val="auto"/>
        </w:rPr>
      </w:pPr>
      <w:r>
        <w:rPr>
          <w:rFonts w:ascii="Arial" w:cs="Arial" w:eastAsia="Arial" w:hAnsi="Arial"/>
          <w:sz w:val="17"/>
          <w:szCs w:val="17"/>
          <w:color w:val="auto"/>
        </w:rPr>
        <w:t>We use foreign currency derivatives to hedge foreign currency exchange rate risk associated with our exposure to fluctuations in the USD-to-CAD exchange rate. Because a significant portion of our Canadian business is conducted in CAD and, at times, a portion of our debt is denominated in CAD, we use certain financial instruments to minimize the risks of unfavorable changes in exchange rates. These instruments include foreign currency exchange contracts, forwards and options. The fair value of our foreign currency derivatives is a liability of $10 million as of September 30, 2014. A 10% increase in the exchange rate (USD-to-CAD) would result in a decrease of $41 million to the fair value of our foreign currency derivatives. A 10% decrease in the exchange rate (USD-to-CAD) would result in an increase of $42 million to the fair value of our foreign currency derivatives. See Note 10 to our condensed consolidated financial statements for a discussion of our currency exchange rate risk hedging.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Applicable SEC rules require an evaluation of the effectiveness of the design and operation of our DCP. Management, under the supervision and with the participation of our Chief Executive Officer and Chief Financial Officer, has evaluated the effectiveness of the design and operation of our DCP as of the end of the period covered by this report, and has found our DCP to be effective in providing reasonable assurance of the timely recording, processing, summarization and reporting of information, and in accumulation and communication of information to management to allow for timely decisions with regard to required disclosure.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color w:val="auto"/>
        </w:rPr>
        <w:t>In addition to the information concerning our DCP, we are required to disclose certain changes in internal control over financial reporting. Although we have made various enhancements to our controls, there have been no changes in our internal control over financial reporting during the period covered by this report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ectPr>
          <w:pgSz w:w="11900" w:h="16838" w:orient="portrait"/>
          <w:cols w:equalWidth="0" w:num="1">
            <w:col w:w="11420"/>
          </w:cols>
          <w:pgMar w:left="240" w:top="125" w:right="239" w:bottom="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095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information required by this item is included under the caption “Litigation” in Note 11 to our condensed consolidated financial statements, and is incorporated herein by reference thereto.</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For a discussion regarding our risk factors, see Item 1A of our 2013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w:t>
      </w:r>
    </w:p>
    <w:p>
      <w:pPr>
        <w:spacing w:after="0" w:line="17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exhibits listed on the accompanying Exhibit Index are filed or incorporated by reference as part of this report, and such Exhibit Index is incorporated herein by reference.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40" w:type="dxa"/>
            <w:vAlign w:val="bottom"/>
          </w:tcPr>
          <w:p>
            <w:pPr>
              <w:ind w:left="5740"/>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PAA GP LLC, its general partner</w:t>
            </w:r>
          </w:p>
        </w:tc>
      </w:tr>
      <w:tr>
        <w:trPr>
          <w:trHeight w:val="216"/>
        </w:trPr>
        <w:tc>
          <w:tcPr>
            <w:tcW w:w="6240" w:type="dxa"/>
            <w:vAlign w:val="bottom"/>
          </w:tcPr>
          <w:p>
            <w:pPr>
              <w:ind w:left="5740"/>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PLAINS AAP, L.P., its sole member</w:t>
            </w:r>
          </w:p>
        </w:tc>
      </w:tr>
      <w:tr>
        <w:trPr>
          <w:trHeight w:val="230"/>
        </w:trPr>
        <w:tc>
          <w:tcPr>
            <w:tcW w:w="6240" w:type="dxa"/>
            <w:vAlign w:val="bottom"/>
          </w:tcPr>
          <w:p>
            <w:pPr>
              <w:ind w:left="5740"/>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PLAINS ALL AMERICAN GP LLC, its general partner</w:t>
            </w:r>
          </w:p>
        </w:tc>
      </w:tr>
      <w:tr>
        <w:trPr>
          <w:trHeight w:val="432"/>
        </w:trPr>
        <w:tc>
          <w:tcPr>
            <w:tcW w:w="6240" w:type="dxa"/>
            <w:vAlign w:val="bottom"/>
          </w:tcPr>
          <w:p>
            <w:pPr>
              <w:spacing w:after="0"/>
              <w:rPr>
                <w:sz w:val="20"/>
                <w:szCs w:val="20"/>
                <w:color w:val="auto"/>
              </w:rPr>
            </w:pPr>
            <w:r>
              <w:rPr>
                <w:rFonts w:ascii="Arial" w:cs="Arial" w:eastAsia="Arial" w:hAnsi="Arial"/>
                <w:sz w:val="18"/>
                <w:szCs w:val="18"/>
                <w:color w:val="auto"/>
              </w:rPr>
              <w:t>Date: November 7, 2014</w:t>
            </w:r>
          </w:p>
        </w:tc>
        <w:tc>
          <w:tcPr>
            <w:tcW w:w="4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432"/>
        </w:trPr>
        <w:tc>
          <w:tcPr>
            <w:tcW w:w="6240" w:type="dxa"/>
            <w:vAlign w:val="bottom"/>
          </w:tcPr>
          <w:p>
            <w:pPr>
              <w:ind w:left="5740"/>
              <w:spacing w:after="0"/>
              <w:rPr>
                <w:sz w:val="20"/>
                <w:szCs w:val="20"/>
                <w:color w:val="auto"/>
              </w:rPr>
            </w:pPr>
            <w:r>
              <w:rPr>
                <w:rFonts w:ascii="Arial" w:cs="Arial" w:eastAsia="Arial" w:hAnsi="Arial"/>
                <w:sz w:val="18"/>
                <w:szCs w:val="18"/>
                <w:color w:val="auto"/>
              </w:rPr>
              <w:t>By:</w:t>
            </w:r>
          </w:p>
        </w:tc>
        <w:tc>
          <w:tcPr>
            <w:tcW w:w="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Greg L. Armstrong</w:t>
            </w:r>
          </w:p>
        </w:tc>
      </w:tr>
      <w:tr>
        <w:trPr>
          <w:trHeight w:val="182"/>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140" w:type="dxa"/>
            <w:vAlign w:val="bottom"/>
          </w:tcPr>
          <w:p>
            <w:pPr>
              <w:jc w:val="center"/>
              <w:ind w:right="450"/>
              <w:spacing w:after="0" w:line="182" w:lineRule="exact"/>
              <w:rPr>
                <w:sz w:val="20"/>
                <w:szCs w:val="20"/>
                <w:color w:val="auto"/>
              </w:rPr>
            </w:pPr>
            <w:r>
              <w:rPr>
                <w:rFonts w:ascii="Arial" w:cs="Arial" w:eastAsia="Arial" w:hAnsi="Arial"/>
                <w:sz w:val="18"/>
                <w:szCs w:val="18"/>
                <w:color w:val="auto"/>
                <w:w w:val="92"/>
              </w:rPr>
              <w:t xml:space="preserve">Greg L. Armstrong, </w:t>
            </w:r>
            <w:r>
              <w:rPr>
                <w:rFonts w:ascii="Arial" w:cs="Arial" w:eastAsia="Arial" w:hAnsi="Arial"/>
                <w:sz w:val="18"/>
                <w:szCs w:val="18"/>
                <w:i w:val="1"/>
                <w:iCs w:val="1"/>
                <w:color w:val="auto"/>
                <w:w w:val="92"/>
              </w:rPr>
              <w:t>Chairman of the Board,</w:t>
            </w:r>
          </w:p>
        </w:tc>
      </w:tr>
      <w:tr>
        <w:trPr>
          <w:trHeight w:val="216"/>
        </w:trPr>
        <w:tc>
          <w:tcPr>
            <w:tcW w:w="6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140" w:type="dxa"/>
            <w:vAlign w:val="bottom"/>
          </w:tcPr>
          <w:p>
            <w:pPr>
              <w:jc w:val="center"/>
              <w:ind w:right="430"/>
              <w:spacing w:after="0"/>
              <w:rPr>
                <w:sz w:val="20"/>
                <w:szCs w:val="20"/>
                <w:color w:val="auto"/>
              </w:rPr>
            </w:pPr>
            <w:r>
              <w:rPr>
                <w:rFonts w:ascii="Arial" w:cs="Arial" w:eastAsia="Arial" w:hAnsi="Arial"/>
                <w:sz w:val="18"/>
                <w:szCs w:val="18"/>
                <w:i w:val="1"/>
                <w:iCs w:val="1"/>
                <w:color w:val="auto"/>
                <w:w w:val="92"/>
              </w:rPr>
              <w:t>Chief Executive Officer and Director</w:t>
            </w:r>
          </w:p>
        </w:tc>
      </w:tr>
      <w:tr>
        <w:trPr>
          <w:trHeight w:val="230"/>
        </w:trPr>
        <w:tc>
          <w:tcPr>
            <w:tcW w:w="6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40" w:type="dxa"/>
            <w:vAlign w:val="bottom"/>
          </w:tcPr>
          <w:p>
            <w:pPr>
              <w:jc w:val="center"/>
              <w:ind w:right="430"/>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432"/>
        </w:trPr>
        <w:tc>
          <w:tcPr>
            <w:tcW w:w="6240" w:type="dxa"/>
            <w:vAlign w:val="bottom"/>
          </w:tcPr>
          <w:p>
            <w:pPr>
              <w:spacing w:after="0"/>
              <w:rPr>
                <w:sz w:val="20"/>
                <w:szCs w:val="20"/>
                <w:color w:val="auto"/>
              </w:rPr>
            </w:pPr>
            <w:r>
              <w:rPr>
                <w:rFonts w:ascii="Arial" w:cs="Arial" w:eastAsia="Arial" w:hAnsi="Arial"/>
                <w:sz w:val="18"/>
                <w:szCs w:val="18"/>
                <w:color w:val="auto"/>
              </w:rPr>
              <w:t>Date: November 7, 2014</w:t>
            </w:r>
          </w:p>
        </w:tc>
        <w:tc>
          <w:tcPr>
            <w:tcW w:w="4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432"/>
        </w:trPr>
        <w:tc>
          <w:tcPr>
            <w:tcW w:w="6240" w:type="dxa"/>
            <w:vAlign w:val="bottom"/>
          </w:tcPr>
          <w:p>
            <w:pPr>
              <w:ind w:left="5740"/>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4"/>
                <w:szCs w:val="24"/>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Al Swanson</w:t>
            </w:r>
          </w:p>
        </w:tc>
      </w:tr>
      <w:tr>
        <w:trPr>
          <w:trHeight w:val="182"/>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140" w:type="dxa"/>
            <w:vAlign w:val="bottom"/>
          </w:tcPr>
          <w:p>
            <w:pPr>
              <w:jc w:val="center"/>
              <w:ind w:right="430"/>
              <w:spacing w:after="0" w:line="182" w:lineRule="exact"/>
              <w:rPr>
                <w:sz w:val="20"/>
                <w:szCs w:val="20"/>
                <w:color w:val="auto"/>
              </w:rPr>
            </w:pPr>
            <w:r>
              <w:rPr>
                <w:rFonts w:ascii="Arial" w:cs="Arial" w:eastAsia="Arial" w:hAnsi="Arial"/>
                <w:sz w:val="18"/>
                <w:szCs w:val="18"/>
                <w:color w:val="auto"/>
                <w:w w:val="90"/>
              </w:rPr>
              <w:t xml:space="preserve">Al Swanson, </w:t>
            </w:r>
            <w:r>
              <w:rPr>
                <w:rFonts w:ascii="Arial" w:cs="Arial" w:eastAsia="Arial" w:hAnsi="Arial"/>
                <w:sz w:val="18"/>
                <w:szCs w:val="18"/>
                <w:i w:val="1"/>
                <w:iCs w:val="1"/>
                <w:color w:val="auto"/>
                <w:w w:val="90"/>
              </w:rPr>
              <w:t>Executive Vice President and</w:t>
            </w:r>
          </w:p>
        </w:tc>
      </w:tr>
      <w:tr>
        <w:trPr>
          <w:trHeight w:val="216"/>
        </w:trPr>
        <w:tc>
          <w:tcPr>
            <w:tcW w:w="6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140" w:type="dxa"/>
            <w:vAlign w:val="bottom"/>
          </w:tcPr>
          <w:p>
            <w:pPr>
              <w:jc w:val="center"/>
              <w:ind w:right="450"/>
              <w:spacing w:after="0"/>
              <w:rPr>
                <w:sz w:val="20"/>
                <w:szCs w:val="20"/>
                <w:color w:val="auto"/>
              </w:rPr>
            </w:pPr>
            <w:r>
              <w:rPr>
                <w:rFonts w:ascii="Arial" w:cs="Arial" w:eastAsia="Arial" w:hAnsi="Arial"/>
                <w:sz w:val="18"/>
                <w:szCs w:val="18"/>
                <w:i w:val="1"/>
                <w:iCs w:val="1"/>
                <w:color w:val="auto"/>
                <w:w w:val="94"/>
              </w:rPr>
              <w:t>Chief Financial Officer</w:t>
            </w:r>
          </w:p>
        </w:tc>
      </w:tr>
      <w:tr>
        <w:trPr>
          <w:trHeight w:val="230"/>
        </w:trPr>
        <w:tc>
          <w:tcPr>
            <w:tcW w:w="6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40" w:type="dxa"/>
            <w:vAlign w:val="bottom"/>
          </w:tcPr>
          <w:p>
            <w:pPr>
              <w:jc w:val="center"/>
              <w:ind w:right="430"/>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432"/>
        </w:trPr>
        <w:tc>
          <w:tcPr>
            <w:tcW w:w="6240" w:type="dxa"/>
            <w:vAlign w:val="bottom"/>
          </w:tcPr>
          <w:p>
            <w:pPr>
              <w:spacing w:after="0"/>
              <w:rPr>
                <w:sz w:val="20"/>
                <w:szCs w:val="20"/>
                <w:color w:val="auto"/>
              </w:rPr>
            </w:pPr>
            <w:r>
              <w:rPr>
                <w:rFonts w:ascii="Arial" w:cs="Arial" w:eastAsia="Arial" w:hAnsi="Arial"/>
                <w:sz w:val="18"/>
                <w:szCs w:val="18"/>
                <w:color w:val="auto"/>
              </w:rPr>
              <w:t>Date: November 7, 2014</w:t>
            </w:r>
          </w:p>
        </w:tc>
        <w:tc>
          <w:tcPr>
            <w:tcW w:w="4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432"/>
        </w:trPr>
        <w:tc>
          <w:tcPr>
            <w:tcW w:w="6240" w:type="dxa"/>
            <w:vAlign w:val="bottom"/>
          </w:tcPr>
          <w:p>
            <w:pPr>
              <w:ind w:left="5740"/>
              <w:spacing w:after="0"/>
              <w:rPr>
                <w:sz w:val="20"/>
                <w:szCs w:val="20"/>
                <w:color w:val="auto"/>
              </w:rPr>
            </w:pPr>
            <w:r>
              <w:rPr>
                <w:rFonts w:ascii="Arial" w:cs="Arial" w:eastAsia="Arial" w:hAnsi="Arial"/>
                <w:sz w:val="18"/>
                <w:szCs w:val="18"/>
                <w:color w:val="auto"/>
              </w:rPr>
              <w:t>By:</w:t>
            </w:r>
          </w:p>
        </w:tc>
        <w:tc>
          <w:tcPr>
            <w:tcW w:w="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Chris Herbold</w:t>
            </w:r>
          </w:p>
        </w:tc>
      </w:tr>
      <w:tr>
        <w:trPr>
          <w:trHeight w:val="182"/>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140" w:type="dxa"/>
            <w:vAlign w:val="bottom"/>
          </w:tcPr>
          <w:p>
            <w:pPr>
              <w:jc w:val="center"/>
              <w:ind w:right="450"/>
              <w:spacing w:after="0" w:line="182" w:lineRule="exact"/>
              <w:rPr>
                <w:sz w:val="20"/>
                <w:szCs w:val="20"/>
                <w:color w:val="auto"/>
              </w:rPr>
            </w:pPr>
            <w:r>
              <w:rPr>
                <w:rFonts w:ascii="Arial" w:cs="Arial" w:eastAsia="Arial" w:hAnsi="Arial"/>
                <w:sz w:val="18"/>
                <w:szCs w:val="18"/>
                <w:color w:val="auto"/>
                <w:w w:val="91"/>
              </w:rPr>
              <w:t xml:space="preserve">Chris Herbold, </w:t>
            </w:r>
            <w:r>
              <w:rPr>
                <w:rFonts w:ascii="Arial" w:cs="Arial" w:eastAsia="Arial" w:hAnsi="Arial"/>
                <w:sz w:val="18"/>
                <w:szCs w:val="18"/>
                <w:i w:val="1"/>
                <w:iCs w:val="1"/>
                <w:color w:val="auto"/>
                <w:w w:val="91"/>
              </w:rPr>
              <w:t>Vice President- Accounting and</w:t>
            </w:r>
          </w:p>
        </w:tc>
      </w:tr>
      <w:tr>
        <w:trPr>
          <w:trHeight w:val="216"/>
        </w:trPr>
        <w:tc>
          <w:tcPr>
            <w:tcW w:w="6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140" w:type="dxa"/>
            <w:vAlign w:val="bottom"/>
          </w:tcPr>
          <w:p>
            <w:pPr>
              <w:jc w:val="center"/>
              <w:ind w:right="450"/>
              <w:spacing w:after="0"/>
              <w:rPr>
                <w:sz w:val="20"/>
                <w:szCs w:val="20"/>
                <w:color w:val="auto"/>
              </w:rPr>
            </w:pPr>
            <w:r>
              <w:rPr>
                <w:rFonts w:ascii="Arial" w:cs="Arial" w:eastAsia="Arial" w:hAnsi="Arial"/>
                <w:sz w:val="18"/>
                <w:szCs w:val="18"/>
                <w:i w:val="1"/>
                <w:iCs w:val="1"/>
                <w:color w:val="auto"/>
                <w:w w:val="92"/>
              </w:rPr>
              <w:t>Chief Accounting Officer</w:t>
            </w:r>
          </w:p>
        </w:tc>
      </w:tr>
      <w:tr>
        <w:trPr>
          <w:trHeight w:val="230"/>
        </w:trPr>
        <w:tc>
          <w:tcPr>
            <w:tcW w:w="6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40" w:type="dxa"/>
            <w:vAlign w:val="bottom"/>
          </w:tcPr>
          <w:p>
            <w:pPr>
              <w:jc w:val="center"/>
              <w:ind w:right="430"/>
              <w:spacing w:after="0"/>
              <w:rPr>
                <w:sz w:val="20"/>
                <w:szCs w:val="20"/>
                <w:color w:val="auto"/>
              </w:rPr>
            </w:pPr>
            <w:r>
              <w:rPr>
                <w:rFonts w:ascii="Arial" w:cs="Arial" w:eastAsia="Arial" w:hAnsi="Arial"/>
                <w:sz w:val="18"/>
                <w:szCs w:val="18"/>
                <w:i w:val="1"/>
                <w:iCs w:val="1"/>
                <w:color w:val="auto"/>
                <w:w w:val="95"/>
              </w:rPr>
              <w:t>(Principal Accounting Officer)</w:t>
            </w:r>
          </w:p>
        </w:tc>
      </w:tr>
    </w:tbl>
    <w:p>
      <w:pPr>
        <w:spacing w:after="0" w:line="200" w:lineRule="exact"/>
        <w:rPr>
          <w:sz w:val="20"/>
          <w:szCs w:val="20"/>
          <w:color w:val="auto"/>
        </w:rPr>
      </w:pPr>
    </w:p>
    <w:p>
      <w:pPr>
        <w:sectPr>
          <w:pgSz w:w="11900" w:h="16838" w:orient="portrait"/>
          <w:cols w:equalWidth="0" w:num="1">
            <w:col w:w="11420"/>
          </w:cols>
          <w:pgMar w:left="240" w:top="368" w:right="239" w:bottom="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8" w:right="239" w:bottom="0" w:gutter="0" w:footer="0" w:header="0"/>
          <w:type w:val="continuous"/>
        </w:sectPr>
      </w:pPr>
    </w:p>
    <w:bookmarkStart w:id="35" w:name="page36"/>
    <w:bookmarkEnd w:id="35"/>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6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9900" w:type="dxa"/>
            <w:vAlign w:val="bottom"/>
          </w:tcPr>
          <w:p>
            <w:pPr>
              <w:spacing w:after="0"/>
              <w:rPr>
                <w:sz w:val="17"/>
                <w:szCs w:val="17"/>
                <w:color w:val="auto"/>
              </w:rPr>
            </w:pPr>
          </w:p>
        </w:tc>
      </w:tr>
      <w:tr>
        <w:trPr>
          <w:trHeight w:val="453"/>
        </w:trPr>
        <w:tc>
          <w:tcPr>
            <w:tcW w:w="7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9900" w:type="dxa"/>
            <w:vAlign w:val="bottom"/>
          </w:tcPr>
          <w:p>
            <w:pPr>
              <w:ind w:left="3460"/>
              <w:spacing w:after="0"/>
              <w:rPr>
                <w:sz w:val="20"/>
                <w:szCs w:val="20"/>
                <w:color w:val="auto"/>
              </w:rPr>
            </w:pPr>
            <w:r>
              <w:rPr>
                <w:rFonts w:ascii="Arial" w:cs="Arial" w:eastAsia="Arial" w:hAnsi="Arial"/>
                <w:sz w:val="18"/>
                <w:szCs w:val="18"/>
                <w:b w:val="1"/>
                <w:bCs w:val="1"/>
                <w:color w:val="auto"/>
              </w:rPr>
              <w:t>EXHIBIT INDEX</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3.1</w:t>
            </w: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900" w:type="dxa"/>
            <w:vAlign w:val="bottom"/>
          </w:tcPr>
          <w:p>
            <w:pPr>
              <w:ind w:left="240"/>
              <w:spacing w:after="0"/>
              <w:rPr>
                <w:sz w:val="20"/>
                <w:szCs w:val="20"/>
                <w:color w:val="auto"/>
              </w:rPr>
            </w:pPr>
            <w:r>
              <w:rPr>
                <w:rFonts w:ascii="Arial" w:cs="Arial" w:eastAsia="Arial" w:hAnsi="Arial"/>
                <w:sz w:val="18"/>
                <w:szCs w:val="18"/>
                <w:color w:val="auto"/>
                <w:w w:val="94"/>
              </w:rPr>
              <w:t>Fourth Amended and Restated Agreement of Limited Partnership of Plains All American Pipeline, L.P. dated as of May 17, 2012</w:t>
            </w:r>
          </w:p>
        </w:tc>
      </w:tr>
      <w:tr>
        <w:trPr>
          <w:trHeight w:val="230"/>
        </w:trPr>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900" w:type="dxa"/>
            <w:vAlign w:val="bottom"/>
          </w:tcPr>
          <w:p>
            <w:pPr>
              <w:ind w:left="240"/>
              <w:spacing w:after="0"/>
              <w:rPr>
                <w:sz w:val="20"/>
                <w:szCs w:val="20"/>
                <w:color w:val="auto"/>
              </w:rPr>
            </w:pPr>
            <w:r>
              <w:rPr>
                <w:rFonts w:ascii="Arial" w:cs="Arial" w:eastAsia="Arial" w:hAnsi="Arial"/>
                <w:sz w:val="18"/>
                <w:szCs w:val="18"/>
                <w:color w:val="auto"/>
              </w:rPr>
              <w:t>(incorporated by reference to Exhibit 3.1 to the Current Report on Form 8-K filed May 23, 2012).</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3.2</w:t>
            </w: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900" w:type="dxa"/>
            <w:vAlign w:val="bottom"/>
          </w:tcPr>
          <w:p>
            <w:pPr>
              <w:ind w:left="240"/>
              <w:spacing w:after="0"/>
              <w:rPr>
                <w:sz w:val="20"/>
                <w:szCs w:val="20"/>
                <w:color w:val="auto"/>
              </w:rPr>
            </w:pPr>
            <w:r>
              <w:rPr>
                <w:rFonts w:ascii="Arial" w:cs="Arial" w:eastAsia="Arial" w:hAnsi="Arial"/>
                <w:sz w:val="18"/>
                <w:szCs w:val="18"/>
                <w:color w:val="auto"/>
                <w:w w:val="96"/>
              </w:rPr>
              <w:t>Amendment No. 1 dated October 1, 2012 to the Fourth Amended and Restated Agreement of Limited Partnership of Plains All</w:t>
            </w:r>
          </w:p>
        </w:tc>
      </w:tr>
      <w:tr>
        <w:trPr>
          <w:trHeight w:val="230"/>
        </w:trPr>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900" w:type="dxa"/>
            <w:vAlign w:val="bottom"/>
          </w:tcPr>
          <w:p>
            <w:pPr>
              <w:ind w:left="240"/>
              <w:spacing w:after="0"/>
              <w:rPr>
                <w:sz w:val="20"/>
                <w:szCs w:val="20"/>
                <w:color w:val="auto"/>
              </w:rPr>
            </w:pPr>
            <w:r>
              <w:rPr>
                <w:rFonts w:ascii="Arial" w:cs="Arial" w:eastAsia="Arial" w:hAnsi="Arial"/>
                <w:sz w:val="18"/>
                <w:szCs w:val="18"/>
                <w:color w:val="auto"/>
                <w:w w:val="98"/>
              </w:rPr>
              <w:t>American Pipeline, L.P. (incorporated by reference to Exhibit 3.1 to the Current Report on Form 8-K filed October 2, 2012).</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3.3</w:t>
            </w: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900" w:type="dxa"/>
            <w:vAlign w:val="bottom"/>
          </w:tcPr>
          <w:p>
            <w:pPr>
              <w:ind w:left="240"/>
              <w:spacing w:after="0"/>
              <w:rPr>
                <w:sz w:val="20"/>
                <w:szCs w:val="20"/>
                <w:color w:val="auto"/>
              </w:rPr>
            </w:pPr>
            <w:r>
              <w:rPr>
                <w:rFonts w:ascii="Arial" w:cs="Arial" w:eastAsia="Arial" w:hAnsi="Arial"/>
                <w:sz w:val="18"/>
                <w:szCs w:val="18"/>
                <w:color w:val="auto"/>
                <w:w w:val="93"/>
              </w:rPr>
              <w:t>Amendment No. 2 dated December 31, 2013 to the Fourth Amended and Restated Agreement of Limited Partnership of Plains All</w:t>
            </w:r>
          </w:p>
        </w:tc>
      </w:tr>
      <w:tr>
        <w:trPr>
          <w:trHeight w:val="230"/>
        </w:trPr>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900" w:type="dxa"/>
            <w:vAlign w:val="bottom"/>
          </w:tcPr>
          <w:p>
            <w:pPr>
              <w:ind w:left="240"/>
              <w:spacing w:after="0"/>
              <w:rPr>
                <w:sz w:val="20"/>
                <w:szCs w:val="20"/>
                <w:color w:val="auto"/>
              </w:rPr>
            </w:pPr>
            <w:r>
              <w:rPr>
                <w:rFonts w:ascii="Arial" w:cs="Arial" w:eastAsia="Arial" w:hAnsi="Arial"/>
                <w:sz w:val="18"/>
                <w:szCs w:val="18"/>
                <w:color w:val="auto"/>
                <w:w w:val="96"/>
              </w:rPr>
              <w:t>American Pipeline, L.P. (incorporated by reference to Exhibit 3.1 to the Current Report on Form 8-K filed December 31, 2013).</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3.4</w:t>
            </w: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900" w:type="dxa"/>
            <w:vAlign w:val="bottom"/>
          </w:tcPr>
          <w:p>
            <w:pPr>
              <w:ind w:left="240"/>
              <w:spacing w:after="0"/>
              <w:rPr>
                <w:sz w:val="20"/>
                <w:szCs w:val="20"/>
                <w:color w:val="auto"/>
              </w:rPr>
            </w:pPr>
            <w:r>
              <w:rPr>
                <w:rFonts w:ascii="Arial" w:cs="Arial" w:eastAsia="Arial" w:hAnsi="Arial"/>
                <w:sz w:val="18"/>
                <w:szCs w:val="18"/>
                <w:color w:val="auto"/>
                <w:w w:val="92"/>
              </w:rPr>
              <w:t>Third Amended and Restated Agreement of Limited Partnership of Plains Marketing, L.P. dated as of April 1, 2004 (incorporated by</w:t>
            </w:r>
          </w:p>
        </w:tc>
      </w:tr>
      <w:tr>
        <w:trPr>
          <w:trHeight w:val="230"/>
        </w:trPr>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900" w:type="dxa"/>
            <w:vAlign w:val="bottom"/>
          </w:tcPr>
          <w:p>
            <w:pPr>
              <w:ind w:left="240"/>
              <w:spacing w:after="0"/>
              <w:rPr>
                <w:sz w:val="20"/>
                <w:szCs w:val="20"/>
                <w:color w:val="auto"/>
              </w:rPr>
            </w:pPr>
            <w:r>
              <w:rPr>
                <w:rFonts w:ascii="Arial" w:cs="Arial" w:eastAsia="Arial" w:hAnsi="Arial"/>
                <w:sz w:val="18"/>
                <w:szCs w:val="18"/>
                <w:color w:val="auto"/>
              </w:rPr>
              <w:t>reference to Exhibit 3.2 to the Quarterly Report on Form 10-Q for the quarter ended March 31, 2004).</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3.5</w:t>
            </w: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900" w:type="dxa"/>
            <w:vAlign w:val="bottom"/>
          </w:tcPr>
          <w:p>
            <w:pPr>
              <w:ind w:left="240"/>
              <w:spacing w:after="0"/>
              <w:rPr>
                <w:sz w:val="20"/>
                <w:szCs w:val="20"/>
                <w:color w:val="auto"/>
              </w:rPr>
            </w:pPr>
            <w:r>
              <w:rPr>
                <w:rFonts w:ascii="Arial" w:cs="Arial" w:eastAsia="Arial" w:hAnsi="Arial"/>
                <w:sz w:val="18"/>
                <w:szCs w:val="18"/>
                <w:color w:val="auto"/>
                <w:w w:val="96"/>
              </w:rPr>
              <w:t>Amendment No. 1 dated December 31, 2010 to the Third Amended and Restated Agreement of Limited Partnership of Plains</w:t>
            </w:r>
          </w:p>
        </w:tc>
      </w:tr>
      <w:tr>
        <w:trPr>
          <w:trHeight w:val="216"/>
        </w:trPr>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900" w:type="dxa"/>
            <w:vAlign w:val="bottom"/>
          </w:tcPr>
          <w:p>
            <w:pPr>
              <w:ind w:left="240"/>
              <w:spacing w:after="0"/>
              <w:rPr>
                <w:sz w:val="20"/>
                <w:szCs w:val="20"/>
                <w:color w:val="auto"/>
              </w:rPr>
            </w:pPr>
            <w:r>
              <w:rPr>
                <w:rFonts w:ascii="Arial" w:cs="Arial" w:eastAsia="Arial" w:hAnsi="Arial"/>
                <w:sz w:val="18"/>
                <w:szCs w:val="18"/>
                <w:color w:val="auto"/>
                <w:w w:val="96"/>
              </w:rPr>
              <w:t>Marketing, L.P. (incorporated by reference to Exhibit 3.9 to the Annual Report on Form 10-K for the year ended December 31,</w:t>
            </w:r>
          </w:p>
        </w:tc>
      </w:tr>
      <w:tr>
        <w:trPr>
          <w:trHeight w:val="230"/>
        </w:trPr>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900" w:type="dxa"/>
            <w:vAlign w:val="bottom"/>
          </w:tcPr>
          <w:p>
            <w:pPr>
              <w:ind w:left="240"/>
              <w:spacing w:after="0"/>
              <w:rPr>
                <w:sz w:val="20"/>
                <w:szCs w:val="20"/>
                <w:color w:val="auto"/>
              </w:rPr>
            </w:pPr>
            <w:r>
              <w:rPr>
                <w:rFonts w:ascii="Arial" w:cs="Arial" w:eastAsia="Arial" w:hAnsi="Arial"/>
                <w:sz w:val="18"/>
                <w:szCs w:val="18"/>
                <w:color w:val="auto"/>
              </w:rPr>
              <w:t>2010).</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3.6</w:t>
            </w: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900" w:type="dxa"/>
            <w:vAlign w:val="bottom"/>
          </w:tcPr>
          <w:p>
            <w:pPr>
              <w:ind w:left="240"/>
              <w:spacing w:after="0"/>
              <w:rPr>
                <w:sz w:val="20"/>
                <w:szCs w:val="20"/>
                <w:color w:val="auto"/>
              </w:rPr>
            </w:pPr>
            <w:r>
              <w:rPr>
                <w:rFonts w:ascii="Arial" w:cs="Arial" w:eastAsia="Arial" w:hAnsi="Arial"/>
                <w:sz w:val="18"/>
                <w:szCs w:val="18"/>
                <w:color w:val="auto"/>
                <w:w w:val="99"/>
              </w:rPr>
              <w:t>Amendment No. 2 dated January 1, 2011 to the Third Amended and Restated Agreement of Limited Partnership of Plains</w:t>
            </w:r>
          </w:p>
        </w:tc>
      </w:tr>
      <w:tr>
        <w:trPr>
          <w:trHeight w:val="216"/>
        </w:trPr>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900" w:type="dxa"/>
            <w:vAlign w:val="bottom"/>
          </w:tcPr>
          <w:p>
            <w:pPr>
              <w:ind w:left="240"/>
              <w:spacing w:after="0"/>
              <w:rPr>
                <w:sz w:val="20"/>
                <w:szCs w:val="20"/>
                <w:color w:val="auto"/>
              </w:rPr>
            </w:pPr>
            <w:r>
              <w:rPr>
                <w:rFonts w:ascii="Arial" w:cs="Arial" w:eastAsia="Arial" w:hAnsi="Arial"/>
                <w:sz w:val="18"/>
                <w:szCs w:val="18"/>
                <w:color w:val="auto"/>
                <w:w w:val="95"/>
              </w:rPr>
              <w:t>Marketing, L.P. (incorporated by reference to Exhibit 3.10 to the Annual Report on Form 10-K for the year ended December 31,</w:t>
            </w:r>
          </w:p>
        </w:tc>
      </w:tr>
      <w:tr>
        <w:trPr>
          <w:trHeight w:val="230"/>
        </w:trPr>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900" w:type="dxa"/>
            <w:vAlign w:val="bottom"/>
          </w:tcPr>
          <w:p>
            <w:pPr>
              <w:ind w:left="240"/>
              <w:spacing w:after="0"/>
              <w:rPr>
                <w:sz w:val="20"/>
                <w:szCs w:val="20"/>
                <w:color w:val="auto"/>
              </w:rPr>
            </w:pPr>
            <w:r>
              <w:rPr>
                <w:rFonts w:ascii="Arial" w:cs="Arial" w:eastAsia="Arial" w:hAnsi="Arial"/>
                <w:sz w:val="18"/>
                <w:szCs w:val="18"/>
                <w:color w:val="auto"/>
              </w:rPr>
              <w:t>2010).</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3.7</w:t>
            </w: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900" w:type="dxa"/>
            <w:vAlign w:val="bottom"/>
          </w:tcPr>
          <w:p>
            <w:pPr>
              <w:ind w:left="240"/>
              <w:spacing w:after="0"/>
              <w:rPr>
                <w:sz w:val="20"/>
                <w:szCs w:val="20"/>
                <w:color w:val="auto"/>
              </w:rPr>
            </w:pPr>
            <w:r>
              <w:rPr>
                <w:rFonts w:ascii="Arial" w:cs="Arial" w:eastAsia="Arial" w:hAnsi="Arial"/>
                <w:sz w:val="18"/>
                <w:szCs w:val="18"/>
                <w:color w:val="auto"/>
              </w:rPr>
              <w:t>Amendment No. 3 dated June 30, 2011 to the Third Amended and Restated Agreement of Limited Partnership of Plains</w:t>
            </w:r>
          </w:p>
        </w:tc>
      </w:tr>
      <w:tr>
        <w:trPr>
          <w:trHeight w:val="216"/>
        </w:trPr>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900" w:type="dxa"/>
            <w:vAlign w:val="bottom"/>
          </w:tcPr>
          <w:p>
            <w:pPr>
              <w:ind w:left="240"/>
              <w:spacing w:after="0"/>
              <w:rPr>
                <w:sz w:val="20"/>
                <w:szCs w:val="20"/>
                <w:color w:val="auto"/>
              </w:rPr>
            </w:pPr>
            <w:r>
              <w:rPr>
                <w:rFonts w:ascii="Arial" w:cs="Arial" w:eastAsia="Arial" w:hAnsi="Arial"/>
                <w:sz w:val="18"/>
                <w:szCs w:val="18"/>
                <w:color w:val="auto"/>
                <w:w w:val="96"/>
              </w:rPr>
              <w:t>Marketing, L.P. (incorporated by reference to Exhibit 3.7 to the Annual Report on Form 10-K for the year ended December 31,</w:t>
            </w:r>
          </w:p>
        </w:tc>
      </w:tr>
      <w:tr>
        <w:trPr>
          <w:trHeight w:val="230"/>
        </w:trPr>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900" w:type="dxa"/>
            <w:vAlign w:val="bottom"/>
          </w:tcPr>
          <w:p>
            <w:pPr>
              <w:ind w:left="240"/>
              <w:spacing w:after="0"/>
              <w:rPr>
                <w:sz w:val="20"/>
                <w:szCs w:val="20"/>
                <w:color w:val="auto"/>
              </w:rPr>
            </w:pPr>
            <w:r>
              <w:rPr>
                <w:rFonts w:ascii="Arial" w:cs="Arial" w:eastAsia="Arial" w:hAnsi="Arial"/>
                <w:sz w:val="18"/>
                <w:szCs w:val="18"/>
                <w:color w:val="auto"/>
              </w:rPr>
              <w:t>2013).</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3.8</w:t>
            </w: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900" w:type="dxa"/>
            <w:vAlign w:val="bottom"/>
          </w:tcPr>
          <w:p>
            <w:pPr>
              <w:ind w:left="240"/>
              <w:spacing w:after="0"/>
              <w:rPr>
                <w:sz w:val="20"/>
                <w:szCs w:val="20"/>
                <w:color w:val="auto"/>
              </w:rPr>
            </w:pPr>
            <w:r>
              <w:rPr>
                <w:rFonts w:ascii="Arial" w:cs="Arial" w:eastAsia="Arial" w:hAnsi="Arial"/>
                <w:sz w:val="18"/>
                <w:szCs w:val="18"/>
                <w:color w:val="auto"/>
                <w:w w:val="99"/>
              </w:rPr>
              <w:t>Amendment No. 4 dated January 1, 2013 to the Third Amended and Restated Agreement of Limited Partnership of Plains</w:t>
            </w:r>
          </w:p>
        </w:tc>
      </w:tr>
      <w:tr>
        <w:trPr>
          <w:trHeight w:val="216"/>
        </w:trPr>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900" w:type="dxa"/>
            <w:vAlign w:val="bottom"/>
          </w:tcPr>
          <w:p>
            <w:pPr>
              <w:ind w:left="240"/>
              <w:spacing w:after="0"/>
              <w:rPr>
                <w:sz w:val="20"/>
                <w:szCs w:val="20"/>
                <w:color w:val="auto"/>
              </w:rPr>
            </w:pPr>
            <w:r>
              <w:rPr>
                <w:rFonts w:ascii="Arial" w:cs="Arial" w:eastAsia="Arial" w:hAnsi="Arial"/>
                <w:sz w:val="18"/>
                <w:szCs w:val="18"/>
                <w:color w:val="auto"/>
                <w:w w:val="96"/>
              </w:rPr>
              <w:t>Marketing, L.P. (incorporated by reference to Exhibit 3.8 to the Annual Report on Form 10-K for the year ended December 31,</w:t>
            </w:r>
          </w:p>
        </w:tc>
      </w:tr>
      <w:tr>
        <w:trPr>
          <w:trHeight w:val="230"/>
        </w:trPr>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900" w:type="dxa"/>
            <w:vAlign w:val="bottom"/>
          </w:tcPr>
          <w:p>
            <w:pPr>
              <w:ind w:left="240"/>
              <w:spacing w:after="0"/>
              <w:rPr>
                <w:sz w:val="20"/>
                <w:szCs w:val="20"/>
                <w:color w:val="auto"/>
              </w:rPr>
            </w:pPr>
            <w:r>
              <w:rPr>
                <w:rFonts w:ascii="Arial" w:cs="Arial" w:eastAsia="Arial" w:hAnsi="Arial"/>
                <w:sz w:val="18"/>
                <w:szCs w:val="18"/>
                <w:color w:val="auto"/>
              </w:rPr>
              <w:t>2013).</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3.9</w:t>
            </w: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900" w:type="dxa"/>
            <w:vAlign w:val="bottom"/>
          </w:tcPr>
          <w:p>
            <w:pPr>
              <w:ind w:left="240"/>
              <w:spacing w:after="0"/>
              <w:rPr>
                <w:sz w:val="20"/>
                <w:szCs w:val="20"/>
                <w:color w:val="auto"/>
              </w:rPr>
            </w:pPr>
            <w:r>
              <w:rPr>
                <w:rFonts w:ascii="Arial" w:cs="Arial" w:eastAsia="Arial" w:hAnsi="Arial"/>
                <w:sz w:val="18"/>
                <w:szCs w:val="18"/>
                <w:color w:val="auto"/>
                <w:w w:val="93"/>
              </w:rPr>
              <w:t>Third Amended and Restated Agreement of Limited Partnership of Plains Pipeline, L.P. dated as of April 1, 2004 (incorporated by</w:t>
            </w:r>
          </w:p>
        </w:tc>
      </w:tr>
      <w:tr>
        <w:trPr>
          <w:trHeight w:val="230"/>
        </w:trPr>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900" w:type="dxa"/>
            <w:vAlign w:val="bottom"/>
          </w:tcPr>
          <w:p>
            <w:pPr>
              <w:ind w:left="240"/>
              <w:spacing w:after="0"/>
              <w:rPr>
                <w:sz w:val="20"/>
                <w:szCs w:val="20"/>
                <w:color w:val="auto"/>
              </w:rPr>
            </w:pPr>
            <w:r>
              <w:rPr>
                <w:rFonts w:ascii="Arial" w:cs="Arial" w:eastAsia="Arial" w:hAnsi="Arial"/>
                <w:sz w:val="18"/>
                <w:szCs w:val="18"/>
                <w:color w:val="auto"/>
              </w:rPr>
              <w:t>reference to Exhibit 3.3 to the Quarterly Report on Form 10-Q for the quarter ended March 31, 2004).</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3.10</w:t>
            </w: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900" w:type="dxa"/>
            <w:vAlign w:val="bottom"/>
          </w:tcPr>
          <w:p>
            <w:pPr>
              <w:ind w:left="240"/>
              <w:spacing w:after="0"/>
              <w:rPr>
                <w:sz w:val="20"/>
                <w:szCs w:val="20"/>
                <w:color w:val="auto"/>
              </w:rPr>
            </w:pPr>
            <w:r>
              <w:rPr>
                <w:rFonts w:ascii="Arial" w:cs="Arial" w:eastAsia="Arial" w:hAnsi="Arial"/>
                <w:sz w:val="18"/>
                <w:szCs w:val="18"/>
                <w:color w:val="auto"/>
                <w:w w:val="92"/>
              </w:rPr>
              <w:t>Amendment No. 1 dated January 1, 2013 to the Third Amended and Restated Agreement of Limited Partnership of Plains Pipeline,</w:t>
            </w:r>
          </w:p>
        </w:tc>
      </w:tr>
      <w:tr>
        <w:trPr>
          <w:trHeight w:val="230"/>
        </w:trPr>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900" w:type="dxa"/>
            <w:vAlign w:val="bottom"/>
          </w:tcPr>
          <w:p>
            <w:pPr>
              <w:ind w:left="240"/>
              <w:spacing w:after="0"/>
              <w:rPr>
                <w:sz w:val="20"/>
                <w:szCs w:val="20"/>
                <w:color w:val="auto"/>
              </w:rPr>
            </w:pPr>
            <w:r>
              <w:rPr>
                <w:rFonts w:ascii="Arial" w:cs="Arial" w:eastAsia="Arial" w:hAnsi="Arial"/>
                <w:sz w:val="18"/>
                <w:szCs w:val="18"/>
                <w:color w:val="auto"/>
                <w:w w:val="98"/>
              </w:rPr>
              <w:t>L.P. (incorporated by reference to Exhibit 3.10 to the Annual Report on Form 10-K for the year ended December 31, 2013).</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3.11</w:t>
            </w: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900" w:type="dxa"/>
            <w:vAlign w:val="bottom"/>
          </w:tcPr>
          <w:p>
            <w:pPr>
              <w:ind w:left="240"/>
              <w:spacing w:after="0"/>
              <w:rPr>
                <w:sz w:val="20"/>
                <w:szCs w:val="20"/>
                <w:color w:val="auto"/>
              </w:rPr>
            </w:pPr>
            <w:r>
              <w:rPr>
                <w:rFonts w:ascii="Arial" w:cs="Arial" w:eastAsia="Arial" w:hAnsi="Arial"/>
                <w:sz w:val="18"/>
                <w:szCs w:val="18"/>
                <w:color w:val="auto"/>
                <w:w w:val="98"/>
              </w:rPr>
              <w:t>Sixth Amended and Restated Limited Liability Company Agreement of Plains All American GP LLC dated October 21, 2013</w:t>
            </w:r>
          </w:p>
        </w:tc>
      </w:tr>
      <w:tr>
        <w:trPr>
          <w:trHeight w:val="230"/>
        </w:trPr>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900" w:type="dxa"/>
            <w:vAlign w:val="bottom"/>
          </w:tcPr>
          <w:p>
            <w:pPr>
              <w:ind w:left="240"/>
              <w:spacing w:after="0"/>
              <w:rPr>
                <w:sz w:val="20"/>
                <w:szCs w:val="20"/>
                <w:color w:val="auto"/>
              </w:rPr>
            </w:pPr>
            <w:r>
              <w:rPr>
                <w:rFonts w:ascii="Arial" w:cs="Arial" w:eastAsia="Arial" w:hAnsi="Arial"/>
                <w:sz w:val="18"/>
                <w:szCs w:val="18"/>
                <w:color w:val="auto"/>
              </w:rPr>
              <w:t>(incorporated by reference to Exhibit 3.2 to the Current Report on Form 8-K filed October 25, 2013).</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3.12</w:t>
            </w: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900" w:type="dxa"/>
            <w:vAlign w:val="bottom"/>
          </w:tcPr>
          <w:p>
            <w:pPr>
              <w:ind w:left="240"/>
              <w:spacing w:after="0"/>
              <w:rPr>
                <w:sz w:val="20"/>
                <w:szCs w:val="20"/>
                <w:color w:val="auto"/>
              </w:rPr>
            </w:pPr>
            <w:r>
              <w:rPr>
                <w:rFonts w:ascii="Arial" w:cs="Arial" w:eastAsia="Arial" w:hAnsi="Arial"/>
                <w:sz w:val="18"/>
                <w:szCs w:val="18"/>
                <w:color w:val="auto"/>
                <w:w w:val="96"/>
              </w:rPr>
              <w:t>Seventh Amended and Restated Limited Partnership Agreement of Plains AAP, L.P. dated October 21, 2013 (incorporated by</w:t>
            </w:r>
          </w:p>
        </w:tc>
      </w:tr>
      <w:tr>
        <w:trPr>
          <w:trHeight w:val="230"/>
        </w:trPr>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900" w:type="dxa"/>
            <w:vAlign w:val="bottom"/>
          </w:tcPr>
          <w:p>
            <w:pPr>
              <w:ind w:left="240"/>
              <w:spacing w:after="0"/>
              <w:rPr>
                <w:sz w:val="20"/>
                <w:szCs w:val="20"/>
                <w:color w:val="auto"/>
              </w:rPr>
            </w:pPr>
            <w:r>
              <w:rPr>
                <w:rFonts w:ascii="Arial" w:cs="Arial" w:eastAsia="Arial" w:hAnsi="Arial"/>
                <w:sz w:val="18"/>
                <w:szCs w:val="18"/>
                <w:color w:val="auto"/>
              </w:rPr>
              <w:t>reference to Exhibit 3.1 to the Current Report on Form 8-K filed October 25, 2013).</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3.13</w:t>
            </w: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900" w:type="dxa"/>
            <w:vAlign w:val="bottom"/>
          </w:tcPr>
          <w:p>
            <w:pPr>
              <w:ind w:left="240"/>
              <w:spacing w:after="0"/>
              <w:rPr>
                <w:sz w:val="20"/>
                <w:szCs w:val="20"/>
                <w:color w:val="auto"/>
              </w:rPr>
            </w:pPr>
            <w:r>
              <w:rPr>
                <w:rFonts w:ascii="Arial" w:cs="Arial" w:eastAsia="Arial" w:hAnsi="Arial"/>
                <w:sz w:val="18"/>
                <w:szCs w:val="18"/>
                <w:color w:val="auto"/>
                <w:w w:val="91"/>
              </w:rPr>
              <w:t>Amendment No. 1 dated December 31, 2013 to Seventh Amended and Restated Limited Partnership Agreement of Plains AAP, L.P.</w:t>
            </w:r>
          </w:p>
        </w:tc>
      </w:tr>
      <w:tr>
        <w:trPr>
          <w:trHeight w:val="230"/>
        </w:trPr>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900" w:type="dxa"/>
            <w:vAlign w:val="bottom"/>
          </w:tcPr>
          <w:p>
            <w:pPr>
              <w:ind w:left="240"/>
              <w:spacing w:after="0"/>
              <w:rPr>
                <w:sz w:val="20"/>
                <w:szCs w:val="20"/>
                <w:color w:val="auto"/>
              </w:rPr>
            </w:pPr>
            <w:r>
              <w:rPr>
                <w:rFonts w:ascii="Arial" w:cs="Arial" w:eastAsia="Arial" w:hAnsi="Arial"/>
                <w:sz w:val="18"/>
                <w:szCs w:val="18"/>
                <w:color w:val="auto"/>
              </w:rPr>
              <w:t>(incorporated by reference to Exhibit 3.2 to the Current Report on Form 8-K filed December 31, 2013).</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3.14</w:t>
            </w: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900" w:type="dxa"/>
            <w:vAlign w:val="bottom"/>
          </w:tcPr>
          <w:p>
            <w:pPr>
              <w:ind w:left="240"/>
              <w:spacing w:after="0"/>
              <w:rPr>
                <w:sz w:val="20"/>
                <w:szCs w:val="20"/>
                <w:color w:val="auto"/>
              </w:rPr>
            </w:pPr>
            <w:r>
              <w:rPr>
                <w:rFonts w:ascii="Arial" w:cs="Arial" w:eastAsia="Arial" w:hAnsi="Arial"/>
                <w:sz w:val="18"/>
                <w:szCs w:val="18"/>
                <w:color w:val="auto"/>
                <w:w w:val="93"/>
              </w:rPr>
              <w:t>Certificate of Incorporation of PAA Finance Corp (f/k/a Pacific Energy Finance Corporation, successor-by-merger to PAA Finance</w:t>
            </w:r>
          </w:p>
        </w:tc>
      </w:tr>
      <w:tr>
        <w:trPr>
          <w:trHeight w:val="230"/>
        </w:trPr>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900" w:type="dxa"/>
            <w:vAlign w:val="bottom"/>
          </w:tcPr>
          <w:p>
            <w:pPr>
              <w:ind w:left="240"/>
              <w:spacing w:after="0"/>
              <w:rPr>
                <w:sz w:val="20"/>
                <w:szCs w:val="20"/>
                <w:color w:val="auto"/>
              </w:rPr>
            </w:pPr>
            <w:r>
              <w:rPr>
                <w:rFonts w:ascii="Arial" w:cs="Arial" w:eastAsia="Arial" w:hAnsi="Arial"/>
                <w:sz w:val="18"/>
                <w:szCs w:val="18"/>
                <w:color w:val="auto"/>
                <w:w w:val="96"/>
              </w:rPr>
              <w:t>Corp.) (incorporated by reference to Exhibit 3.10 to the Annual Report on Form 10-K for the year ended December 31, 2006).</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3.15</w:t>
            </w: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900" w:type="dxa"/>
            <w:vAlign w:val="bottom"/>
          </w:tcPr>
          <w:p>
            <w:pPr>
              <w:ind w:left="240"/>
              <w:spacing w:after="0"/>
              <w:rPr>
                <w:sz w:val="20"/>
                <w:szCs w:val="20"/>
                <w:color w:val="auto"/>
              </w:rPr>
            </w:pPr>
            <w:r>
              <w:rPr>
                <w:rFonts w:ascii="Arial" w:cs="Arial" w:eastAsia="Arial" w:hAnsi="Arial"/>
                <w:sz w:val="18"/>
                <w:szCs w:val="18"/>
                <w:color w:val="auto"/>
                <w:w w:val="92"/>
              </w:rPr>
              <w:t>Bylaws of PAA Finance Corp (f/k/a Pacific Energy Finance Corporation, successor-by-merger to PAA Finance Corp.) (incorporated</w:t>
            </w:r>
          </w:p>
        </w:tc>
      </w:tr>
      <w:tr>
        <w:trPr>
          <w:trHeight w:val="230"/>
        </w:trPr>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900" w:type="dxa"/>
            <w:vAlign w:val="bottom"/>
          </w:tcPr>
          <w:p>
            <w:pPr>
              <w:ind w:left="240"/>
              <w:spacing w:after="0"/>
              <w:rPr>
                <w:sz w:val="20"/>
                <w:szCs w:val="20"/>
                <w:color w:val="auto"/>
              </w:rPr>
            </w:pPr>
            <w:r>
              <w:rPr>
                <w:rFonts w:ascii="Arial" w:cs="Arial" w:eastAsia="Arial" w:hAnsi="Arial"/>
                <w:sz w:val="18"/>
                <w:szCs w:val="18"/>
                <w:color w:val="auto"/>
              </w:rPr>
              <w:t>by reference to Exhibit 3.11 to the Annual Report on Form 10-K for the year ended December 31, 2006).</w:t>
            </w:r>
          </w:p>
        </w:tc>
      </w:tr>
      <w:tr>
        <w:trPr>
          <w:trHeight w:val="432"/>
        </w:trPr>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00" w:type="dxa"/>
            <w:vAlign w:val="bottom"/>
          </w:tcPr>
          <w:p>
            <w:pPr>
              <w:ind w:left="4060"/>
              <w:spacing w:after="0"/>
              <w:rPr>
                <w:sz w:val="20"/>
                <w:szCs w:val="20"/>
                <w:color w:val="auto"/>
              </w:rPr>
            </w:pPr>
            <w:r>
              <w:rPr>
                <w:rFonts w:ascii="Arial" w:cs="Arial" w:eastAsia="Arial" w:hAnsi="Arial"/>
                <w:sz w:val="18"/>
                <w:szCs w:val="18"/>
                <w:color w:val="auto"/>
              </w:rPr>
              <w:t>51</w:t>
            </w: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9900" w:type="dxa"/>
            <w:vAlign w:val="bottom"/>
            <w:tcBorders>
              <w:bottom w:val="single" w:sz="8" w:color="010101"/>
            </w:tcBorders>
          </w:tcPr>
          <w:p>
            <w:pPr>
              <w:spacing w:after="0"/>
              <w:rPr>
                <w:sz w:val="11"/>
                <w:szCs w:val="11"/>
                <w:color w:val="auto"/>
              </w:rPr>
            </w:pPr>
          </w:p>
        </w:tc>
      </w:tr>
      <w:tr>
        <w:trPr>
          <w:trHeight w:val="523"/>
        </w:trPr>
        <w:tc>
          <w:tcPr>
            <w:tcW w:w="156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9900" w:type="dxa"/>
            <w:vAlign w:val="bottom"/>
          </w:tcPr>
          <w:p>
            <w:pPr>
              <w:spacing w:after="0"/>
              <w:rPr>
                <w:sz w:val="24"/>
                <w:szCs w:val="24"/>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900" w:type="dxa"/>
            <w:vAlign w:val="bottom"/>
          </w:tcPr>
          <w:p>
            <w:pPr>
              <w:spacing w:after="0" w:line="20" w:lineRule="exact"/>
              <w:rPr>
                <w:sz w:val="1"/>
                <w:szCs w:val="1"/>
                <w:color w:val="auto"/>
              </w:rPr>
            </w:pPr>
          </w:p>
        </w:tc>
      </w:tr>
      <w:tr>
        <w:trPr>
          <w:trHeight w:val="438"/>
        </w:trPr>
        <w:tc>
          <w:tcPr>
            <w:tcW w:w="740" w:type="dxa"/>
            <w:vAlign w:val="bottom"/>
          </w:tcPr>
          <w:p>
            <w:pPr>
              <w:spacing w:after="0"/>
              <w:rPr>
                <w:sz w:val="20"/>
                <w:szCs w:val="20"/>
                <w:color w:val="auto"/>
              </w:rPr>
            </w:pPr>
            <w:r>
              <w:rPr>
                <w:rFonts w:ascii="Arial" w:cs="Arial" w:eastAsia="Arial" w:hAnsi="Arial"/>
                <w:sz w:val="18"/>
                <w:szCs w:val="18"/>
                <w:color w:val="auto"/>
              </w:rPr>
              <w:t>3.16</w:t>
            </w: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900" w:type="dxa"/>
            <w:vAlign w:val="bottom"/>
          </w:tcPr>
          <w:p>
            <w:pPr>
              <w:ind w:left="240"/>
              <w:spacing w:after="0"/>
              <w:rPr>
                <w:sz w:val="20"/>
                <w:szCs w:val="20"/>
                <w:color w:val="auto"/>
              </w:rPr>
            </w:pPr>
            <w:r>
              <w:rPr>
                <w:rFonts w:ascii="Arial" w:cs="Arial" w:eastAsia="Arial" w:hAnsi="Arial"/>
                <w:sz w:val="18"/>
                <w:szCs w:val="18"/>
                <w:color w:val="auto"/>
                <w:w w:val="94"/>
              </w:rPr>
              <w:t>Limited Liability Company Agreement of PAA GP LLC dated December 28, 2007 (incorporated by reference to Exhibit 3.3 to the</w:t>
            </w:r>
          </w:p>
        </w:tc>
      </w:tr>
      <w:tr>
        <w:trPr>
          <w:trHeight w:val="230"/>
        </w:trPr>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900" w:type="dxa"/>
            <w:vAlign w:val="bottom"/>
          </w:tcPr>
          <w:p>
            <w:pPr>
              <w:ind w:left="240"/>
              <w:spacing w:after="0"/>
              <w:rPr>
                <w:sz w:val="20"/>
                <w:szCs w:val="20"/>
                <w:color w:val="auto"/>
              </w:rPr>
            </w:pPr>
            <w:r>
              <w:rPr>
                <w:rFonts w:ascii="Arial" w:cs="Arial" w:eastAsia="Arial" w:hAnsi="Arial"/>
                <w:sz w:val="18"/>
                <w:szCs w:val="18"/>
                <w:color w:val="auto"/>
              </w:rPr>
              <w:t>Current Report on Form 8-K filed January 4, 2008).</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4.1</w:t>
            </w: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900" w:type="dxa"/>
            <w:vAlign w:val="bottom"/>
          </w:tcPr>
          <w:p>
            <w:pPr>
              <w:ind w:left="240"/>
              <w:spacing w:after="0"/>
              <w:rPr>
                <w:sz w:val="20"/>
                <w:szCs w:val="20"/>
                <w:color w:val="auto"/>
              </w:rPr>
            </w:pPr>
            <w:r>
              <w:rPr>
                <w:rFonts w:ascii="Arial" w:cs="Arial" w:eastAsia="Arial" w:hAnsi="Arial"/>
                <w:sz w:val="18"/>
                <w:szCs w:val="18"/>
                <w:color w:val="auto"/>
                <w:w w:val="93"/>
              </w:rPr>
              <w:t>Indenture dated September 25, 2002 among Plains All American Pipeline, L.P., PAA Finance Corp. and Wachovia Bank, National</w:t>
            </w:r>
          </w:p>
        </w:tc>
      </w:tr>
      <w:tr>
        <w:trPr>
          <w:trHeight w:val="216"/>
        </w:trPr>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900" w:type="dxa"/>
            <w:vAlign w:val="bottom"/>
          </w:tcPr>
          <w:p>
            <w:pPr>
              <w:ind w:left="240"/>
              <w:spacing w:after="0"/>
              <w:rPr>
                <w:sz w:val="20"/>
                <w:szCs w:val="20"/>
                <w:color w:val="auto"/>
              </w:rPr>
            </w:pPr>
            <w:r>
              <w:rPr>
                <w:rFonts w:ascii="Arial" w:cs="Arial" w:eastAsia="Arial" w:hAnsi="Arial"/>
                <w:sz w:val="18"/>
                <w:szCs w:val="18"/>
                <w:color w:val="auto"/>
                <w:w w:val="97"/>
              </w:rPr>
              <w:t>Association, as trustee (incorporated by reference to Exhibit 4.1 to the Quarterly Report on Form 10-Q for the quarter ended</w:t>
            </w:r>
          </w:p>
        </w:tc>
      </w:tr>
      <w:tr>
        <w:trPr>
          <w:trHeight w:val="230"/>
        </w:trPr>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900" w:type="dxa"/>
            <w:vAlign w:val="bottom"/>
          </w:tcPr>
          <w:p>
            <w:pPr>
              <w:ind w:left="240"/>
              <w:spacing w:after="0"/>
              <w:rPr>
                <w:sz w:val="20"/>
                <w:szCs w:val="20"/>
                <w:color w:val="auto"/>
              </w:rPr>
            </w:pPr>
            <w:r>
              <w:rPr>
                <w:rFonts w:ascii="Arial" w:cs="Arial" w:eastAsia="Arial" w:hAnsi="Arial"/>
                <w:sz w:val="18"/>
                <w:szCs w:val="18"/>
                <w:color w:val="auto"/>
              </w:rPr>
              <w:t>September 30, 2002).</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4.2</w:t>
            </w: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900" w:type="dxa"/>
            <w:vAlign w:val="bottom"/>
          </w:tcPr>
          <w:p>
            <w:pPr>
              <w:ind w:left="240"/>
              <w:spacing w:after="0"/>
              <w:rPr>
                <w:sz w:val="20"/>
                <w:szCs w:val="20"/>
                <w:color w:val="auto"/>
              </w:rPr>
            </w:pPr>
            <w:r>
              <w:rPr>
                <w:rFonts w:ascii="Arial" w:cs="Arial" w:eastAsia="Arial" w:hAnsi="Arial"/>
                <w:sz w:val="18"/>
                <w:szCs w:val="18"/>
                <w:color w:val="auto"/>
              </w:rPr>
              <w:t>Fourth Supplemental Indenture (Series A and Series B 5.875% Senior Notes due 2016) dated August 12, 2004</w:t>
            </w:r>
          </w:p>
        </w:tc>
      </w:tr>
      <w:tr>
        <w:trPr>
          <w:trHeight w:val="216"/>
        </w:trPr>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900" w:type="dxa"/>
            <w:vAlign w:val="bottom"/>
          </w:tcPr>
          <w:p>
            <w:pPr>
              <w:ind w:left="240"/>
              <w:spacing w:after="0"/>
              <w:rPr>
                <w:sz w:val="20"/>
                <w:szCs w:val="20"/>
                <w:color w:val="auto"/>
              </w:rPr>
            </w:pPr>
            <w:r>
              <w:rPr>
                <w:rFonts w:ascii="Arial" w:cs="Arial" w:eastAsia="Arial" w:hAnsi="Arial"/>
                <w:sz w:val="18"/>
                <w:szCs w:val="18"/>
                <w:color w:val="auto"/>
                <w:w w:val="96"/>
              </w:rPr>
              <w:t>among Plains All American Pipeline, L.P., PAA Finance Corp., the Subsidiary Guarantors named therein and Wachovia Bank,</w:t>
            </w:r>
          </w:p>
        </w:tc>
      </w:tr>
      <w:tr>
        <w:trPr>
          <w:trHeight w:val="216"/>
        </w:trPr>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900" w:type="dxa"/>
            <w:vAlign w:val="bottom"/>
          </w:tcPr>
          <w:p>
            <w:pPr>
              <w:ind w:left="240"/>
              <w:spacing w:after="0"/>
              <w:rPr>
                <w:sz w:val="20"/>
                <w:szCs w:val="20"/>
                <w:color w:val="auto"/>
              </w:rPr>
            </w:pPr>
            <w:r>
              <w:rPr>
                <w:rFonts w:ascii="Arial" w:cs="Arial" w:eastAsia="Arial" w:hAnsi="Arial"/>
                <w:sz w:val="18"/>
                <w:szCs w:val="18"/>
                <w:color w:val="auto"/>
                <w:w w:val="93"/>
              </w:rPr>
              <w:t>National Association, as trustee (incorporated by reference to Exhibit 4.5 to the Registration Statement on Form S-4, File No. 333-</w:t>
            </w:r>
          </w:p>
        </w:tc>
      </w:tr>
      <w:tr>
        <w:trPr>
          <w:trHeight w:val="230"/>
        </w:trPr>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900" w:type="dxa"/>
            <w:vAlign w:val="bottom"/>
          </w:tcPr>
          <w:p>
            <w:pPr>
              <w:ind w:left="240"/>
              <w:spacing w:after="0"/>
              <w:rPr>
                <w:sz w:val="20"/>
                <w:szCs w:val="20"/>
                <w:color w:val="auto"/>
              </w:rPr>
            </w:pPr>
            <w:r>
              <w:rPr>
                <w:rFonts w:ascii="Arial" w:cs="Arial" w:eastAsia="Arial" w:hAnsi="Arial"/>
                <w:sz w:val="18"/>
                <w:szCs w:val="18"/>
                <w:color w:val="auto"/>
              </w:rPr>
              <w:t>121168).</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4.3</w:t>
            </w: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900" w:type="dxa"/>
            <w:vAlign w:val="bottom"/>
          </w:tcPr>
          <w:p>
            <w:pPr>
              <w:ind w:left="240"/>
              <w:spacing w:after="0"/>
              <w:rPr>
                <w:sz w:val="20"/>
                <w:szCs w:val="20"/>
                <w:color w:val="auto"/>
              </w:rPr>
            </w:pPr>
            <w:r>
              <w:rPr>
                <w:rFonts w:ascii="Arial" w:cs="Arial" w:eastAsia="Arial" w:hAnsi="Arial"/>
                <w:sz w:val="18"/>
                <w:szCs w:val="18"/>
                <w:color w:val="auto"/>
                <w:w w:val="91"/>
              </w:rPr>
              <w:t>Fifth Supplemental Indenture (Series A and Series B 5.25% Senior Notes due 2015) dated May 27, 2005 among Plains All American</w:t>
            </w:r>
          </w:p>
        </w:tc>
      </w:tr>
      <w:tr>
        <w:trPr>
          <w:trHeight w:val="216"/>
        </w:trPr>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900" w:type="dxa"/>
            <w:vAlign w:val="bottom"/>
          </w:tcPr>
          <w:p>
            <w:pPr>
              <w:ind w:left="240"/>
              <w:spacing w:after="0"/>
              <w:rPr>
                <w:sz w:val="20"/>
                <w:szCs w:val="20"/>
                <w:color w:val="auto"/>
              </w:rPr>
            </w:pPr>
            <w:r>
              <w:rPr>
                <w:rFonts w:ascii="Arial" w:cs="Arial" w:eastAsia="Arial" w:hAnsi="Arial"/>
                <w:sz w:val="18"/>
                <w:szCs w:val="18"/>
                <w:color w:val="auto"/>
                <w:w w:val="93"/>
              </w:rPr>
              <w:t>Pipeline, L.P., PAA Finance Corp., the Subsidiary Guarantors named therein and Wachovia Bank, National Association, as trustee</w:t>
            </w:r>
          </w:p>
        </w:tc>
      </w:tr>
      <w:tr>
        <w:trPr>
          <w:trHeight w:val="230"/>
        </w:trPr>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900" w:type="dxa"/>
            <w:vAlign w:val="bottom"/>
          </w:tcPr>
          <w:p>
            <w:pPr>
              <w:ind w:left="240"/>
              <w:spacing w:after="0"/>
              <w:rPr>
                <w:sz w:val="20"/>
                <w:szCs w:val="20"/>
                <w:color w:val="auto"/>
              </w:rPr>
            </w:pPr>
            <w:r>
              <w:rPr>
                <w:rFonts w:ascii="Arial" w:cs="Arial" w:eastAsia="Arial" w:hAnsi="Arial"/>
                <w:sz w:val="18"/>
                <w:szCs w:val="18"/>
                <w:color w:val="auto"/>
              </w:rPr>
              <w:t>(incorporated by reference to Exhibit 4.1 to the Current Report on Form 8-K filed May 31, 2005).</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4.4</w:t>
            </w: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900" w:type="dxa"/>
            <w:vAlign w:val="bottom"/>
          </w:tcPr>
          <w:p>
            <w:pPr>
              <w:ind w:left="240"/>
              <w:spacing w:after="0"/>
              <w:rPr>
                <w:sz w:val="20"/>
                <w:szCs w:val="20"/>
                <w:color w:val="auto"/>
              </w:rPr>
            </w:pPr>
            <w:r>
              <w:rPr>
                <w:rFonts w:ascii="Arial" w:cs="Arial" w:eastAsia="Arial" w:hAnsi="Arial"/>
                <w:sz w:val="18"/>
                <w:szCs w:val="18"/>
                <w:color w:val="auto"/>
                <w:w w:val="91"/>
              </w:rPr>
              <w:t>Sixth Supplemental Indenture (Series A and Series B 6.70% Senior Notes due 2036) dated May 12, 2006 among Plains All American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-2856865</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-2856865</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57" w:orient="portrait"/>
          <w:cols w:equalWidth="0" w:num="1">
            <w:col w:w="11460"/>
          </w:cols>
          <w:pgMar w:left="240" w:top="351" w:right="199" w:bottom="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900" w:type="dxa"/>
            <w:vAlign w:val="bottom"/>
          </w:tcPr>
          <w:p>
            <w:pPr>
              <w:ind w:left="240"/>
              <w:spacing w:after="0"/>
              <w:rPr>
                <w:sz w:val="20"/>
                <w:szCs w:val="20"/>
                <w:color w:val="auto"/>
              </w:rPr>
            </w:pPr>
            <w:r>
              <w:rPr>
                <w:rFonts w:ascii="Arial" w:cs="Arial" w:eastAsia="Arial" w:hAnsi="Arial"/>
                <w:sz w:val="18"/>
                <w:szCs w:val="18"/>
                <w:color w:val="auto"/>
                <w:w w:val="93"/>
              </w:rPr>
              <w:t>Pipeline, L.P., PAA Finance Corp., the Subsidiary Guarantors named therein and Wachovia Bank, National Association, as trustee</w:t>
            </w:r>
          </w:p>
        </w:tc>
      </w:tr>
      <w:tr>
        <w:trPr>
          <w:trHeight w:val="230"/>
        </w:trPr>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900" w:type="dxa"/>
            <w:vAlign w:val="bottom"/>
          </w:tcPr>
          <w:p>
            <w:pPr>
              <w:ind w:left="240"/>
              <w:spacing w:after="0"/>
              <w:rPr>
                <w:sz w:val="20"/>
                <w:szCs w:val="20"/>
                <w:color w:val="auto"/>
              </w:rPr>
            </w:pPr>
            <w:r>
              <w:rPr>
                <w:rFonts w:ascii="Arial" w:cs="Arial" w:eastAsia="Arial" w:hAnsi="Arial"/>
                <w:sz w:val="18"/>
                <w:szCs w:val="18"/>
                <w:color w:val="auto"/>
              </w:rPr>
              <w:t>(incorporated by reference to Exhibit 4.1 to the Current Report on Form 8-K filed May 12, 2006).</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4.5</w:t>
            </w:r>
          </w:p>
        </w:tc>
        <w:tc>
          <w:tcPr>
            <w:tcW w:w="820" w:type="dxa"/>
            <w:vAlign w:val="bottom"/>
          </w:tcPr>
          <w:p>
            <w:pPr>
              <w:ind w:left="420"/>
              <w:spacing w:after="0"/>
              <w:rPr>
                <w:sz w:val="20"/>
                <w:szCs w:val="20"/>
                <w:color w:val="auto"/>
              </w:rPr>
            </w:pPr>
            <w:r>
              <w:rPr>
                <w:rFonts w:ascii="Arial" w:cs="Arial" w:eastAsia="Arial" w:hAnsi="Arial"/>
                <w:sz w:val="18"/>
                <w:szCs w:val="18"/>
                <w:color w:val="auto"/>
              </w:rPr>
              <w:t>—</w:t>
            </w:r>
          </w:p>
        </w:tc>
        <w:tc>
          <w:tcPr>
            <w:tcW w:w="9900" w:type="dxa"/>
            <w:vAlign w:val="bottom"/>
          </w:tcPr>
          <w:p>
            <w:pPr>
              <w:ind w:left="240"/>
              <w:spacing w:after="0"/>
              <w:rPr>
                <w:sz w:val="20"/>
                <w:szCs w:val="20"/>
                <w:color w:val="auto"/>
              </w:rPr>
            </w:pPr>
            <w:r>
              <w:rPr>
                <w:rFonts w:ascii="Arial" w:cs="Arial" w:eastAsia="Arial" w:hAnsi="Arial"/>
                <w:sz w:val="18"/>
                <w:szCs w:val="18"/>
                <w:color w:val="auto"/>
                <w:w w:val="94"/>
              </w:rPr>
              <w:t>Ninth Supplemental Indenture (Series A and Series B 6.125% Senior Notes due 2017) dated October 30, 2006 among Plains All</w:t>
            </w:r>
          </w:p>
        </w:tc>
      </w:tr>
      <w:tr>
        <w:trPr>
          <w:trHeight w:val="216"/>
        </w:trPr>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900" w:type="dxa"/>
            <w:vAlign w:val="bottom"/>
          </w:tcPr>
          <w:p>
            <w:pPr>
              <w:ind w:left="240"/>
              <w:spacing w:after="0"/>
              <w:rPr>
                <w:sz w:val="20"/>
                <w:szCs w:val="20"/>
                <w:color w:val="auto"/>
              </w:rPr>
            </w:pPr>
            <w:r>
              <w:rPr>
                <w:rFonts w:ascii="Arial" w:cs="Arial" w:eastAsia="Arial" w:hAnsi="Arial"/>
                <w:sz w:val="18"/>
                <w:szCs w:val="18"/>
                <w:color w:val="auto"/>
                <w:w w:val="95"/>
              </w:rPr>
              <w:t>American Pipeline, L.P., PAA Finance Corp., the Subsidiary Guarantors named therein and U.S. Bank National Association, as</w:t>
            </w:r>
          </w:p>
        </w:tc>
      </w:tr>
      <w:tr>
        <w:trPr>
          <w:trHeight w:val="230"/>
        </w:trPr>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900" w:type="dxa"/>
            <w:vAlign w:val="bottom"/>
          </w:tcPr>
          <w:p>
            <w:pPr>
              <w:ind w:left="240"/>
              <w:spacing w:after="0"/>
              <w:rPr>
                <w:sz w:val="20"/>
                <w:szCs w:val="20"/>
                <w:color w:val="auto"/>
              </w:rPr>
            </w:pPr>
            <w:r>
              <w:rPr>
                <w:rFonts w:ascii="Arial" w:cs="Arial" w:eastAsia="Arial" w:hAnsi="Arial"/>
                <w:sz w:val="18"/>
                <w:szCs w:val="18"/>
                <w:color w:val="auto"/>
              </w:rPr>
              <w:t>trustee (incorporated by reference to Exhibit 4.1 to the Current Report on Form 8-K filed October 30, 2006).</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4.6</w:t>
            </w:r>
          </w:p>
        </w:tc>
        <w:tc>
          <w:tcPr>
            <w:tcW w:w="820" w:type="dxa"/>
            <w:vAlign w:val="bottom"/>
          </w:tcPr>
          <w:p>
            <w:pPr>
              <w:ind w:left="420"/>
              <w:spacing w:after="0"/>
              <w:rPr>
                <w:sz w:val="20"/>
                <w:szCs w:val="20"/>
                <w:color w:val="auto"/>
              </w:rPr>
            </w:pPr>
            <w:r>
              <w:rPr>
                <w:rFonts w:ascii="Arial" w:cs="Arial" w:eastAsia="Arial" w:hAnsi="Arial"/>
                <w:sz w:val="18"/>
                <w:szCs w:val="18"/>
                <w:color w:val="auto"/>
              </w:rPr>
              <w:t>—</w:t>
            </w:r>
          </w:p>
        </w:tc>
        <w:tc>
          <w:tcPr>
            <w:tcW w:w="9900" w:type="dxa"/>
            <w:vAlign w:val="bottom"/>
          </w:tcPr>
          <w:p>
            <w:pPr>
              <w:ind w:left="240"/>
              <w:spacing w:after="0"/>
              <w:rPr>
                <w:sz w:val="20"/>
                <w:szCs w:val="20"/>
                <w:color w:val="auto"/>
              </w:rPr>
            </w:pPr>
            <w:r>
              <w:rPr>
                <w:rFonts w:ascii="Arial" w:cs="Arial" w:eastAsia="Arial" w:hAnsi="Arial"/>
                <w:sz w:val="18"/>
                <w:szCs w:val="18"/>
                <w:color w:val="auto"/>
                <w:w w:val="94"/>
              </w:rPr>
              <w:t>Tenth Supplemental Indenture (Series A and Series B 6.650% Senior Notes due 2037) dated October 30, 2006 among Plains All</w:t>
            </w:r>
          </w:p>
        </w:tc>
      </w:tr>
      <w:tr>
        <w:trPr>
          <w:trHeight w:val="216"/>
        </w:trPr>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900" w:type="dxa"/>
            <w:vAlign w:val="bottom"/>
          </w:tcPr>
          <w:p>
            <w:pPr>
              <w:ind w:left="240"/>
              <w:spacing w:after="0"/>
              <w:rPr>
                <w:sz w:val="20"/>
                <w:szCs w:val="20"/>
                <w:color w:val="auto"/>
              </w:rPr>
            </w:pPr>
            <w:r>
              <w:rPr>
                <w:rFonts w:ascii="Arial" w:cs="Arial" w:eastAsia="Arial" w:hAnsi="Arial"/>
                <w:sz w:val="18"/>
                <w:szCs w:val="18"/>
                <w:color w:val="auto"/>
                <w:w w:val="95"/>
              </w:rPr>
              <w:t>American Pipeline, L.P., PAA Finance Corp., the Subsidiary Guarantors named therein and U.S. Bank National Association, as</w:t>
            </w:r>
          </w:p>
        </w:tc>
      </w:tr>
      <w:tr>
        <w:trPr>
          <w:trHeight w:val="230"/>
        </w:trPr>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900" w:type="dxa"/>
            <w:vAlign w:val="bottom"/>
          </w:tcPr>
          <w:p>
            <w:pPr>
              <w:ind w:left="240"/>
              <w:spacing w:after="0"/>
              <w:rPr>
                <w:sz w:val="20"/>
                <w:szCs w:val="20"/>
                <w:color w:val="auto"/>
              </w:rPr>
            </w:pPr>
            <w:r>
              <w:rPr>
                <w:rFonts w:ascii="Arial" w:cs="Arial" w:eastAsia="Arial" w:hAnsi="Arial"/>
                <w:sz w:val="18"/>
                <w:szCs w:val="18"/>
                <w:color w:val="auto"/>
              </w:rPr>
              <w:t>trustee (incorporated by reference to Exhibit 4.2 to the Current Report on Form 8-K filed October 30, 2006).</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4.7</w:t>
            </w:r>
          </w:p>
        </w:tc>
        <w:tc>
          <w:tcPr>
            <w:tcW w:w="820" w:type="dxa"/>
            <w:vAlign w:val="bottom"/>
          </w:tcPr>
          <w:p>
            <w:pPr>
              <w:ind w:left="420"/>
              <w:spacing w:after="0"/>
              <w:rPr>
                <w:sz w:val="20"/>
                <w:szCs w:val="20"/>
                <w:color w:val="auto"/>
              </w:rPr>
            </w:pPr>
            <w:r>
              <w:rPr>
                <w:rFonts w:ascii="Arial" w:cs="Arial" w:eastAsia="Arial" w:hAnsi="Arial"/>
                <w:sz w:val="18"/>
                <w:szCs w:val="18"/>
                <w:color w:val="auto"/>
              </w:rPr>
              <w:t>—</w:t>
            </w:r>
          </w:p>
        </w:tc>
        <w:tc>
          <w:tcPr>
            <w:tcW w:w="9900" w:type="dxa"/>
            <w:vAlign w:val="bottom"/>
          </w:tcPr>
          <w:p>
            <w:pPr>
              <w:ind w:left="240"/>
              <w:spacing w:after="0"/>
              <w:rPr>
                <w:sz w:val="20"/>
                <w:szCs w:val="20"/>
                <w:color w:val="auto"/>
              </w:rPr>
            </w:pPr>
            <w:r>
              <w:rPr>
                <w:rFonts w:ascii="Arial" w:cs="Arial" w:eastAsia="Arial" w:hAnsi="Arial"/>
                <w:sz w:val="18"/>
                <w:szCs w:val="18"/>
                <w:color w:val="auto"/>
                <w:w w:val="95"/>
              </w:rPr>
              <w:t>Thirteenth Supplemental Indenture (Series A and Series B 6.5% Senior Notes due 2018) dated April 23, 2008 among Plains All</w:t>
            </w:r>
          </w:p>
        </w:tc>
      </w:tr>
      <w:tr>
        <w:trPr>
          <w:trHeight w:val="216"/>
        </w:trPr>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900" w:type="dxa"/>
            <w:vAlign w:val="bottom"/>
          </w:tcPr>
          <w:p>
            <w:pPr>
              <w:ind w:left="240"/>
              <w:spacing w:after="0"/>
              <w:rPr>
                <w:sz w:val="20"/>
                <w:szCs w:val="20"/>
                <w:color w:val="auto"/>
              </w:rPr>
            </w:pPr>
            <w:r>
              <w:rPr>
                <w:rFonts w:ascii="Arial" w:cs="Arial" w:eastAsia="Arial" w:hAnsi="Arial"/>
                <w:sz w:val="18"/>
                <w:szCs w:val="18"/>
                <w:color w:val="auto"/>
                <w:w w:val="95"/>
              </w:rPr>
              <w:t>American Pipeline, L.P., PAA Finance Corp., the Subsidiary Guarantors named therein and U.S. Bank National Association, as</w:t>
            </w:r>
          </w:p>
        </w:tc>
      </w:tr>
      <w:tr>
        <w:trPr>
          <w:trHeight w:val="230"/>
        </w:trPr>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900" w:type="dxa"/>
            <w:vAlign w:val="bottom"/>
          </w:tcPr>
          <w:p>
            <w:pPr>
              <w:ind w:left="240"/>
              <w:spacing w:after="0"/>
              <w:rPr>
                <w:sz w:val="20"/>
                <w:szCs w:val="20"/>
                <w:color w:val="auto"/>
              </w:rPr>
            </w:pPr>
            <w:r>
              <w:rPr>
                <w:rFonts w:ascii="Arial" w:cs="Arial" w:eastAsia="Arial" w:hAnsi="Arial"/>
                <w:sz w:val="18"/>
                <w:szCs w:val="18"/>
                <w:color w:val="auto"/>
              </w:rPr>
              <w:t>trustee (incorporated by reference to Exhibit 4.1 to the Current Report on Form 8-K filed April 23, 2008).</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4.8</w:t>
            </w:r>
          </w:p>
        </w:tc>
        <w:tc>
          <w:tcPr>
            <w:tcW w:w="820" w:type="dxa"/>
            <w:vAlign w:val="bottom"/>
          </w:tcPr>
          <w:p>
            <w:pPr>
              <w:ind w:left="420"/>
              <w:spacing w:after="0"/>
              <w:rPr>
                <w:sz w:val="20"/>
                <w:szCs w:val="20"/>
                <w:color w:val="auto"/>
              </w:rPr>
            </w:pPr>
            <w:r>
              <w:rPr>
                <w:rFonts w:ascii="Arial" w:cs="Arial" w:eastAsia="Arial" w:hAnsi="Arial"/>
                <w:sz w:val="18"/>
                <w:szCs w:val="18"/>
                <w:color w:val="auto"/>
              </w:rPr>
              <w:t>—</w:t>
            </w:r>
          </w:p>
        </w:tc>
        <w:tc>
          <w:tcPr>
            <w:tcW w:w="9900" w:type="dxa"/>
            <w:vAlign w:val="bottom"/>
          </w:tcPr>
          <w:p>
            <w:pPr>
              <w:ind w:left="240"/>
              <w:spacing w:after="0"/>
              <w:rPr>
                <w:sz w:val="20"/>
                <w:szCs w:val="20"/>
                <w:color w:val="auto"/>
              </w:rPr>
            </w:pPr>
            <w:r>
              <w:rPr>
                <w:rFonts w:ascii="Arial" w:cs="Arial" w:eastAsia="Arial" w:hAnsi="Arial"/>
                <w:sz w:val="18"/>
                <w:szCs w:val="18"/>
                <w:color w:val="auto"/>
                <w:w w:val="93"/>
              </w:rPr>
              <w:t>Fifteenth Supplemental Indenture (8.75% Senior Notes due 2019) dated April 20, 2009 among Plains All American Pipeline, L.P.,</w:t>
            </w:r>
          </w:p>
        </w:tc>
      </w:tr>
      <w:tr>
        <w:trPr>
          <w:trHeight w:val="216"/>
        </w:trPr>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900" w:type="dxa"/>
            <w:vAlign w:val="bottom"/>
          </w:tcPr>
          <w:p>
            <w:pPr>
              <w:ind w:left="240"/>
              <w:spacing w:after="0"/>
              <w:rPr>
                <w:sz w:val="20"/>
                <w:szCs w:val="20"/>
                <w:color w:val="auto"/>
              </w:rPr>
            </w:pPr>
            <w:r>
              <w:rPr>
                <w:rFonts w:ascii="Arial" w:cs="Arial" w:eastAsia="Arial" w:hAnsi="Arial"/>
                <w:sz w:val="18"/>
                <w:szCs w:val="18"/>
                <w:color w:val="auto"/>
                <w:w w:val="95"/>
              </w:rPr>
              <w:t>PAA Finance Corp., the Subsidiary Guarantors named therein and U.S. Bank National Association, as trustee (incorporated by</w:t>
            </w:r>
          </w:p>
        </w:tc>
      </w:tr>
      <w:tr>
        <w:trPr>
          <w:trHeight w:val="230"/>
        </w:trPr>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900" w:type="dxa"/>
            <w:vAlign w:val="bottom"/>
          </w:tcPr>
          <w:p>
            <w:pPr>
              <w:ind w:left="240"/>
              <w:spacing w:after="0"/>
              <w:rPr>
                <w:sz w:val="20"/>
                <w:szCs w:val="20"/>
                <w:color w:val="auto"/>
              </w:rPr>
            </w:pPr>
            <w:r>
              <w:rPr>
                <w:rFonts w:ascii="Arial" w:cs="Arial" w:eastAsia="Arial" w:hAnsi="Arial"/>
                <w:sz w:val="18"/>
                <w:szCs w:val="18"/>
                <w:color w:val="auto"/>
              </w:rPr>
              <w:t>reference to Exhibit 4.1 to the Current Report on Form 8-K filed April 20, 2009).</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4.9</w:t>
            </w:r>
          </w:p>
        </w:tc>
        <w:tc>
          <w:tcPr>
            <w:tcW w:w="820" w:type="dxa"/>
            <w:vAlign w:val="bottom"/>
          </w:tcPr>
          <w:p>
            <w:pPr>
              <w:ind w:left="420"/>
              <w:spacing w:after="0"/>
              <w:rPr>
                <w:sz w:val="20"/>
                <w:szCs w:val="20"/>
                <w:color w:val="auto"/>
              </w:rPr>
            </w:pPr>
            <w:r>
              <w:rPr>
                <w:rFonts w:ascii="Arial" w:cs="Arial" w:eastAsia="Arial" w:hAnsi="Arial"/>
                <w:sz w:val="18"/>
                <w:szCs w:val="18"/>
                <w:color w:val="auto"/>
              </w:rPr>
              <w:t>—</w:t>
            </w:r>
          </w:p>
        </w:tc>
        <w:tc>
          <w:tcPr>
            <w:tcW w:w="9900" w:type="dxa"/>
            <w:vAlign w:val="bottom"/>
          </w:tcPr>
          <w:p>
            <w:pPr>
              <w:ind w:left="240"/>
              <w:spacing w:after="0"/>
              <w:rPr>
                <w:sz w:val="20"/>
                <w:szCs w:val="20"/>
                <w:color w:val="auto"/>
              </w:rPr>
            </w:pPr>
            <w:r>
              <w:rPr>
                <w:rFonts w:ascii="Arial" w:cs="Arial" w:eastAsia="Arial" w:hAnsi="Arial"/>
                <w:sz w:val="18"/>
                <w:szCs w:val="18"/>
                <w:color w:val="auto"/>
                <w:w w:val="91"/>
              </w:rPr>
              <w:t>Seventeenth Supplemental Indenture (5.75% Senior Notes due 2020) dated September 4, 2009 among Plains All American Pipeline,</w:t>
            </w:r>
          </w:p>
        </w:tc>
      </w:tr>
      <w:tr>
        <w:trPr>
          <w:trHeight w:val="216"/>
        </w:trPr>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900" w:type="dxa"/>
            <w:vAlign w:val="bottom"/>
          </w:tcPr>
          <w:p>
            <w:pPr>
              <w:ind w:left="240"/>
              <w:spacing w:after="0"/>
              <w:rPr>
                <w:sz w:val="20"/>
                <w:szCs w:val="20"/>
                <w:color w:val="auto"/>
              </w:rPr>
            </w:pPr>
            <w:r>
              <w:rPr>
                <w:rFonts w:ascii="Arial" w:cs="Arial" w:eastAsia="Arial" w:hAnsi="Arial"/>
                <w:sz w:val="18"/>
                <w:szCs w:val="18"/>
                <w:color w:val="auto"/>
                <w:w w:val="91"/>
              </w:rPr>
              <w:t>L.P., PAA Finance Corp., the Subsidiary Guarantors named therein and U.S. Bank National Association, as trustee (incorporated by</w:t>
            </w:r>
          </w:p>
        </w:tc>
      </w:tr>
      <w:tr>
        <w:trPr>
          <w:trHeight w:val="230"/>
        </w:trPr>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900" w:type="dxa"/>
            <w:vAlign w:val="bottom"/>
          </w:tcPr>
          <w:p>
            <w:pPr>
              <w:ind w:left="240"/>
              <w:spacing w:after="0"/>
              <w:rPr>
                <w:sz w:val="20"/>
                <w:szCs w:val="20"/>
                <w:color w:val="auto"/>
              </w:rPr>
            </w:pPr>
            <w:r>
              <w:rPr>
                <w:rFonts w:ascii="Arial" w:cs="Arial" w:eastAsia="Arial" w:hAnsi="Arial"/>
                <w:sz w:val="18"/>
                <w:szCs w:val="18"/>
                <w:color w:val="auto"/>
              </w:rPr>
              <w:t>reference to Exhibit 4.1 to the Current Report on Form 8-K filed September 4, 2009).</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4.10</w:t>
            </w:r>
          </w:p>
        </w:tc>
        <w:tc>
          <w:tcPr>
            <w:tcW w:w="820" w:type="dxa"/>
            <w:vAlign w:val="bottom"/>
          </w:tcPr>
          <w:p>
            <w:pPr>
              <w:ind w:left="420"/>
              <w:spacing w:after="0"/>
              <w:rPr>
                <w:sz w:val="20"/>
                <w:szCs w:val="20"/>
                <w:color w:val="auto"/>
              </w:rPr>
            </w:pPr>
            <w:r>
              <w:rPr>
                <w:rFonts w:ascii="Arial" w:cs="Arial" w:eastAsia="Arial" w:hAnsi="Arial"/>
                <w:sz w:val="18"/>
                <w:szCs w:val="18"/>
                <w:color w:val="auto"/>
              </w:rPr>
              <w:t>—</w:t>
            </w:r>
          </w:p>
        </w:tc>
        <w:tc>
          <w:tcPr>
            <w:tcW w:w="9900" w:type="dxa"/>
            <w:vAlign w:val="bottom"/>
          </w:tcPr>
          <w:p>
            <w:pPr>
              <w:ind w:left="240"/>
              <w:spacing w:after="0"/>
              <w:rPr>
                <w:sz w:val="20"/>
                <w:szCs w:val="20"/>
                <w:color w:val="auto"/>
              </w:rPr>
            </w:pPr>
            <w:r>
              <w:rPr>
                <w:rFonts w:ascii="Arial" w:cs="Arial" w:eastAsia="Arial" w:hAnsi="Arial"/>
                <w:sz w:val="18"/>
                <w:szCs w:val="18"/>
                <w:color w:val="auto"/>
                <w:w w:val="92"/>
              </w:rPr>
              <w:t>Eighteenth Supplemental Indenture (3.95% Senior Notes due 2015) dated July 14, 2010 among Plains All American Pipeline, L.P.,</w:t>
            </w:r>
          </w:p>
        </w:tc>
      </w:tr>
      <w:tr>
        <w:trPr>
          <w:trHeight w:val="216"/>
        </w:trPr>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900" w:type="dxa"/>
            <w:vAlign w:val="bottom"/>
          </w:tcPr>
          <w:p>
            <w:pPr>
              <w:ind w:left="240"/>
              <w:spacing w:after="0"/>
              <w:rPr>
                <w:sz w:val="20"/>
                <w:szCs w:val="20"/>
                <w:color w:val="auto"/>
              </w:rPr>
            </w:pPr>
            <w:r>
              <w:rPr>
                <w:rFonts w:ascii="Arial" w:cs="Arial" w:eastAsia="Arial" w:hAnsi="Arial"/>
                <w:sz w:val="18"/>
                <w:szCs w:val="18"/>
                <w:color w:val="auto"/>
                <w:w w:val="95"/>
              </w:rPr>
              <w:t>PAA Finance Corp., the Subsidiary Guarantors named therein and U.S. Bank National Association, as trustee (incorporated by</w:t>
            </w:r>
          </w:p>
        </w:tc>
      </w:tr>
      <w:tr>
        <w:trPr>
          <w:trHeight w:val="230"/>
        </w:trPr>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900" w:type="dxa"/>
            <w:vAlign w:val="bottom"/>
          </w:tcPr>
          <w:p>
            <w:pPr>
              <w:ind w:left="240"/>
              <w:spacing w:after="0"/>
              <w:rPr>
                <w:sz w:val="20"/>
                <w:szCs w:val="20"/>
                <w:color w:val="auto"/>
              </w:rPr>
            </w:pPr>
            <w:r>
              <w:rPr>
                <w:rFonts w:ascii="Arial" w:cs="Arial" w:eastAsia="Arial" w:hAnsi="Arial"/>
                <w:sz w:val="18"/>
                <w:szCs w:val="18"/>
                <w:color w:val="auto"/>
              </w:rPr>
              <w:t>reference to Exhibit 4.1 to the Current Report on Form 8-K filed July 13, 2010).</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4.11</w:t>
            </w:r>
          </w:p>
        </w:tc>
        <w:tc>
          <w:tcPr>
            <w:tcW w:w="820" w:type="dxa"/>
            <w:vAlign w:val="bottom"/>
          </w:tcPr>
          <w:p>
            <w:pPr>
              <w:ind w:left="420"/>
              <w:spacing w:after="0"/>
              <w:rPr>
                <w:sz w:val="20"/>
                <w:szCs w:val="20"/>
                <w:color w:val="auto"/>
              </w:rPr>
            </w:pPr>
            <w:r>
              <w:rPr>
                <w:rFonts w:ascii="Arial" w:cs="Arial" w:eastAsia="Arial" w:hAnsi="Arial"/>
                <w:sz w:val="18"/>
                <w:szCs w:val="18"/>
                <w:color w:val="auto"/>
              </w:rPr>
              <w:t>—</w:t>
            </w:r>
          </w:p>
        </w:tc>
        <w:tc>
          <w:tcPr>
            <w:tcW w:w="9900" w:type="dxa"/>
            <w:vAlign w:val="bottom"/>
          </w:tcPr>
          <w:p>
            <w:pPr>
              <w:ind w:left="240"/>
              <w:spacing w:after="0"/>
              <w:rPr>
                <w:sz w:val="20"/>
                <w:szCs w:val="20"/>
                <w:color w:val="auto"/>
              </w:rPr>
            </w:pPr>
            <w:r>
              <w:rPr>
                <w:rFonts w:ascii="Arial" w:cs="Arial" w:eastAsia="Arial" w:hAnsi="Arial"/>
                <w:sz w:val="18"/>
                <w:szCs w:val="18"/>
                <w:color w:val="auto"/>
                <w:w w:val="93"/>
              </w:rPr>
              <w:t>Nineteenth Supplemental Indenture (5.00% Senior Notes due 2021) dated January 14, 2011 among Plains All American Pipeline,</w:t>
            </w:r>
          </w:p>
        </w:tc>
      </w:tr>
      <w:tr>
        <w:trPr>
          <w:trHeight w:val="216"/>
        </w:trPr>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900" w:type="dxa"/>
            <w:vAlign w:val="bottom"/>
          </w:tcPr>
          <w:p>
            <w:pPr>
              <w:ind w:left="240"/>
              <w:spacing w:after="0"/>
              <w:rPr>
                <w:sz w:val="20"/>
                <w:szCs w:val="20"/>
                <w:color w:val="auto"/>
              </w:rPr>
            </w:pPr>
            <w:r>
              <w:rPr>
                <w:rFonts w:ascii="Arial" w:cs="Arial" w:eastAsia="Arial" w:hAnsi="Arial"/>
                <w:sz w:val="18"/>
                <w:szCs w:val="18"/>
                <w:color w:val="auto"/>
                <w:w w:val="91"/>
              </w:rPr>
              <w:t>L.P., PAA Finance Corp., the Subsidiary Guarantors named therein and U.S. Bank National Association, as trustee (incorporated by</w:t>
            </w:r>
          </w:p>
        </w:tc>
      </w:tr>
      <w:tr>
        <w:trPr>
          <w:trHeight w:val="230"/>
        </w:trPr>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900" w:type="dxa"/>
            <w:vAlign w:val="bottom"/>
          </w:tcPr>
          <w:p>
            <w:pPr>
              <w:ind w:left="240"/>
              <w:spacing w:after="0"/>
              <w:rPr>
                <w:sz w:val="20"/>
                <w:szCs w:val="20"/>
                <w:color w:val="auto"/>
              </w:rPr>
            </w:pPr>
            <w:r>
              <w:rPr>
                <w:rFonts w:ascii="Arial" w:cs="Arial" w:eastAsia="Arial" w:hAnsi="Arial"/>
                <w:sz w:val="18"/>
                <w:szCs w:val="18"/>
                <w:color w:val="auto"/>
              </w:rPr>
              <w:t>reference to Exhibit 4.1 to the Current Report on Form 8-K filed January 11, 2011).</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4.12</w:t>
            </w:r>
          </w:p>
        </w:tc>
        <w:tc>
          <w:tcPr>
            <w:tcW w:w="820" w:type="dxa"/>
            <w:vAlign w:val="bottom"/>
          </w:tcPr>
          <w:p>
            <w:pPr>
              <w:ind w:left="420"/>
              <w:spacing w:after="0"/>
              <w:rPr>
                <w:sz w:val="20"/>
                <w:szCs w:val="20"/>
                <w:color w:val="auto"/>
              </w:rPr>
            </w:pPr>
            <w:r>
              <w:rPr>
                <w:rFonts w:ascii="Arial" w:cs="Arial" w:eastAsia="Arial" w:hAnsi="Arial"/>
                <w:sz w:val="18"/>
                <w:szCs w:val="18"/>
                <w:color w:val="auto"/>
              </w:rPr>
              <w:t>—</w:t>
            </w:r>
          </w:p>
        </w:tc>
        <w:tc>
          <w:tcPr>
            <w:tcW w:w="9900" w:type="dxa"/>
            <w:vAlign w:val="bottom"/>
          </w:tcPr>
          <w:p>
            <w:pPr>
              <w:ind w:left="240"/>
              <w:spacing w:after="0"/>
              <w:rPr>
                <w:sz w:val="20"/>
                <w:szCs w:val="20"/>
                <w:color w:val="auto"/>
              </w:rPr>
            </w:pPr>
            <w:r>
              <w:rPr>
                <w:rFonts w:ascii="Arial" w:cs="Arial" w:eastAsia="Arial" w:hAnsi="Arial"/>
                <w:sz w:val="18"/>
                <w:szCs w:val="18"/>
                <w:color w:val="auto"/>
                <w:w w:val="92"/>
              </w:rPr>
              <w:t>Twentieth Supplemental Indenture (3.65% Senior Notes due 2022) dated March 22, 2012 among Plains All American Pipeline, L.P.,</w:t>
            </w:r>
          </w:p>
        </w:tc>
      </w:tr>
      <w:tr>
        <w:trPr>
          <w:trHeight w:val="216"/>
        </w:trPr>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900" w:type="dxa"/>
            <w:vAlign w:val="bottom"/>
          </w:tcPr>
          <w:p>
            <w:pPr>
              <w:ind w:left="240"/>
              <w:spacing w:after="0"/>
              <w:rPr>
                <w:sz w:val="20"/>
                <w:szCs w:val="20"/>
                <w:color w:val="auto"/>
              </w:rPr>
            </w:pPr>
            <w:r>
              <w:rPr>
                <w:rFonts w:ascii="Arial" w:cs="Arial" w:eastAsia="Arial" w:hAnsi="Arial"/>
                <w:sz w:val="18"/>
                <w:szCs w:val="18"/>
                <w:color w:val="auto"/>
                <w:w w:val="91"/>
              </w:rPr>
              <w:t>PAA Finance Corp and U.S. Bank National Association, as trustee (incorporated by reference to Exhibit 4.1 to the Current Report on</w:t>
            </w:r>
          </w:p>
        </w:tc>
      </w:tr>
      <w:tr>
        <w:trPr>
          <w:trHeight w:val="230"/>
        </w:trPr>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900" w:type="dxa"/>
            <w:vAlign w:val="bottom"/>
          </w:tcPr>
          <w:p>
            <w:pPr>
              <w:ind w:left="240"/>
              <w:spacing w:after="0"/>
              <w:rPr>
                <w:sz w:val="20"/>
                <w:szCs w:val="20"/>
                <w:color w:val="auto"/>
              </w:rPr>
            </w:pPr>
            <w:r>
              <w:rPr>
                <w:rFonts w:ascii="Arial" w:cs="Arial" w:eastAsia="Arial" w:hAnsi="Arial"/>
                <w:sz w:val="18"/>
                <w:szCs w:val="18"/>
                <w:color w:val="auto"/>
              </w:rPr>
              <w:t>Form 8-K filed March 26, 2012).</w:t>
            </w:r>
          </w:p>
        </w:tc>
      </w:tr>
      <w:tr>
        <w:trPr>
          <w:trHeight w:val="432"/>
        </w:trPr>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900" w:type="dxa"/>
            <w:vAlign w:val="bottom"/>
          </w:tcPr>
          <w:p>
            <w:pPr>
              <w:ind w:left="4060"/>
              <w:spacing w:after="0"/>
              <w:rPr>
                <w:sz w:val="20"/>
                <w:szCs w:val="20"/>
                <w:color w:val="auto"/>
              </w:rPr>
            </w:pPr>
            <w:r>
              <w:rPr>
                <w:rFonts w:ascii="Arial" w:cs="Arial" w:eastAsia="Arial" w:hAnsi="Arial"/>
                <w:sz w:val="18"/>
                <w:szCs w:val="18"/>
                <w:color w:val="auto"/>
              </w:rPr>
              <w:t>52</w:t>
            </w:r>
          </w:p>
        </w:tc>
      </w:tr>
      <w:tr>
        <w:trPr>
          <w:trHeight w:val="132"/>
        </w:trPr>
        <w:tc>
          <w:tcPr>
            <w:tcW w:w="74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99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200" w:right="260" w:hanging="1822"/>
        <w:spacing w:after="0" w:line="264" w:lineRule="auto"/>
        <w:tabs>
          <w:tab w:leader="none" w:pos="118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8"/>
          <w:szCs w:val="18"/>
          <w:color w:val="auto"/>
        </w:rPr>
        <w:t>— Twenty-First Supplemental Indenture (5.15% Senior Notes due 2042) dated March 22, 2012 among Plains All American Pipeline, L.P., PAA Finance Corp and U.S. Bank National Association, as trustee (incorporated by reference to Exhibit 4.3 to the Current Report on Form 8-K filed March 26, 2012).</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20"/>
                <w:szCs w:val="20"/>
                <w:color w:val="auto"/>
              </w:rPr>
            </w:pPr>
            <w:r>
              <w:rPr>
                <w:rFonts w:ascii="Arial" w:cs="Arial" w:eastAsia="Arial" w:hAnsi="Arial"/>
                <w:sz w:val="18"/>
                <w:szCs w:val="18"/>
                <w:color w:val="auto"/>
                <w:w w:val="91"/>
              </w:rPr>
              <w:t>4.14</w:t>
            </w:r>
          </w:p>
        </w:tc>
        <w:tc>
          <w:tcPr>
            <w:tcW w:w="600" w:type="dxa"/>
            <w:vAlign w:val="bottom"/>
          </w:tcPr>
          <w:p>
            <w:pPr>
              <w:spacing w:after="0"/>
              <w:rPr>
                <w:sz w:val="18"/>
                <w:szCs w:val="18"/>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w:t>
            </w:r>
          </w:p>
        </w:tc>
        <w:tc>
          <w:tcPr>
            <w:tcW w:w="9760" w:type="dxa"/>
            <w:vAlign w:val="bottom"/>
          </w:tcPr>
          <w:p>
            <w:pPr>
              <w:ind w:left="240"/>
              <w:spacing w:after="0"/>
              <w:rPr>
                <w:sz w:val="20"/>
                <w:szCs w:val="20"/>
                <w:color w:val="auto"/>
              </w:rPr>
            </w:pPr>
            <w:r>
              <w:rPr>
                <w:rFonts w:ascii="Arial" w:cs="Arial" w:eastAsia="Arial" w:hAnsi="Arial"/>
                <w:sz w:val="18"/>
                <w:szCs w:val="18"/>
                <w:color w:val="auto"/>
                <w:w w:val="95"/>
              </w:rPr>
              <w:t>Twenty-Second Supplemental Indenture (2.85% Senior Notes due 2023) dated December 10, 2012, by and among Plains All</w:t>
            </w:r>
          </w:p>
        </w:tc>
      </w:tr>
      <w:tr>
        <w:trPr>
          <w:trHeight w:val="216"/>
        </w:trPr>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760" w:type="dxa"/>
            <w:vAlign w:val="bottom"/>
          </w:tcPr>
          <w:p>
            <w:pPr>
              <w:ind w:left="240"/>
              <w:spacing w:after="0"/>
              <w:rPr>
                <w:sz w:val="20"/>
                <w:szCs w:val="20"/>
                <w:color w:val="auto"/>
              </w:rPr>
            </w:pPr>
            <w:r>
              <w:rPr>
                <w:rFonts w:ascii="Arial" w:cs="Arial" w:eastAsia="Arial" w:hAnsi="Arial"/>
                <w:sz w:val="18"/>
                <w:szCs w:val="18"/>
                <w:color w:val="auto"/>
              </w:rPr>
              <w:t>American Pipeline, L.P., PAA Finance Corp., and U.S. Bank National Association, as trustee</w:t>
            </w:r>
          </w:p>
        </w:tc>
      </w:tr>
      <w:tr>
        <w:trPr>
          <w:trHeight w:val="230"/>
        </w:trPr>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760" w:type="dxa"/>
            <w:vAlign w:val="bottom"/>
          </w:tcPr>
          <w:p>
            <w:pPr>
              <w:ind w:left="240"/>
              <w:spacing w:after="0"/>
              <w:rPr>
                <w:sz w:val="20"/>
                <w:szCs w:val="20"/>
                <w:color w:val="auto"/>
              </w:rPr>
            </w:pPr>
            <w:r>
              <w:rPr>
                <w:rFonts w:ascii="Arial" w:cs="Arial" w:eastAsia="Arial" w:hAnsi="Arial"/>
                <w:sz w:val="18"/>
                <w:szCs w:val="18"/>
                <w:color w:val="auto"/>
              </w:rPr>
              <w:t>(incorporated by reference to Exhibit 4.1 to the Current Report on Form 8-K filed December 12, 2012).</w:t>
            </w:r>
          </w:p>
        </w:tc>
      </w:tr>
      <w:tr>
        <w:trPr>
          <w:trHeight w:val="418"/>
        </w:trPr>
        <w:tc>
          <w:tcPr>
            <w:tcW w:w="340" w:type="dxa"/>
            <w:vAlign w:val="bottom"/>
          </w:tcPr>
          <w:p>
            <w:pPr>
              <w:spacing w:after="0"/>
              <w:rPr>
                <w:sz w:val="20"/>
                <w:szCs w:val="20"/>
                <w:color w:val="auto"/>
              </w:rPr>
            </w:pPr>
            <w:r>
              <w:rPr>
                <w:rFonts w:ascii="Arial" w:cs="Arial" w:eastAsia="Arial" w:hAnsi="Arial"/>
                <w:sz w:val="18"/>
                <w:szCs w:val="18"/>
                <w:color w:val="auto"/>
                <w:w w:val="91"/>
              </w:rPr>
              <w:t>4.15</w:t>
            </w:r>
          </w:p>
        </w:tc>
        <w:tc>
          <w:tcPr>
            <w:tcW w:w="600" w:type="dxa"/>
            <w:vAlign w:val="bottom"/>
          </w:tcPr>
          <w:p>
            <w:pPr>
              <w:spacing w:after="0"/>
              <w:rPr>
                <w:sz w:val="24"/>
                <w:szCs w:val="24"/>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w:t>
            </w:r>
          </w:p>
        </w:tc>
        <w:tc>
          <w:tcPr>
            <w:tcW w:w="9760" w:type="dxa"/>
            <w:vAlign w:val="bottom"/>
          </w:tcPr>
          <w:p>
            <w:pPr>
              <w:ind w:left="240"/>
              <w:spacing w:after="0"/>
              <w:rPr>
                <w:sz w:val="20"/>
                <w:szCs w:val="20"/>
                <w:color w:val="auto"/>
              </w:rPr>
            </w:pPr>
            <w:r>
              <w:rPr>
                <w:rFonts w:ascii="Arial" w:cs="Arial" w:eastAsia="Arial" w:hAnsi="Arial"/>
                <w:sz w:val="18"/>
                <w:szCs w:val="18"/>
                <w:color w:val="auto"/>
                <w:w w:val="97"/>
              </w:rPr>
              <w:t>Twenty-Third Supplemental Indenture (4.30% Senior Notes due 2043) dated December 10, 2012, by and among Plains All</w:t>
            </w:r>
          </w:p>
        </w:tc>
      </w:tr>
      <w:tr>
        <w:trPr>
          <w:trHeight w:val="216"/>
        </w:trPr>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760" w:type="dxa"/>
            <w:vAlign w:val="bottom"/>
          </w:tcPr>
          <w:p>
            <w:pPr>
              <w:ind w:left="240"/>
              <w:spacing w:after="0"/>
              <w:rPr>
                <w:sz w:val="20"/>
                <w:szCs w:val="20"/>
                <w:color w:val="auto"/>
              </w:rPr>
            </w:pPr>
            <w:r>
              <w:rPr>
                <w:rFonts w:ascii="Arial" w:cs="Arial" w:eastAsia="Arial" w:hAnsi="Arial"/>
                <w:sz w:val="18"/>
                <w:szCs w:val="18"/>
                <w:color w:val="auto"/>
                <w:w w:val="97"/>
              </w:rPr>
              <w:t>American Pipeline, L.P., PAA Finance Corp., and U.S. Bank National Association, as trustee (incorporated by reference to</w:t>
            </w:r>
          </w:p>
        </w:tc>
      </w:tr>
      <w:tr>
        <w:trPr>
          <w:trHeight w:val="230"/>
        </w:trPr>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760" w:type="dxa"/>
            <w:vAlign w:val="bottom"/>
          </w:tcPr>
          <w:p>
            <w:pPr>
              <w:ind w:left="240"/>
              <w:spacing w:after="0"/>
              <w:rPr>
                <w:sz w:val="20"/>
                <w:szCs w:val="20"/>
                <w:color w:val="auto"/>
              </w:rPr>
            </w:pPr>
            <w:r>
              <w:rPr>
                <w:rFonts w:ascii="Arial" w:cs="Arial" w:eastAsia="Arial" w:hAnsi="Arial"/>
                <w:sz w:val="18"/>
                <w:szCs w:val="18"/>
                <w:color w:val="auto"/>
              </w:rPr>
              <w:t>Exhibit 4.3 to the Current Report on Form 8-K filed December 12, 2012).</w:t>
            </w:r>
          </w:p>
        </w:tc>
      </w:tr>
      <w:tr>
        <w:trPr>
          <w:trHeight w:val="418"/>
        </w:trPr>
        <w:tc>
          <w:tcPr>
            <w:tcW w:w="340" w:type="dxa"/>
            <w:vAlign w:val="bottom"/>
          </w:tcPr>
          <w:p>
            <w:pPr>
              <w:spacing w:after="0"/>
              <w:rPr>
                <w:sz w:val="20"/>
                <w:szCs w:val="20"/>
                <w:color w:val="auto"/>
              </w:rPr>
            </w:pPr>
            <w:r>
              <w:rPr>
                <w:rFonts w:ascii="Arial" w:cs="Arial" w:eastAsia="Arial" w:hAnsi="Arial"/>
                <w:sz w:val="18"/>
                <w:szCs w:val="18"/>
                <w:color w:val="auto"/>
                <w:w w:val="91"/>
              </w:rPr>
              <w:t>4.16</w:t>
            </w:r>
          </w:p>
        </w:tc>
        <w:tc>
          <w:tcPr>
            <w:tcW w:w="600" w:type="dxa"/>
            <w:vAlign w:val="bottom"/>
          </w:tcPr>
          <w:p>
            <w:pPr>
              <w:spacing w:after="0"/>
              <w:rPr>
                <w:sz w:val="24"/>
                <w:szCs w:val="24"/>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w:t>
            </w:r>
          </w:p>
        </w:tc>
        <w:tc>
          <w:tcPr>
            <w:tcW w:w="9760" w:type="dxa"/>
            <w:vAlign w:val="bottom"/>
          </w:tcPr>
          <w:p>
            <w:pPr>
              <w:ind w:left="240"/>
              <w:spacing w:after="0"/>
              <w:rPr>
                <w:sz w:val="20"/>
                <w:szCs w:val="20"/>
                <w:color w:val="auto"/>
              </w:rPr>
            </w:pPr>
            <w:r>
              <w:rPr>
                <w:rFonts w:ascii="Arial" w:cs="Arial" w:eastAsia="Arial" w:hAnsi="Arial"/>
                <w:sz w:val="18"/>
                <w:szCs w:val="18"/>
                <w:color w:val="auto"/>
                <w:w w:val="91"/>
              </w:rPr>
              <w:t>Twenty-Fourth Supplemental Indenture (3.85% Senior Notes due 2023) dated August 15, 2013, by and among Plains All American</w:t>
            </w:r>
          </w:p>
        </w:tc>
      </w:tr>
      <w:tr>
        <w:trPr>
          <w:trHeight w:val="216"/>
        </w:trPr>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760" w:type="dxa"/>
            <w:vAlign w:val="bottom"/>
          </w:tcPr>
          <w:p>
            <w:pPr>
              <w:ind w:left="240"/>
              <w:spacing w:after="0"/>
              <w:rPr>
                <w:sz w:val="20"/>
                <w:szCs w:val="20"/>
                <w:color w:val="auto"/>
              </w:rPr>
            </w:pPr>
            <w:r>
              <w:rPr>
                <w:rFonts w:ascii="Arial" w:cs="Arial" w:eastAsia="Arial" w:hAnsi="Arial"/>
                <w:sz w:val="18"/>
                <w:szCs w:val="18"/>
                <w:color w:val="auto"/>
                <w:w w:val="92"/>
              </w:rPr>
              <w:t>Pipeline, L.P., PAA Finance Corp., and U.S. Bank National Association, as trustee (incorporated by reference to Exhibit 4.1 to the</w:t>
            </w:r>
          </w:p>
        </w:tc>
      </w:tr>
      <w:tr>
        <w:trPr>
          <w:trHeight w:val="230"/>
        </w:trPr>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760" w:type="dxa"/>
            <w:vAlign w:val="bottom"/>
          </w:tcPr>
          <w:p>
            <w:pPr>
              <w:ind w:left="240"/>
              <w:spacing w:after="0"/>
              <w:rPr>
                <w:sz w:val="20"/>
                <w:szCs w:val="20"/>
                <w:color w:val="auto"/>
              </w:rPr>
            </w:pPr>
            <w:r>
              <w:rPr>
                <w:rFonts w:ascii="Arial" w:cs="Arial" w:eastAsia="Arial" w:hAnsi="Arial"/>
                <w:sz w:val="18"/>
                <w:szCs w:val="18"/>
                <w:color w:val="auto"/>
              </w:rPr>
              <w:t>Current Report on Form 8-K filed August 15, 2013).</w:t>
            </w:r>
          </w:p>
        </w:tc>
      </w:tr>
      <w:tr>
        <w:trPr>
          <w:trHeight w:val="418"/>
        </w:trPr>
        <w:tc>
          <w:tcPr>
            <w:tcW w:w="340" w:type="dxa"/>
            <w:vAlign w:val="bottom"/>
          </w:tcPr>
          <w:p>
            <w:pPr>
              <w:spacing w:after="0"/>
              <w:rPr>
                <w:sz w:val="20"/>
                <w:szCs w:val="20"/>
                <w:color w:val="auto"/>
              </w:rPr>
            </w:pPr>
            <w:r>
              <w:rPr>
                <w:rFonts w:ascii="Arial" w:cs="Arial" w:eastAsia="Arial" w:hAnsi="Arial"/>
                <w:sz w:val="18"/>
                <w:szCs w:val="18"/>
                <w:color w:val="auto"/>
                <w:w w:val="91"/>
              </w:rPr>
              <w:t>4.17</w:t>
            </w:r>
          </w:p>
        </w:tc>
        <w:tc>
          <w:tcPr>
            <w:tcW w:w="600" w:type="dxa"/>
            <w:vAlign w:val="bottom"/>
          </w:tcPr>
          <w:p>
            <w:pPr>
              <w:spacing w:after="0"/>
              <w:rPr>
                <w:sz w:val="24"/>
                <w:szCs w:val="24"/>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w:t>
            </w:r>
          </w:p>
        </w:tc>
        <w:tc>
          <w:tcPr>
            <w:tcW w:w="9760" w:type="dxa"/>
            <w:vAlign w:val="bottom"/>
          </w:tcPr>
          <w:p>
            <w:pPr>
              <w:ind w:left="240"/>
              <w:spacing w:after="0"/>
              <w:rPr>
                <w:sz w:val="20"/>
                <w:szCs w:val="20"/>
                <w:color w:val="auto"/>
              </w:rPr>
            </w:pPr>
            <w:r>
              <w:rPr>
                <w:rFonts w:ascii="Arial" w:cs="Arial" w:eastAsia="Arial" w:hAnsi="Arial"/>
                <w:sz w:val="18"/>
                <w:szCs w:val="18"/>
                <w:color w:val="auto"/>
                <w:w w:val="94"/>
              </w:rPr>
              <w:t>Twenty-Fifth Supplemental Indenture (4.70% Senior Notes due 2044) dated April 23, 2014, by and among Plains All American</w:t>
            </w:r>
          </w:p>
        </w:tc>
      </w:tr>
      <w:tr>
        <w:trPr>
          <w:trHeight w:val="216"/>
        </w:trPr>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760" w:type="dxa"/>
            <w:vAlign w:val="bottom"/>
          </w:tcPr>
          <w:p>
            <w:pPr>
              <w:ind w:left="240"/>
              <w:spacing w:after="0"/>
              <w:rPr>
                <w:sz w:val="20"/>
                <w:szCs w:val="20"/>
                <w:color w:val="auto"/>
              </w:rPr>
            </w:pPr>
            <w:r>
              <w:rPr>
                <w:rFonts w:ascii="Arial" w:cs="Arial" w:eastAsia="Arial" w:hAnsi="Arial"/>
                <w:sz w:val="18"/>
                <w:szCs w:val="18"/>
                <w:color w:val="auto"/>
                <w:w w:val="92"/>
              </w:rPr>
              <w:t>Pipeline, L.P., PAA Finance Corp., and U.S. Bank National Association, as trustee (incorporated by reference to Exhibit 4.1 to the</w:t>
            </w:r>
          </w:p>
        </w:tc>
      </w:tr>
      <w:tr>
        <w:trPr>
          <w:trHeight w:val="230"/>
        </w:trPr>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760" w:type="dxa"/>
            <w:vAlign w:val="bottom"/>
          </w:tcPr>
          <w:p>
            <w:pPr>
              <w:ind w:left="240"/>
              <w:spacing w:after="0"/>
              <w:rPr>
                <w:sz w:val="20"/>
                <w:szCs w:val="20"/>
                <w:color w:val="auto"/>
              </w:rPr>
            </w:pPr>
            <w:r>
              <w:rPr>
                <w:rFonts w:ascii="Arial" w:cs="Arial" w:eastAsia="Arial" w:hAnsi="Arial"/>
                <w:sz w:val="18"/>
                <w:szCs w:val="18"/>
                <w:color w:val="auto"/>
              </w:rPr>
              <w:t>Current Report on Form 8-K filed April 29, 2014).</w:t>
            </w:r>
          </w:p>
        </w:tc>
      </w:tr>
      <w:tr>
        <w:trPr>
          <w:trHeight w:val="418"/>
        </w:trPr>
        <w:tc>
          <w:tcPr>
            <w:tcW w:w="340" w:type="dxa"/>
            <w:vAlign w:val="bottom"/>
          </w:tcPr>
          <w:p>
            <w:pPr>
              <w:spacing w:after="0"/>
              <w:rPr>
                <w:sz w:val="20"/>
                <w:szCs w:val="20"/>
                <w:color w:val="auto"/>
              </w:rPr>
            </w:pPr>
            <w:r>
              <w:rPr>
                <w:rFonts w:ascii="Arial" w:cs="Arial" w:eastAsia="Arial" w:hAnsi="Arial"/>
                <w:sz w:val="18"/>
                <w:szCs w:val="18"/>
                <w:color w:val="auto"/>
                <w:w w:val="91"/>
              </w:rPr>
              <w:t>4.18</w:t>
            </w:r>
          </w:p>
        </w:tc>
        <w:tc>
          <w:tcPr>
            <w:tcW w:w="600" w:type="dxa"/>
            <w:vAlign w:val="bottom"/>
          </w:tcPr>
          <w:p>
            <w:pPr>
              <w:spacing w:after="0"/>
              <w:rPr>
                <w:sz w:val="24"/>
                <w:szCs w:val="24"/>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w:t>
            </w:r>
          </w:p>
        </w:tc>
        <w:tc>
          <w:tcPr>
            <w:tcW w:w="9760" w:type="dxa"/>
            <w:vAlign w:val="bottom"/>
          </w:tcPr>
          <w:p>
            <w:pPr>
              <w:ind w:left="240"/>
              <w:spacing w:after="0"/>
              <w:rPr>
                <w:sz w:val="20"/>
                <w:szCs w:val="20"/>
                <w:color w:val="auto"/>
              </w:rPr>
            </w:pPr>
            <w:r>
              <w:rPr>
                <w:rFonts w:ascii="Arial" w:cs="Arial" w:eastAsia="Arial" w:hAnsi="Arial"/>
                <w:sz w:val="18"/>
                <w:szCs w:val="18"/>
                <w:color w:val="auto"/>
                <w:w w:val="90"/>
              </w:rPr>
              <w:t>Twenty-Sixth Supplemental Indenture (3.60% Senior Notes due 2024) dated September 9, 2014, by and among Plains All American</w:t>
            </w:r>
          </w:p>
        </w:tc>
      </w:tr>
      <w:tr>
        <w:trPr>
          <w:trHeight w:val="216"/>
        </w:trPr>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760" w:type="dxa"/>
            <w:vAlign w:val="bottom"/>
          </w:tcPr>
          <w:p>
            <w:pPr>
              <w:ind w:left="240"/>
              <w:spacing w:after="0"/>
              <w:rPr>
                <w:sz w:val="20"/>
                <w:szCs w:val="20"/>
                <w:color w:val="auto"/>
              </w:rPr>
            </w:pPr>
            <w:r>
              <w:rPr>
                <w:rFonts w:ascii="Arial" w:cs="Arial" w:eastAsia="Arial" w:hAnsi="Arial"/>
                <w:sz w:val="18"/>
                <w:szCs w:val="18"/>
                <w:color w:val="auto"/>
                <w:w w:val="92"/>
              </w:rPr>
              <w:t>Pipeline, L.P., PAA Finance Corp., and U.S. Bank National Association, as trustee (incorporated by reference to Exhibit 4.1 to the</w:t>
            </w:r>
          </w:p>
        </w:tc>
      </w:tr>
      <w:tr>
        <w:trPr>
          <w:trHeight w:val="230"/>
        </w:trPr>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760" w:type="dxa"/>
            <w:vAlign w:val="bottom"/>
          </w:tcPr>
          <w:p>
            <w:pPr>
              <w:ind w:left="240"/>
              <w:spacing w:after="0"/>
              <w:rPr>
                <w:sz w:val="20"/>
                <w:szCs w:val="20"/>
                <w:color w:val="auto"/>
              </w:rPr>
            </w:pPr>
            <w:r>
              <w:rPr>
                <w:rFonts w:ascii="Arial" w:cs="Arial" w:eastAsia="Arial" w:hAnsi="Arial"/>
                <w:sz w:val="18"/>
                <w:szCs w:val="18"/>
                <w:color w:val="auto"/>
              </w:rPr>
              <w:t>Current Report on Form 8-K filed September 11, 2014).</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w w:val="91"/>
              </w:rPr>
              <w:t>12.1</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660" w:type="dxa"/>
            <w:vAlign w:val="bottom"/>
          </w:tcPr>
          <w:p>
            <w:pPr>
              <w:ind w:left="260"/>
              <w:spacing w:after="0"/>
              <w:rPr>
                <w:sz w:val="20"/>
                <w:szCs w:val="20"/>
                <w:color w:val="auto"/>
              </w:rPr>
            </w:pPr>
            <w:r>
              <w:rPr>
                <w:rFonts w:ascii="Arial" w:cs="Arial" w:eastAsia="Arial" w:hAnsi="Arial"/>
                <w:sz w:val="18"/>
                <w:szCs w:val="18"/>
                <w:color w:val="auto"/>
              </w:rPr>
              <w:t>—</w:t>
            </w:r>
          </w:p>
        </w:tc>
        <w:tc>
          <w:tcPr>
            <w:tcW w:w="9760" w:type="dxa"/>
            <w:vAlign w:val="bottom"/>
          </w:tcPr>
          <w:p>
            <w:pPr>
              <w:ind w:left="240"/>
              <w:spacing w:after="0"/>
              <w:rPr>
                <w:sz w:val="20"/>
                <w:szCs w:val="20"/>
                <w:color w:val="auto"/>
              </w:rPr>
            </w:pPr>
            <w:r>
              <w:rPr>
                <w:rFonts w:ascii="Arial" w:cs="Arial" w:eastAsia="Arial" w:hAnsi="Arial"/>
                <w:sz w:val="18"/>
                <w:szCs w:val="18"/>
                <w:color w:val="auto"/>
              </w:rPr>
              <w:t>Computation of Ratio of Earnings to Fixed Charges</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w w:val="91"/>
              </w:rPr>
              <w:t>31.1</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660" w:type="dxa"/>
            <w:vAlign w:val="bottom"/>
          </w:tcPr>
          <w:p>
            <w:pPr>
              <w:ind w:left="260"/>
              <w:spacing w:after="0"/>
              <w:rPr>
                <w:sz w:val="20"/>
                <w:szCs w:val="20"/>
                <w:color w:val="auto"/>
              </w:rPr>
            </w:pPr>
            <w:r>
              <w:rPr>
                <w:rFonts w:ascii="Arial" w:cs="Arial" w:eastAsia="Arial" w:hAnsi="Arial"/>
                <w:sz w:val="18"/>
                <w:szCs w:val="18"/>
                <w:color w:val="auto"/>
              </w:rPr>
              <w:t>—</w:t>
            </w:r>
          </w:p>
        </w:tc>
        <w:tc>
          <w:tcPr>
            <w:tcW w:w="9760" w:type="dxa"/>
            <w:vAlign w:val="bottom"/>
          </w:tcPr>
          <w:p>
            <w:pPr>
              <w:ind w:left="240"/>
              <w:spacing w:after="0"/>
              <w:rPr>
                <w:sz w:val="20"/>
                <w:szCs w:val="20"/>
                <w:color w:val="auto"/>
              </w:rPr>
            </w:pPr>
            <w:r>
              <w:rPr>
                <w:rFonts w:ascii="Arial" w:cs="Arial" w:eastAsia="Arial" w:hAnsi="Arial"/>
                <w:sz w:val="18"/>
                <w:szCs w:val="18"/>
                <w:color w:val="auto"/>
              </w:rPr>
              <w:t>Certification of Principal Executive Officer pursuant to Exchange Act Rules 13a-14(a) and 15d-14(a).</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w w:val="91"/>
              </w:rPr>
              <w:t>31.2</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660" w:type="dxa"/>
            <w:vAlign w:val="bottom"/>
          </w:tcPr>
          <w:p>
            <w:pPr>
              <w:ind w:left="260"/>
              <w:spacing w:after="0"/>
              <w:rPr>
                <w:sz w:val="20"/>
                <w:szCs w:val="20"/>
                <w:color w:val="auto"/>
              </w:rPr>
            </w:pPr>
            <w:r>
              <w:rPr>
                <w:rFonts w:ascii="Arial" w:cs="Arial" w:eastAsia="Arial" w:hAnsi="Arial"/>
                <w:sz w:val="18"/>
                <w:szCs w:val="18"/>
                <w:color w:val="auto"/>
              </w:rPr>
              <w:t>—</w:t>
            </w:r>
          </w:p>
        </w:tc>
        <w:tc>
          <w:tcPr>
            <w:tcW w:w="9760" w:type="dxa"/>
            <w:vAlign w:val="bottom"/>
          </w:tcPr>
          <w:p>
            <w:pPr>
              <w:ind w:left="240"/>
              <w:spacing w:after="0"/>
              <w:rPr>
                <w:sz w:val="20"/>
                <w:szCs w:val="20"/>
                <w:color w:val="auto"/>
              </w:rPr>
            </w:pPr>
            <w:r>
              <w:rPr>
                <w:rFonts w:ascii="Arial" w:cs="Arial" w:eastAsia="Arial" w:hAnsi="Arial"/>
                <w:sz w:val="18"/>
                <w:szCs w:val="18"/>
                <w:color w:val="auto"/>
              </w:rPr>
              <w:t>Certification of Principal Financial Officer pursuant to Exchange Act Rules 13a-14(a) and 15d-14(a).</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w w:val="91"/>
              </w:rPr>
              <w:t>32.1</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660" w:type="dxa"/>
            <w:vAlign w:val="bottom"/>
          </w:tcPr>
          <w:p>
            <w:pPr>
              <w:ind w:left="260"/>
              <w:spacing w:after="0"/>
              <w:rPr>
                <w:sz w:val="20"/>
                <w:szCs w:val="20"/>
                <w:color w:val="auto"/>
              </w:rPr>
            </w:pPr>
            <w:r>
              <w:rPr>
                <w:rFonts w:ascii="Arial" w:cs="Arial" w:eastAsia="Arial" w:hAnsi="Arial"/>
                <w:sz w:val="18"/>
                <w:szCs w:val="18"/>
                <w:color w:val="auto"/>
              </w:rPr>
              <w:t>—</w:t>
            </w:r>
          </w:p>
        </w:tc>
        <w:tc>
          <w:tcPr>
            <w:tcW w:w="9760" w:type="dxa"/>
            <w:vAlign w:val="bottom"/>
          </w:tcPr>
          <w:p>
            <w:pPr>
              <w:ind w:left="240"/>
              <w:spacing w:after="0"/>
              <w:rPr>
                <w:sz w:val="20"/>
                <w:szCs w:val="20"/>
                <w:color w:val="auto"/>
              </w:rPr>
            </w:pPr>
            <w:r>
              <w:rPr>
                <w:rFonts w:ascii="Arial" w:cs="Arial" w:eastAsia="Arial" w:hAnsi="Arial"/>
                <w:sz w:val="18"/>
                <w:szCs w:val="18"/>
                <w:color w:val="auto"/>
              </w:rPr>
              <w:t>Certification of Principal Executive Officer pursuant to 18 U.S.C. 1350</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w w:val="91"/>
              </w:rPr>
              <w:t>32.2</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660" w:type="dxa"/>
            <w:vAlign w:val="bottom"/>
          </w:tcPr>
          <w:p>
            <w:pPr>
              <w:ind w:left="260"/>
              <w:spacing w:after="0"/>
              <w:rPr>
                <w:sz w:val="20"/>
                <w:szCs w:val="20"/>
                <w:color w:val="auto"/>
              </w:rPr>
            </w:pPr>
            <w:r>
              <w:rPr>
                <w:rFonts w:ascii="Arial" w:cs="Arial" w:eastAsia="Arial" w:hAnsi="Arial"/>
                <w:sz w:val="18"/>
                <w:szCs w:val="18"/>
                <w:color w:val="auto"/>
              </w:rPr>
              <w:t>—</w:t>
            </w:r>
          </w:p>
        </w:tc>
        <w:tc>
          <w:tcPr>
            <w:tcW w:w="9760" w:type="dxa"/>
            <w:vAlign w:val="bottom"/>
          </w:tcPr>
          <w:p>
            <w:pPr>
              <w:ind w:left="240"/>
              <w:spacing w:after="0"/>
              <w:rPr>
                <w:sz w:val="20"/>
                <w:szCs w:val="20"/>
                <w:color w:val="auto"/>
              </w:rPr>
            </w:pPr>
            <w:r>
              <w:rPr>
                <w:rFonts w:ascii="Arial" w:cs="Arial" w:eastAsia="Arial" w:hAnsi="Arial"/>
                <w:sz w:val="18"/>
                <w:szCs w:val="18"/>
                <w:color w:val="auto"/>
              </w:rPr>
              <w:t>Certification of Principal Financial Officer pursuant to 18 U.S.C. 1350</w:t>
            </w:r>
          </w:p>
        </w:tc>
      </w:tr>
      <w:tr>
        <w:trPr>
          <w:trHeight w:val="432"/>
        </w:trPr>
        <w:tc>
          <w:tcPr>
            <w:tcW w:w="9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60" w:type="dxa"/>
            <w:vAlign w:val="bottom"/>
          </w:tcPr>
          <w:p>
            <w:pPr>
              <w:ind w:left="260"/>
              <w:spacing w:after="0"/>
              <w:rPr>
                <w:sz w:val="20"/>
                <w:szCs w:val="20"/>
                <w:color w:val="auto"/>
              </w:rPr>
            </w:pPr>
            <w:r>
              <w:rPr>
                <w:rFonts w:ascii="Arial" w:cs="Arial" w:eastAsia="Arial" w:hAnsi="Arial"/>
                <w:sz w:val="18"/>
                <w:szCs w:val="18"/>
                <w:color w:val="auto"/>
              </w:rPr>
              <w:t>—</w:t>
            </w:r>
          </w:p>
        </w:tc>
        <w:tc>
          <w:tcPr>
            <w:tcW w:w="976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bl>
    <w:p>
      <w:pPr>
        <w:sectPr>
          <w:pgSz w:w="11900" w:h="16838" w:orient="portrait"/>
          <w:cols w:equalWidth="0" w:num="1">
            <w:col w:w="11460"/>
          </w:cols>
          <w:pgMar w:left="240" w:top="125" w:right="199" w:bottom="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620" w:type="dxa"/>
            <w:vAlign w:val="bottom"/>
          </w:tcPr>
          <w:p>
            <w:pPr>
              <w:ind w:left="220"/>
              <w:spacing w:after="0"/>
              <w:rPr>
                <w:sz w:val="20"/>
                <w:szCs w:val="20"/>
                <w:color w:val="auto"/>
              </w:rPr>
            </w:pPr>
            <w:r>
              <w:rPr>
                <w:rFonts w:ascii="Arial" w:cs="Arial" w:eastAsia="Arial" w:hAnsi="Arial"/>
                <w:sz w:val="18"/>
                <w:szCs w:val="18"/>
                <w:color w:val="auto"/>
              </w:rPr>
              <w:t>—</w:t>
            </w:r>
          </w:p>
        </w:tc>
        <w:tc>
          <w:tcPr>
            <w:tcW w:w="472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620" w:type="dxa"/>
            <w:vAlign w:val="bottom"/>
          </w:tcPr>
          <w:p>
            <w:pPr>
              <w:ind w:left="220"/>
              <w:spacing w:after="0"/>
              <w:rPr>
                <w:sz w:val="20"/>
                <w:szCs w:val="20"/>
                <w:color w:val="auto"/>
              </w:rPr>
            </w:pPr>
            <w:r>
              <w:rPr>
                <w:rFonts w:ascii="Arial" w:cs="Arial" w:eastAsia="Arial" w:hAnsi="Arial"/>
                <w:sz w:val="18"/>
                <w:szCs w:val="18"/>
                <w:color w:val="auto"/>
              </w:rPr>
              <w:t>—</w:t>
            </w:r>
          </w:p>
        </w:tc>
        <w:tc>
          <w:tcPr>
            <w:tcW w:w="4720" w:type="dxa"/>
            <w:vAlign w:val="bottom"/>
          </w:tcPr>
          <w:p>
            <w:pPr>
              <w:ind w:left="24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620" w:type="dxa"/>
            <w:vAlign w:val="bottom"/>
          </w:tcPr>
          <w:p>
            <w:pPr>
              <w:ind w:left="220"/>
              <w:spacing w:after="0"/>
              <w:rPr>
                <w:sz w:val="20"/>
                <w:szCs w:val="20"/>
                <w:color w:val="auto"/>
              </w:rPr>
            </w:pPr>
            <w:r>
              <w:rPr>
                <w:rFonts w:ascii="Arial" w:cs="Arial" w:eastAsia="Arial" w:hAnsi="Arial"/>
                <w:sz w:val="18"/>
                <w:szCs w:val="18"/>
                <w:color w:val="auto"/>
              </w:rPr>
              <w:t>—</w:t>
            </w:r>
          </w:p>
        </w:tc>
        <w:tc>
          <w:tcPr>
            <w:tcW w:w="4720" w:type="dxa"/>
            <w:vAlign w:val="bottom"/>
          </w:tcPr>
          <w:p>
            <w:pPr>
              <w:ind w:left="24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620" w:type="dxa"/>
            <w:vAlign w:val="bottom"/>
          </w:tcPr>
          <w:p>
            <w:pPr>
              <w:ind w:left="220"/>
              <w:spacing w:after="0"/>
              <w:rPr>
                <w:sz w:val="20"/>
                <w:szCs w:val="20"/>
                <w:color w:val="auto"/>
              </w:rPr>
            </w:pPr>
            <w:r>
              <w:rPr>
                <w:rFonts w:ascii="Arial" w:cs="Arial" w:eastAsia="Arial" w:hAnsi="Arial"/>
                <w:sz w:val="18"/>
                <w:szCs w:val="18"/>
                <w:color w:val="auto"/>
              </w:rPr>
              <w:t>—</w:t>
            </w:r>
          </w:p>
        </w:tc>
        <w:tc>
          <w:tcPr>
            <w:tcW w:w="472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620" w:type="dxa"/>
            <w:vAlign w:val="bottom"/>
          </w:tcPr>
          <w:p>
            <w:pPr>
              <w:ind w:left="220"/>
              <w:spacing w:after="0"/>
              <w:rPr>
                <w:sz w:val="20"/>
                <w:szCs w:val="20"/>
                <w:color w:val="auto"/>
              </w:rPr>
            </w:pPr>
            <w:r>
              <w:rPr>
                <w:rFonts w:ascii="Arial" w:cs="Arial" w:eastAsia="Arial" w:hAnsi="Arial"/>
                <w:sz w:val="18"/>
                <w:szCs w:val="18"/>
                <w:color w:val="auto"/>
              </w:rPr>
              <w:t>—</w:t>
            </w:r>
          </w:p>
        </w:tc>
        <w:tc>
          <w:tcPr>
            <w:tcW w:w="4720" w:type="dxa"/>
            <w:vAlign w:val="bottom"/>
          </w:tcPr>
          <w:p>
            <w:pPr>
              <w:ind w:left="240"/>
              <w:spacing w:after="0"/>
              <w:rPr>
                <w:sz w:val="20"/>
                <w:szCs w:val="20"/>
                <w:color w:val="auto"/>
              </w:rPr>
            </w:pPr>
            <w:r>
              <w:rPr>
                <w:rFonts w:ascii="Arial" w:cs="Arial" w:eastAsia="Arial" w:hAnsi="Arial"/>
                <w:sz w:val="18"/>
                <w:szCs w:val="18"/>
                <w:color w:val="auto"/>
                <w:w w:val="90"/>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40" w:hanging="532"/>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540" w:hanging="532"/>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COMPUTATION OF RATIO OF EARNINGS TO FIXED CHARGES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ratio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Nine Months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00" w:type="dxa"/>
            <w:vAlign w:val="bottom"/>
            <w:gridSpan w:val="8"/>
            <w:vMerge w:val="restart"/>
          </w:tcPr>
          <w:p>
            <w:pPr>
              <w:jc w:val="right"/>
              <w:ind w:right="45"/>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0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center"/>
              <w:ind w:right="35"/>
              <w:spacing w:after="0" w:line="142" w:lineRule="exact"/>
              <w:rPr>
                <w:sz w:val="20"/>
                <w:szCs w:val="20"/>
                <w:color w:val="auto"/>
              </w:rPr>
            </w:pPr>
            <w:r>
              <w:rPr>
                <w:rFonts w:ascii="Arial" w:cs="Arial" w:eastAsia="Arial" w:hAnsi="Arial"/>
                <w:sz w:val="14"/>
                <w:szCs w:val="14"/>
                <w:b w:val="1"/>
                <w:bCs w:val="1"/>
                <w:color w:val="auto"/>
                <w:w w:val="96"/>
              </w:rPr>
              <w:t>2014</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60" w:type="dxa"/>
            <w:vAlign w:val="bottom"/>
            <w:shd w:val="clear" w:color="auto" w:fill="CCEEFF"/>
          </w:tcPr>
          <w:p>
            <w:pPr>
              <w:spacing w:after="0" w:line="197" w:lineRule="exact"/>
              <w:rPr>
                <w:sz w:val="20"/>
                <w:szCs w:val="20"/>
                <w:color w:val="auto"/>
              </w:rPr>
            </w:pPr>
            <w:r>
              <w:rPr>
                <w:rFonts w:ascii="Arial" w:cs="Arial" w:eastAsia="Arial" w:hAnsi="Arial"/>
                <w:sz w:val="17"/>
                <w:szCs w:val="17"/>
                <w:b w:val="1"/>
                <w:bCs w:val="1"/>
                <w:color w:val="auto"/>
              </w:rPr>
              <w:t xml:space="preserve">EARNINGS </w:t>
            </w:r>
            <w:r>
              <w:rPr>
                <w:rFonts w:ascii="Arial" w:cs="Arial" w:eastAsia="Arial" w:hAnsi="Arial"/>
                <w:sz w:val="22"/>
                <w:szCs w:val="22"/>
                <w:b w:val="1"/>
                <w:bCs w:val="1"/>
                <w:color w:val="auto"/>
                <w:vertAlign w:val="superscript"/>
              </w:rPr>
              <w:t>(1)</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tcPr>
          <w:p>
            <w:pPr>
              <w:ind w:left="160"/>
              <w:spacing w:after="0" w:line="201" w:lineRule="exact"/>
              <w:rPr>
                <w:sz w:val="20"/>
                <w:szCs w:val="20"/>
                <w:color w:val="auto"/>
              </w:rPr>
            </w:pPr>
            <w:r>
              <w:rPr>
                <w:rFonts w:ascii="Arial" w:cs="Arial" w:eastAsia="Arial" w:hAnsi="Arial"/>
                <w:sz w:val="18"/>
                <w:szCs w:val="18"/>
                <w:color w:val="auto"/>
              </w:rPr>
              <w:t>Pre-tax income from continuing operations before</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noncontrolling interest and income from equity</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investees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1,013</w:t>
            </w:r>
          </w:p>
        </w:tc>
        <w:tc>
          <w:tcPr>
            <w:tcW w:w="160" w:type="dxa"/>
            <w:vAlign w:val="bottom"/>
          </w:tcPr>
          <w:p>
            <w:pPr>
              <w:spacing w:after="0"/>
              <w:rPr>
                <w:sz w:val="20"/>
                <w:szCs w:val="20"/>
                <w:color w:val="auto"/>
              </w:rPr>
            </w:pP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1,426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1,143</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1,026</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510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 Fixed charges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424</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add: Distributed income of equity investees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 Amortization of capitalized interest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less: Capitalized interest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Earnings</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FIXED CHARGES </w:t>
            </w:r>
            <w:r>
              <w:rPr>
                <w:rFonts w:ascii="Arial" w:cs="Arial" w:eastAsia="Arial" w:hAnsi="Arial"/>
                <w:sz w:val="23"/>
                <w:szCs w:val="23"/>
                <w:b w:val="1"/>
                <w:bCs w:val="1"/>
                <w:color w:val="auto"/>
                <w:vertAlign w:val="superscript"/>
              </w:rPr>
              <w:t>(1)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Interest expensed and capitalized </w:t>
            </w:r>
            <w:r>
              <w:rPr>
                <w:rFonts w:ascii="Arial" w:cs="Arial" w:eastAsia="Arial" w:hAnsi="Arial"/>
                <w:sz w:val="23"/>
                <w:szCs w:val="23"/>
                <w:color w:val="auto"/>
                <w:vertAlign w:val="superscript"/>
              </w:rPr>
              <w:t>(2)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290</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371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336</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298</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281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debt expense</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w w:val="97"/>
              </w:rPr>
              <w:t>Portion of rent expense related to interest (33.33%)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Fixed Charges</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RATIO OF EARNINGS TO FIXED CHARGES </w:t>
            </w:r>
            <w:r>
              <w:rPr>
                <w:rFonts w:ascii="Arial" w:cs="Arial" w:eastAsia="Arial" w:hAnsi="Arial"/>
                <w:sz w:val="23"/>
                <w:szCs w:val="23"/>
                <w:b w:val="1"/>
                <w:bCs w:val="1"/>
                <w:color w:val="auto"/>
                <w:vertAlign w:val="superscript"/>
              </w:rPr>
              <w:t>(3)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4.18x</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4.41x</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4.03x</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4.13x</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2.57x</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260" w:hanging="11"/>
        <w:spacing w:after="0" w:line="279" w:lineRule="auto"/>
        <w:rPr>
          <w:sz w:val="20"/>
          <w:szCs w:val="20"/>
          <w:color w:val="auto"/>
        </w:rPr>
      </w:pPr>
      <w:r>
        <w:rPr>
          <w:rFonts w:ascii="Arial" w:cs="Arial" w:eastAsia="Arial" w:hAnsi="Arial"/>
          <w:sz w:val="17"/>
          <w:szCs w:val="17"/>
          <w:color w:val="auto"/>
        </w:rPr>
        <w:t>For purposes of computing the ratio of earnings to fixed charges, “earnings” consists of pre-tax income from continuing operations before income from equity investees plus fixed charges (excluding capitalized interest), distributed income of equity investees and amortization of capitalized interest. “Fixed charges” represents interest incurred (whether expensed or capitalized), amortization of debt expense (including discounts and premiums relating to indebtedness) and the portion of rental expense on leases deemed to be the equivalent of interest.</w:t>
      </w:r>
    </w:p>
    <w:p>
      <w:pPr>
        <w:spacing w:after="0" w:line="171" w:lineRule="exact"/>
        <w:rPr>
          <w:sz w:val="20"/>
          <w:szCs w:val="20"/>
          <w:color w:val="auto"/>
        </w:rPr>
      </w:pPr>
    </w:p>
    <w:p>
      <w:pPr>
        <w:ind w:left="20" w:right="60" w:hanging="11"/>
        <w:spacing w:after="0" w:line="342" w:lineRule="auto"/>
        <w:rPr>
          <w:sz w:val="20"/>
          <w:szCs w:val="20"/>
          <w:color w:val="auto"/>
        </w:rPr>
      </w:pPr>
      <w:r>
        <w:rPr>
          <w:rFonts w:ascii="Arial" w:cs="Arial" w:eastAsia="Arial" w:hAnsi="Arial"/>
          <w:sz w:val="16"/>
          <w:szCs w:val="16"/>
          <w:color w:val="auto"/>
        </w:rPr>
        <w:t>Includes interest costs attributable to borrowings for hedged inventory purchases of $11 million for the nine months ended September 30, 2014 and $30 million, $12 million, $20 million, $17 million and $11 million for the years ended December 31, 2013, 2012, 2011, 2010 and 2009,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Ratios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218440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140" w:space="500"/>
            <w:col w:w="10780"/>
          </w:cols>
          <w:pgMar w:left="240" w:top="337" w:right="239" w:bottom="1440" w:gutter="0" w:footer="0" w:header="0"/>
          <w:type w:val="continuous"/>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certify that:</w:t>
      </w:r>
    </w:p>
    <w:p>
      <w:pPr>
        <w:spacing w:after="0" w:line="225" w:lineRule="exact"/>
        <w:rPr>
          <w:sz w:val="20"/>
          <w:szCs w:val="20"/>
          <w:color w:val="auto"/>
        </w:rPr>
      </w:pPr>
    </w:p>
    <w:p>
      <w:pPr>
        <w:ind w:left="880" w:hanging="224"/>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All American Pipeline, L.P.;</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 w:firstLine="656"/>
        <w:spacing w:after="0" w:line="264" w:lineRule="auto"/>
        <w:tabs>
          <w:tab w:leader="none" w:pos="1343"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53"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656"/>
        <w:spacing w:after="0" w:line="308" w:lineRule="auto"/>
        <w:tabs>
          <w:tab w:leader="none" w:pos="1343" w:val="left"/>
        </w:tabs>
        <w:numPr>
          <w:ilvl w:val="0"/>
          <w:numId w:val="4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20" w:firstLine="656"/>
        <w:spacing w:after="0" w:line="264" w:lineRule="auto"/>
        <w:tabs>
          <w:tab w:leader="none" w:pos="1353"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656"/>
        <w:spacing w:after="0" w:line="308" w:lineRule="auto"/>
        <w:tabs>
          <w:tab w:leader="none" w:pos="873"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580" w:firstLine="656"/>
        <w:spacing w:after="0" w:line="308" w:lineRule="auto"/>
        <w:tabs>
          <w:tab w:leader="none" w:pos="1343" w:val="left"/>
        </w:tabs>
        <w:numPr>
          <w:ilvl w:val="0"/>
          <w:numId w:val="4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60" w:firstLine="656"/>
        <w:spacing w:after="0" w:line="277" w:lineRule="auto"/>
        <w:tabs>
          <w:tab w:leader="none" w:pos="1353"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Greg L. Armstrong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703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6703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All American Pipeline, L.P.;</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 w:firstLine="656"/>
        <w:spacing w:after="0" w:line="264" w:lineRule="auto"/>
        <w:tabs>
          <w:tab w:leader="none" w:pos="1343"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53"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656"/>
        <w:spacing w:after="0" w:line="308" w:lineRule="auto"/>
        <w:tabs>
          <w:tab w:leader="none" w:pos="1343" w:val="left"/>
        </w:tabs>
        <w:numPr>
          <w:ilvl w:val="0"/>
          <w:numId w:val="4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20" w:firstLine="656"/>
        <w:spacing w:after="0" w:line="264" w:lineRule="auto"/>
        <w:tabs>
          <w:tab w:leader="none" w:pos="1353"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656"/>
        <w:spacing w:after="0" w:line="308" w:lineRule="auto"/>
        <w:tabs>
          <w:tab w:leader="none" w:pos="873"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580" w:firstLine="656"/>
        <w:spacing w:after="0" w:line="308" w:lineRule="auto"/>
        <w:tabs>
          <w:tab w:leader="none" w:pos="1343" w:val="left"/>
        </w:tabs>
        <w:numPr>
          <w:ilvl w:val="0"/>
          <w:numId w:val="4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60" w:firstLine="656"/>
        <w:spacing w:after="0" w:line="277" w:lineRule="auto"/>
        <w:tabs>
          <w:tab w:leader="none" w:pos="1353"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Al Swanson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Chief Executive Officer of Plains All American Pipeline, L.P. (the “Company”), hereby certify that:</w:t>
      </w:r>
    </w:p>
    <w:p>
      <w:pPr>
        <w:spacing w:after="0" w:line="225" w:lineRule="exact"/>
        <w:rPr>
          <w:sz w:val="20"/>
          <w:szCs w:val="20"/>
          <w:color w:val="auto"/>
        </w:rPr>
      </w:pPr>
    </w:p>
    <w:p>
      <w:pPr>
        <w:jc w:val="both"/>
        <w:ind w:right="160" w:firstLine="656"/>
        <w:spacing w:after="0" w:line="264" w:lineRule="auto"/>
        <w:tabs>
          <w:tab w:leader="none" w:pos="1318"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September 30, 2014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40" w:hanging="684"/>
        <w:spacing w:after="0"/>
        <w:tabs>
          <w:tab w:leader="none" w:pos="13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2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Greg L. Armstrong</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-130810</wp:posOffset>
            </wp:positionV>
            <wp:extent cx="358457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Date: November 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 Swanson, Chief Financial Officer of Plains All American Pipeline, L.P. (the “Company”), hereby certify that:</w:t>
      </w:r>
    </w:p>
    <w:p>
      <w:pPr>
        <w:spacing w:after="0" w:line="225" w:lineRule="exact"/>
        <w:rPr>
          <w:sz w:val="20"/>
          <w:szCs w:val="20"/>
          <w:color w:val="auto"/>
        </w:rPr>
      </w:pPr>
    </w:p>
    <w:p>
      <w:pPr>
        <w:jc w:val="both"/>
        <w:ind w:right="160" w:firstLine="656"/>
        <w:spacing w:after="0" w:line="264" w:lineRule="auto"/>
        <w:tabs>
          <w:tab w:leader="none" w:pos="131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September 30, 2014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40" w:hanging="684"/>
        <w:spacing w:after="0"/>
        <w:tabs>
          <w:tab w:leader="none" w:pos="13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2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Al Swanson</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-130810</wp:posOffset>
            </wp:positionV>
            <wp:extent cx="36017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 November 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x"/>
      <w:numFmt w:val="bullet"/>
      <w:start w:val="1"/>
    </w:lvl>
  </w:abstractNum>
  <w:abstractNum w:abstractNumId="1">
    <w:nsid w:val="79838CB2"/>
    <w:multiLevelType w:val="hybridMultilevel"/>
    <w:lvl w:ilvl="0">
      <w:lvlJc w:val="left"/>
      <w:lvlText w:val="o"/>
      <w:numFmt w:val="bullet"/>
      <w:start w:val="1"/>
    </w:lvl>
  </w:abstractNum>
  <w:abstractNum w:abstractNumId="2">
    <w:nsid w:val="4353D0CD"/>
    <w:multiLevelType w:val="hybridMultilevel"/>
    <w:lvl w:ilvl="0">
      <w:lvlJc w:val="left"/>
      <w:lvlText w:val="(%1)"/>
      <w:numFmt w:val="decimal"/>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1)"/>
      <w:numFmt w:val="decimal"/>
      <w:start w:val="2"/>
    </w:lvl>
  </w:abstractNum>
  <w:abstractNum w:abstractNumId="5">
    <w:nsid w:val="54E49EB4"/>
    <w:multiLevelType w:val="hybridMultilevel"/>
    <w:lvl w:ilvl="0">
      <w:lvlJc w:val="left"/>
      <w:lvlText w:val="(%1)"/>
      <w:numFmt w:val="lowerRoman"/>
      <w:start w:val="1"/>
    </w:lvl>
  </w:abstractNum>
  <w:abstractNum w:abstractNumId="6">
    <w:nsid w:val="71F32454"/>
    <w:multiLevelType w:val="hybridMultilevel"/>
    <w:lvl w:ilvl="0">
      <w:lvlJc w:val="left"/>
      <w:lvlText w:val="(%1)"/>
      <w:numFmt w:val="decimal"/>
      <w:start w:val="1"/>
    </w:lvl>
  </w:abstractNum>
  <w:abstractNum w:abstractNumId="7">
    <w:nsid w:val="2CA88611"/>
    <w:multiLevelType w:val="hybridMultilevel"/>
    <w:lvl w:ilvl="0">
      <w:lvlJc w:val="left"/>
      <w:lvlText w:val="(%1)"/>
      <w:numFmt w:val="decimal"/>
      <w:start w:val="1"/>
    </w:lvl>
  </w:abstractNum>
  <w:abstractNum w:abstractNumId="8">
    <w:nsid w:val="836C40E"/>
    <w:multiLevelType w:val="hybridMultilevel"/>
    <w:lvl w:ilvl="0">
      <w:lvlJc w:val="left"/>
      <w:lvlText w:val="(%1)"/>
      <w:numFmt w:val="decimal"/>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1)"/>
      <w:numFmt w:val="decimal"/>
      <w:start w:val="1"/>
    </w:lvl>
  </w:abstractNum>
  <w:abstractNum w:abstractNumId="11">
    <w:nsid w:val="8138641"/>
    <w:multiLevelType w:val="hybridMultilevel"/>
    <w:lvl w:ilvl="0">
      <w:lvlJc w:val="left"/>
      <w:lvlText w:val="(%1)"/>
      <w:numFmt w:val="lowerRoman"/>
      <w:start w:val="2"/>
    </w:lvl>
  </w:abstractNum>
  <w:abstractNum w:abstractNumId="12">
    <w:nsid w:val="1E7FF521"/>
    <w:multiLevelType w:val="hybridMultilevel"/>
    <w:lvl w:ilvl="0">
      <w:lvlJc w:val="left"/>
      <w:lvlText w:val="(%1)"/>
      <w:numFmt w:val="decimal"/>
      <w:start w:val="1"/>
    </w:lvl>
  </w:abstractNum>
  <w:abstractNum w:abstractNumId="13">
    <w:nsid w:val="7C3DBD3D"/>
    <w:multiLevelType w:val="hybridMultilevel"/>
    <w:lvl w:ilvl="0">
      <w:lvlJc w:val="left"/>
      <w:lvlText w:val="(%1)"/>
      <w:numFmt w:val="decimal"/>
      <w:start w:val="1"/>
    </w:lvl>
  </w:abstractNum>
  <w:abstractNum w:abstractNumId="14">
    <w:nsid w:val="737B8DDC"/>
    <w:multiLevelType w:val="hybridMultilevel"/>
    <w:lvl w:ilvl="0">
      <w:lvlJc w:val="left"/>
      <w:lvlText w:val="(%1)"/>
      <w:numFmt w:val="decimal"/>
      <w:start w:val="4"/>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1)"/>
      <w:numFmt w:val="decimal"/>
      <w:start w:val="1"/>
    </w:lvl>
  </w:abstractNum>
  <w:abstractNum w:abstractNumId="18">
    <w:nsid w:val="3006C83E"/>
    <w:multiLevelType w:val="hybridMultilevel"/>
    <w:lvl w:ilvl="0">
      <w:lvlJc w:val="left"/>
      <w:lvlText w:val="(%1)"/>
      <w:numFmt w:val="decimal"/>
      <w:start w:val="2"/>
    </w:lvl>
  </w:abstractNum>
  <w:abstractNum w:abstractNumId="19">
    <w:nsid w:val="614FD4A1"/>
    <w:multiLevelType w:val="hybridMultilevel"/>
    <w:lvl w:ilvl="0">
      <w:lvlJc w:val="left"/>
      <w:lvlText w:val="(%1)"/>
      <w:numFmt w:val="decimal"/>
      <w:start w:val="3"/>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1)"/>
      <w:numFmt w:val="lowerRoman"/>
      <w:start w:val="2"/>
    </w:lvl>
  </w:abstractNum>
  <w:abstractNum w:abstractNumId="22">
    <w:nsid w:val="440BADFC"/>
    <w:multiLevelType w:val="hybridMultilevel"/>
    <w:lvl w:ilvl="0">
      <w:lvlJc w:val="left"/>
      <w:lvlText w:val="(%1)"/>
      <w:numFmt w:val="lowerRoman"/>
      <w:start w:val="2"/>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1)"/>
      <w:numFmt w:val="decimal"/>
      <w:start w:val="1"/>
    </w:lvl>
  </w:abstractNum>
  <w:abstractNum w:abstractNumId="28">
    <w:nsid w:val="2463B9EA"/>
    <w:multiLevelType w:val="hybridMultilevel"/>
    <w:lvl w:ilvl="0">
      <w:lvlJc w:val="left"/>
      <w:lvlText w:val="(%1)"/>
      <w:numFmt w:val="lowerRoman"/>
      <w:start w:val="2"/>
    </w:lvl>
  </w:abstractNum>
  <w:abstractNum w:abstractNumId="29">
    <w:nsid w:val="5E884ADC"/>
    <w:multiLevelType w:val="hybridMultilevel"/>
    <w:lvl w:ilvl="0">
      <w:lvlJc w:val="left"/>
      <w:lvlText w:val="(%1)"/>
      <w:numFmt w:val="decimal"/>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1."/>
      <w:numFmt w:val="decimal"/>
      <w:start w:val="1"/>
    </w:lvl>
  </w:abstractNum>
  <w:abstractNum w:abstractNumId="39">
    <w:nsid w:val="725A06FB"/>
    <w:multiLevelType w:val="hybridMultilevel"/>
    <w:lvl w:ilvl="0">
      <w:lvlJc w:val="left"/>
      <w:lvlText w:val="(%1)"/>
      <w:numFmt w:val="lowerLetter"/>
      <w:start w:val="1"/>
    </w:lvl>
  </w:abstractNum>
  <w:abstractNum w:abstractNumId="40">
    <w:nsid w:val="2CD89A32"/>
    <w:multiLevelType w:val="hybridMultilevel"/>
    <w:lvl w:ilvl="0">
      <w:lvlJc w:val="left"/>
      <w:lvlText w:val="%1."/>
      <w:numFmt w:val="decimal"/>
      <w:start w:val="5"/>
    </w:lvl>
  </w:abstractNum>
  <w:abstractNum w:abstractNumId="41">
    <w:nsid w:val="57E4CCAF"/>
    <w:multiLevelType w:val="hybridMultilevel"/>
    <w:lvl w:ilvl="0">
      <w:lvlJc w:val="left"/>
      <w:lvlText w:val="(%1)"/>
      <w:numFmt w:val="lowerLetter"/>
      <w:start w:val="1"/>
    </w:lvl>
  </w:abstractNum>
  <w:abstractNum w:abstractNumId="42">
    <w:nsid w:val="7A6D8D3C"/>
    <w:multiLevelType w:val="hybridMultilevel"/>
    <w:lvl w:ilvl="0">
      <w:lvlJc w:val="left"/>
      <w:lvlText w:val="%1."/>
      <w:numFmt w:val="decimal"/>
      <w:start w:val="1"/>
    </w:lvl>
  </w:abstractNum>
  <w:abstractNum w:abstractNumId="43">
    <w:nsid w:val="4B588F54"/>
    <w:multiLevelType w:val="hybridMultilevel"/>
    <w:lvl w:ilvl="0">
      <w:lvlJc w:val="left"/>
      <w:lvlText w:val="(%1)"/>
      <w:numFmt w:val="lowerLetter"/>
      <w:start w:val="1"/>
    </w:lvl>
  </w:abstractNum>
  <w:abstractNum w:abstractNumId="44">
    <w:nsid w:val="542289EC"/>
    <w:multiLevelType w:val="hybridMultilevel"/>
    <w:lvl w:ilvl="0">
      <w:lvlJc w:val="left"/>
      <w:lvlText w:val="%1."/>
      <w:numFmt w:val="decimal"/>
      <w:start w:val="5"/>
    </w:lvl>
  </w:abstractNum>
  <w:abstractNum w:abstractNumId="45">
    <w:nsid w:val="6DE91B18"/>
    <w:multiLevelType w:val="hybridMultilevel"/>
    <w:lvl w:ilvl="0">
      <w:lvlJc w:val="left"/>
      <w:lvlText w:val="(%1)"/>
      <w:numFmt w:val="lowerLetter"/>
      <w:start w:val="1"/>
    </w:lvl>
  </w:abstractNum>
  <w:abstractNum w:abstractNumId="46">
    <w:nsid w:val="38437FDB"/>
    <w:multiLevelType w:val="hybridMultilevel"/>
    <w:lvl w:ilvl="0">
      <w:lvlJc w:val="left"/>
      <w:lvlText w:val="(%1)"/>
      <w:numFmt w:val="lowerRoman"/>
      <w:start w:val="1"/>
    </w:lvl>
  </w:abstractNum>
  <w:abstractNum w:abstractNumId="47">
    <w:nsid w:val="7644A45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2020-02-21T02:18:31Z</dcterms:created>
  <dcterms:modified xsi:type="dcterms:W3CDTF">2020-02-21T02:18:31Z</dcterms:modified>
</cp:coreProperties>
</file>