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Plains GP Holdings, L.P.</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Class A Shares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72651A207</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December 31, 2020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460" w:right="8120" w:firstLine="6"/>
        <w:spacing w:after="0" w:line="246" w:lineRule="exact"/>
        <w:tabs>
          <w:tab w:leader="none" w:pos="2108"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Rule 13d-1(b)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13d-1(c)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13d-1(d)</w:t>
      </w:r>
    </w:p>
    <w:p>
      <w:pPr>
        <w:spacing w:after="0" w:line="21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 w:name="page2"/>
    <w:bookmarkEnd w:id="1"/>
    <w:p>
      <w:pPr>
        <w:ind w:left="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241300</wp:posOffset>
            </wp:positionV>
            <wp:extent cx="1221105" cy="158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1105" cy="158115"/>
                    </a:xfrm>
                    <a:prstGeom prst="rect">
                      <a:avLst/>
                    </a:prstGeom>
                    <a:noFill/>
                  </pic:spPr>
                </pic:pic>
              </a:graphicData>
            </a:graphic>
          </wp:anchor>
        </w:drawing>
        <w:t>CUSIP No. 72651A207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302895</wp:posOffset>
            </wp:positionV>
            <wp:extent cx="7127875" cy="48215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7875" cy="48215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340" w:hanging="749"/>
        <w:spacing w:after="0"/>
        <w:tabs>
          <w:tab w:leader="none" w:pos="1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2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Chickasaw Capital Management, LLC</w:t>
      </w:r>
    </w:p>
    <w:p>
      <w:pPr>
        <w:spacing w:after="0" w:line="23" w:lineRule="exact"/>
        <w:rPr>
          <w:sz w:val="20"/>
          <w:szCs w:val="20"/>
          <w:color w:val="auto"/>
        </w:rPr>
      </w:pPr>
    </w:p>
    <w:p>
      <w:pPr>
        <w:ind w:left="1340" w:hanging="749"/>
        <w:spacing w:after="0"/>
        <w:tabs>
          <w:tab w:leader="none" w:pos="1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00" w:lineRule="exact"/>
        <w:rPr>
          <w:sz w:val="20"/>
          <w:szCs w:val="20"/>
          <w:color w:val="auto"/>
        </w:rPr>
      </w:pPr>
    </w:p>
    <w:p>
      <w:pPr>
        <w:spacing w:after="0" w:line="254" w:lineRule="exact"/>
        <w:rPr>
          <w:sz w:val="20"/>
          <w:szCs w:val="20"/>
          <w:color w:val="auto"/>
        </w:rPr>
      </w:pPr>
    </w:p>
    <w:p>
      <w:pPr>
        <w:ind w:left="1340" w:hanging="749"/>
        <w:spacing w:after="0"/>
        <w:tabs>
          <w:tab w:leader="none" w:pos="13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35" w:lineRule="exact"/>
        <w:rPr>
          <w:sz w:val="20"/>
          <w:szCs w:val="20"/>
          <w:color w:val="auto"/>
        </w:rPr>
      </w:pPr>
    </w:p>
    <w:p>
      <w:pPr>
        <w:ind w:left="1340" w:right="3800" w:hanging="749"/>
        <w:spacing w:after="0" w:line="282" w:lineRule="auto"/>
        <w:tabs>
          <w:tab w:leader="none" w:pos="1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-110490</wp:posOffset>
            </wp:positionV>
            <wp:extent cx="998220" cy="158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98220" cy="158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740" w:hanging="226"/>
        <w:spacing w:after="0" w:line="187" w:lineRule="exact"/>
        <w:tabs>
          <w:tab w:leader="none" w:pos="740" w:val="left"/>
        </w:tabs>
        <w:numPr>
          <w:ilvl w:val="0"/>
          <w:numId w:val="6"/>
        </w:numPr>
        <w:rPr>
          <w:rFonts w:ascii="Arial" w:cs="Arial" w:eastAsia="Arial" w:hAnsi="Arial"/>
          <w:sz w:val="15"/>
          <w:szCs w:val="15"/>
          <w:b w:val="1"/>
          <w:bCs w:val="1"/>
          <w:color w:val="auto"/>
        </w:rPr>
      </w:pPr>
      <w:r>
        <w:rPr>
          <w:rFonts w:ascii="MS PGothic" w:cs="MS PGothic" w:eastAsia="MS PGothic" w:hAnsi="MS PGothic"/>
          <w:sz w:val="18"/>
          <w:szCs w:val="18"/>
          <w:color w:val="auto"/>
        </w:rPr>
        <w:t>☐</w:t>
      </w:r>
    </w:p>
    <w:p>
      <w:pPr>
        <w:spacing w:after="0" w:line="96" w:lineRule="exact"/>
        <w:rPr>
          <w:rFonts w:ascii="Arial" w:cs="Arial" w:eastAsia="Arial" w:hAnsi="Arial"/>
          <w:sz w:val="15"/>
          <w:szCs w:val="15"/>
          <w:b w:val="1"/>
          <w:bCs w:val="1"/>
          <w:color w:val="auto"/>
        </w:rPr>
      </w:pPr>
    </w:p>
    <w:p>
      <w:pPr>
        <w:ind w:left="740" w:hanging="234"/>
        <w:spacing w:after="0" w:line="187" w:lineRule="exact"/>
        <w:tabs>
          <w:tab w:leader="none" w:pos="740" w:val="left"/>
        </w:tabs>
        <w:numPr>
          <w:ilvl w:val="0"/>
          <w:numId w:val="6"/>
        </w:numPr>
        <w:rPr>
          <w:rFonts w:ascii="Arial" w:cs="Arial" w:eastAsia="Arial" w:hAnsi="Arial"/>
          <w:sz w:val="15"/>
          <w:szCs w:val="15"/>
          <w:b w:val="1"/>
          <w:bCs w:val="1"/>
          <w:color w:val="auto"/>
        </w:rPr>
      </w:pPr>
      <w:r>
        <w:rPr>
          <w:rFonts w:ascii="MS PGothic" w:cs="MS PGothic" w:eastAsia="MS PGothic" w:hAnsi="MS PGothic"/>
          <w:sz w:val="18"/>
          <w:szCs w:val="18"/>
          <w:color w:val="auto"/>
        </w:rPr>
        <w:t>☐</w:t>
      </w:r>
    </w:p>
    <w:p>
      <w:pPr>
        <w:spacing w:after="0" w:line="1111" w:lineRule="exact"/>
        <w:rPr>
          <w:sz w:val="20"/>
          <w:szCs w:val="20"/>
          <w:color w:val="auto"/>
        </w:rPr>
      </w:pPr>
    </w:p>
    <w:p>
      <w:pPr>
        <w:sectPr>
          <w:pgSz w:w="11900" w:h="16838" w:orient="portrait"/>
          <w:cols w:equalWidth="0" w:num="2">
            <w:col w:w="9080" w:space="720"/>
            <w:col w:w="1360"/>
          </w:cols>
          <w:pgMar w:left="360" w:top="382" w:right="37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left="326"/>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jc w:val="center"/>
        <w:ind w:left="326"/>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jc w:val="center"/>
        <w:ind w:left="326"/>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jc w:val="center"/>
        <w:ind w:left="326"/>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jc w:val="center"/>
        <w:ind w:left="326"/>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jc w:val="center"/>
        <w:ind w:left="326"/>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jc w:val="center"/>
        <w:ind w:left="326"/>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jc w:val="center"/>
        <w:ind w:left="326"/>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ind w:left="566" w:right="5660" w:hanging="566"/>
        <w:spacing w:after="0" w:line="282" w:lineRule="auto"/>
        <w:tabs>
          <w:tab w:leader="none" w:pos="56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10,327,410</w:t>
      </w:r>
    </w:p>
    <w:p>
      <w:pPr>
        <w:spacing w:after="0" w:line="175" w:lineRule="exact"/>
        <w:rPr>
          <w:sz w:val="20"/>
          <w:szCs w:val="20"/>
          <w:color w:val="auto"/>
        </w:rPr>
      </w:pPr>
    </w:p>
    <w:p>
      <w:pPr>
        <w:ind w:left="566" w:right="5380" w:hanging="566"/>
        <w:spacing w:after="0" w:line="282" w:lineRule="auto"/>
        <w:tabs>
          <w:tab w:leader="none" w:pos="56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spacing w:after="0" w:line="175" w:lineRule="exact"/>
        <w:rPr>
          <w:sz w:val="20"/>
          <w:szCs w:val="20"/>
          <w:color w:val="auto"/>
        </w:rPr>
      </w:pPr>
    </w:p>
    <w:p>
      <w:pPr>
        <w:ind w:left="566" w:right="5220" w:hanging="566"/>
        <w:spacing w:after="0" w:line="282" w:lineRule="auto"/>
        <w:tabs>
          <w:tab w:leader="none" w:pos="566"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10,327,410</w:t>
      </w:r>
    </w:p>
    <w:p>
      <w:pPr>
        <w:spacing w:after="0" w:line="175" w:lineRule="exact"/>
        <w:rPr>
          <w:sz w:val="20"/>
          <w:szCs w:val="20"/>
          <w:color w:val="auto"/>
        </w:rPr>
      </w:pPr>
    </w:p>
    <w:p>
      <w:pPr>
        <w:ind w:left="566" w:right="4940" w:hanging="566"/>
        <w:spacing w:after="0" w:line="282" w:lineRule="auto"/>
        <w:tabs>
          <w:tab w:leader="none" w:pos="566"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75" w:lineRule="exact"/>
        <w:rPr>
          <w:sz w:val="20"/>
          <w:szCs w:val="20"/>
          <w:color w:val="auto"/>
        </w:rPr>
      </w:pPr>
    </w:p>
    <w:p>
      <w:pPr>
        <w:sectPr>
          <w:pgSz w:w="11900" w:h="16838" w:orient="portrait"/>
          <w:cols w:equalWidth="0" w:num="2">
            <w:col w:w="2254" w:space="720"/>
            <w:col w:w="8186"/>
          </w:cols>
          <w:pgMar w:left="360" w:top="382" w:right="379" w:bottom="1440" w:gutter="0" w:footer="0" w:header="0"/>
          <w:type w:val="continuous"/>
        </w:sectPr>
      </w:pPr>
    </w:p>
    <w:p>
      <w:pPr>
        <w:ind w:left="1340" w:hanging="749"/>
        <w:spacing w:after="0"/>
        <w:tabs>
          <w:tab w:leader="none" w:pos="1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10,327,410*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10</w:t>
            </w:r>
          </w:p>
        </w:tc>
        <w:tc>
          <w:tcPr>
            <w:tcW w:w="7840" w:type="dxa"/>
            <w:vAlign w:val="bottom"/>
            <w:tcBorders>
              <w:top w:val="single" w:sz="8" w:color="auto"/>
            </w:tcBorders>
          </w:tcPr>
          <w:p>
            <w:pPr>
              <w:ind w:left="300"/>
              <w:spacing w:after="0"/>
              <w:rPr>
                <w:sz w:val="20"/>
                <w:szCs w:val="20"/>
                <w:color w:val="auto"/>
              </w:rPr>
            </w:pPr>
            <w:r>
              <w:rPr>
                <w:rFonts w:ascii="Arial" w:cs="Arial" w:eastAsia="Arial" w:hAnsi="Arial"/>
                <w:sz w:val="18"/>
                <w:szCs w:val="18"/>
                <w:b w:val="1"/>
                <w:bCs w:val="1"/>
                <w:color w:val="auto"/>
              </w:rPr>
              <w:t>CHECK IF THE AGGREGATE AMOUNT IN ROW (9) EXCLUDES CERTAIN SHARES</w:t>
            </w:r>
          </w:p>
        </w:tc>
        <w:tc>
          <w:tcPr>
            <w:tcW w:w="2280" w:type="dxa"/>
            <w:vAlign w:val="bottom"/>
            <w:tcBorders>
              <w:top w:val="single" w:sz="8" w:color="auto"/>
            </w:tcBorders>
          </w:tcPr>
          <w:p>
            <w:pPr>
              <w:ind w:left="520"/>
              <w:spacing w:after="0" w:line="181" w:lineRule="exact"/>
              <w:rPr>
                <w:sz w:val="20"/>
                <w:szCs w:val="20"/>
                <w:color w:val="auto"/>
              </w:rPr>
            </w:pPr>
            <w:r>
              <w:rPr>
                <w:rFonts w:ascii="MS PGothic" w:cs="MS PGothic" w:eastAsia="MS PGothic" w:hAnsi="MS PGothic"/>
                <w:sz w:val="18"/>
                <w:szCs w:val="18"/>
                <w:color w:val="auto"/>
              </w:rPr>
              <w:t>☐</w:t>
            </w:r>
          </w:p>
        </w:tc>
      </w:tr>
    </w:tbl>
    <w:p>
      <w:pPr>
        <w:ind w:left="1340" w:hanging="789"/>
        <w:spacing w:after="0"/>
        <w:tabs>
          <w:tab w:leader="none" w:pos="1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(9)</w:t>
      </w:r>
    </w:p>
    <w:p>
      <w:pPr>
        <w:spacing w:after="0" w:line="7"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5.5%**</w:t>
      </w:r>
    </w:p>
    <w:p>
      <w:pPr>
        <w:spacing w:after="0" w:line="9" w:lineRule="exact"/>
        <w:rPr>
          <w:rFonts w:ascii="Arial" w:cs="Arial" w:eastAsia="Arial" w:hAnsi="Arial"/>
          <w:sz w:val="18"/>
          <w:szCs w:val="18"/>
          <w:b w:val="1"/>
          <w:bCs w:val="1"/>
          <w:color w:val="auto"/>
        </w:rPr>
      </w:pPr>
    </w:p>
    <w:p>
      <w:pPr>
        <w:ind w:left="1340" w:right="7140" w:hanging="794"/>
        <w:spacing w:after="0" w:line="258" w:lineRule="auto"/>
        <w:tabs>
          <w:tab w:leader="none" w:pos="1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IA</w:t>
      </w:r>
    </w:p>
    <w:p>
      <w:pPr>
        <w:ind w:left="1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*See Item 4 of this Schedule 13G.</w:t>
      </w:r>
    </w:p>
    <w:p>
      <w:pPr>
        <w:spacing w:after="0" w:line="22" w:lineRule="exact"/>
        <w:rPr>
          <w:rFonts w:ascii="Arial" w:cs="Arial" w:eastAsia="Arial" w:hAnsi="Arial"/>
          <w:sz w:val="18"/>
          <w:szCs w:val="18"/>
          <w:b w:val="1"/>
          <w:bCs w:val="1"/>
          <w:color w:val="auto"/>
        </w:rPr>
      </w:pPr>
    </w:p>
    <w:p>
      <w:pPr>
        <w:ind w:left="1340" w:right="20" w:firstLine="5"/>
        <w:spacing w:after="0" w:line="260" w:lineRule="auto"/>
        <w:tabs>
          <w:tab w:leader="none" w:pos="1592"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Based on 187,786,393 Class A Shares issued and outstanding as of October 30, 2020, as reported on Issuer’s Quarterly Report on Form 10-Q filed on November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382" w:right="379" w:bottom="1440" w:gutter="0" w:footer="0" w:header="0"/>
          <w:type w:val="continuous"/>
        </w:sectPr>
      </w:pPr>
    </w:p>
    <w:bookmarkStart w:id="2" w:name="page3"/>
    <w:bookmarkEnd w:id="2"/>
    <w:p>
      <w:pPr>
        <w:ind w:left="1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241300</wp:posOffset>
            </wp:positionV>
            <wp:extent cx="1221105" cy="158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1105" cy="158115"/>
                    </a:xfrm>
                    <a:prstGeom prst="rect">
                      <a:avLst/>
                    </a:prstGeom>
                    <a:noFill/>
                  </pic:spPr>
                </pic:pic>
              </a:graphicData>
            </a:graphic>
          </wp:anchor>
        </w:drawing>
        <w:t>CUSIP No. 72651A207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3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-110490</wp:posOffset>
            </wp:positionV>
            <wp:extent cx="998220" cy="158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98220" cy="15811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9120" w:space="720"/>
            <w:col w:w="1400"/>
          </w:cols>
          <w:pgMar w:left="320" w:top="382" w:right="339" w:bottom="1440" w:gutter="0" w:footer="0" w:header="0"/>
        </w:sect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40" w:type="dxa"/>
            <w:vAlign w:val="bottom"/>
          </w:tcPr>
          <w:p>
            <w:pPr>
              <w:ind w:left="380"/>
              <w:spacing w:after="0"/>
              <w:rPr>
                <w:sz w:val="20"/>
                <w:szCs w:val="20"/>
                <w:color w:val="auto"/>
              </w:rPr>
            </w:pPr>
            <w:r>
              <w:rPr>
                <w:rFonts w:ascii="Arial" w:cs="Arial" w:eastAsia="Arial" w:hAnsi="Arial"/>
                <w:sz w:val="18"/>
                <w:szCs w:val="18"/>
                <w:color w:val="auto"/>
              </w:rPr>
              <w:t>(a)</w:t>
            </w:r>
          </w:p>
        </w:tc>
        <w:tc>
          <w:tcPr>
            <w:tcW w:w="240" w:type="dxa"/>
            <w:vAlign w:val="bottom"/>
          </w:tcPr>
          <w:p>
            <w:pPr>
              <w:spacing w:after="0"/>
              <w:rPr>
                <w:sz w:val="19"/>
                <w:szCs w:val="19"/>
                <w:color w:val="auto"/>
              </w:rPr>
            </w:pPr>
          </w:p>
        </w:tc>
        <w:tc>
          <w:tcPr>
            <w:tcW w:w="9340" w:type="dxa"/>
            <w:vAlign w:val="bottom"/>
          </w:tcPr>
          <w:p>
            <w:pPr>
              <w:ind w:left="60"/>
              <w:spacing w:after="0"/>
              <w:rPr>
                <w:sz w:val="20"/>
                <w:szCs w:val="20"/>
                <w:color w:val="auto"/>
              </w:rPr>
            </w:pPr>
            <w:r>
              <w:rPr>
                <w:rFonts w:ascii="Arial" w:cs="Arial" w:eastAsia="Arial" w:hAnsi="Arial"/>
                <w:sz w:val="18"/>
                <w:szCs w:val="18"/>
                <w:color w:val="auto"/>
              </w:rPr>
              <w:t>Name of Issuer:</w:t>
            </w:r>
          </w:p>
        </w:tc>
      </w:tr>
      <w:tr>
        <w:trPr>
          <w:trHeight w:val="230"/>
        </w:trPr>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340" w:type="dxa"/>
            <w:vAlign w:val="bottom"/>
          </w:tcPr>
          <w:p>
            <w:pPr>
              <w:ind w:left="60"/>
              <w:spacing w:after="0"/>
              <w:rPr>
                <w:sz w:val="20"/>
                <w:szCs w:val="20"/>
                <w:color w:val="auto"/>
              </w:rPr>
            </w:pPr>
            <w:r>
              <w:rPr>
                <w:rFonts w:ascii="Arial" w:cs="Arial" w:eastAsia="Arial" w:hAnsi="Arial"/>
                <w:sz w:val="18"/>
                <w:szCs w:val="18"/>
                <w:color w:val="auto"/>
              </w:rPr>
              <w:t>Plains GP Holdings, L.P.</w:t>
            </w:r>
          </w:p>
        </w:tc>
      </w:tr>
      <w:tr>
        <w:trPr>
          <w:trHeight w:val="418"/>
        </w:trPr>
        <w:tc>
          <w:tcPr>
            <w:tcW w:w="920" w:type="dxa"/>
            <w:vAlign w:val="bottom"/>
          </w:tcPr>
          <w:p>
            <w:pPr>
              <w:spacing w:after="0"/>
              <w:rPr>
                <w:sz w:val="24"/>
                <w:szCs w:val="24"/>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(b)</w:t>
            </w:r>
          </w:p>
        </w:tc>
        <w:tc>
          <w:tcPr>
            <w:tcW w:w="240" w:type="dxa"/>
            <w:vAlign w:val="bottom"/>
          </w:tcPr>
          <w:p>
            <w:pPr>
              <w:spacing w:after="0"/>
              <w:rPr>
                <w:sz w:val="24"/>
                <w:szCs w:val="24"/>
                <w:color w:val="auto"/>
              </w:rPr>
            </w:pPr>
          </w:p>
        </w:tc>
        <w:tc>
          <w:tcPr>
            <w:tcW w:w="9340" w:type="dxa"/>
            <w:vAlign w:val="bottom"/>
          </w:tcPr>
          <w:p>
            <w:pPr>
              <w:ind w:left="60"/>
              <w:spacing w:after="0"/>
              <w:rPr>
                <w:sz w:val="20"/>
                <w:szCs w:val="20"/>
                <w:color w:val="auto"/>
              </w:rPr>
            </w:pPr>
            <w:r>
              <w:rPr>
                <w:rFonts w:ascii="Arial" w:cs="Arial" w:eastAsia="Arial" w:hAnsi="Arial"/>
                <w:sz w:val="18"/>
                <w:szCs w:val="18"/>
                <w:color w:val="auto"/>
              </w:rPr>
              <w:t>Address of Issuer’s Principal Executive Offices:</w:t>
            </w:r>
          </w:p>
        </w:tc>
      </w:tr>
      <w:tr>
        <w:trPr>
          <w:trHeight w:val="230"/>
        </w:trPr>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340" w:type="dxa"/>
            <w:vAlign w:val="bottom"/>
          </w:tcPr>
          <w:p>
            <w:pPr>
              <w:ind w:left="60"/>
              <w:spacing w:after="0"/>
              <w:rPr>
                <w:sz w:val="20"/>
                <w:szCs w:val="20"/>
                <w:color w:val="auto"/>
              </w:rPr>
            </w:pPr>
            <w:r>
              <w:rPr>
                <w:rFonts w:ascii="Arial" w:cs="Arial" w:eastAsia="Arial" w:hAnsi="Arial"/>
                <w:sz w:val="18"/>
                <w:szCs w:val="18"/>
                <w:color w:val="auto"/>
              </w:rPr>
              <w:t>333 Clay Street, Suite 1600, Houston, Texas 77002</w:t>
            </w:r>
          </w:p>
        </w:tc>
      </w:tr>
      <w:tr>
        <w:trPr>
          <w:trHeight w:val="418"/>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740" w:type="dxa"/>
            <w:vAlign w:val="bottom"/>
          </w:tcPr>
          <w:p>
            <w:pPr>
              <w:ind w:left="380"/>
              <w:spacing w:after="0"/>
              <w:rPr>
                <w:sz w:val="20"/>
                <w:szCs w:val="20"/>
                <w:color w:val="auto"/>
              </w:rPr>
            </w:pPr>
            <w:r>
              <w:rPr>
                <w:rFonts w:ascii="Arial" w:cs="Arial" w:eastAsia="Arial" w:hAnsi="Arial"/>
                <w:sz w:val="18"/>
                <w:szCs w:val="18"/>
                <w:color w:val="auto"/>
              </w:rPr>
              <w:t>(a)</w:t>
            </w:r>
          </w:p>
        </w:tc>
        <w:tc>
          <w:tcPr>
            <w:tcW w:w="240" w:type="dxa"/>
            <w:vAlign w:val="bottom"/>
          </w:tcPr>
          <w:p>
            <w:pPr>
              <w:spacing w:after="0"/>
              <w:rPr>
                <w:sz w:val="24"/>
                <w:szCs w:val="24"/>
                <w:color w:val="auto"/>
              </w:rPr>
            </w:pPr>
          </w:p>
        </w:tc>
        <w:tc>
          <w:tcPr>
            <w:tcW w:w="9340" w:type="dxa"/>
            <w:vAlign w:val="bottom"/>
          </w:tcPr>
          <w:p>
            <w:pPr>
              <w:ind w:left="60"/>
              <w:spacing w:after="0"/>
              <w:rPr>
                <w:sz w:val="20"/>
                <w:szCs w:val="20"/>
                <w:color w:val="auto"/>
              </w:rPr>
            </w:pPr>
            <w:r>
              <w:rPr>
                <w:rFonts w:ascii="Arial" w:cs="Arial" w:eastAsia="Arial" w:hAnsi="Arial"/>
                <w:sz w:val="18"/>
                <w:szCs w:val="18"/>
                <w:color w:val="auto"/>
              </w:rPr>
              <w:t>Name of Person Filing:</w:t>
            </w:r>
          </w:p>
        </w:tc>
      </w:tr>
      <w:tr>
        <w:trPr>
          <w:trHeight w:val="230"/>
        </w:trPr>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340" w:type="dxa"/>
            <w:vAlign w:val="bottom"/>
          </w:tcPr>
          <w:p>
            <w:pPr>
              <w:ind w:left="60"/>
              <w:spacing w:after="0"/>
              <w:rPr>
                <w:sz w:val="20"/>
                <w:szCs w:val="20"/>
                <w:color w:val="auto"/>
              </w:rPr>
            </w:pPr>
            <w:r>
              <w:rPr>
                <w:rFonts w:ascii="Arial" w:cs="Arial" w:eastAsia="Arial" w:hAnsi="Arial"/>
                <w:sz w:val="18"/>
                <w:szCs w:val="18"/>
                <w:color w:val="auto"/>
              </w:rPr>
              <w:t>Chickasaw Capital Management, LLC</w:t>
            </w:r>
          </w:p>
        </w:tc>
      </w:tr>
      <w:tr>
        <w:trPr>
          <w:trHeight w:val="418"/>
        </w:trPr>
        <w:tc>
          <w:tcPr>
            <w:tcW w:w="920" w:type="dxa"/>
            <w:vAlign w:val="bottom"/>
          </w:tcPr>
          <w:p>
            <w:pPr>
              <w:spacing w:after="0"/>
              <w:rPr>
                <w:sz w:val="24"/>
                <w:szCs w:val="24"/>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(b)</w:t>
            </w:r>
          </w:p>
        </w:tc>
        <w:tc>
          <w:tcPr>
            <w:tcW w:w="240" w:type="dxa"/>
            <w:vAlign w:val="bottom"/>
          </w:tcPr>
          <w:p>
            <w:pPr>
              <w:spacing w:after="0"/>
              <w:rPr>
                <w:sz w:val="24"/>
                <w:szCs w:val="24"/>
                <w:color w:val="auto"/>
              </w:rPr>
            </w:pPr>
          </w:p>
        </w:tc>
        <w:tc>
          <w:tcPr>
            <w:tcW w:w="9340" w:type="dxa"/>
            <w:vAlign w:val="bottom"/>
          </w:tcPr>
          <w:p>
            <w:pPr>
              <w:ind w:left="60"/>
              <w:spacing w:after="0"/>
              <w:rPr>
                <w:sz w:val="20"/>
                <w:szCs w:val="20"/>
                <w:color w:val="auto"/>
              </w:rPr>
            </w:pPr>
            <w:r>
              <w:rPr>
                <w:rFonts w:ascii="Arial" w:cs="Arial" w:eastAsia="Arial" w:hAnsi="Arial"/>
                <w:sz w:val="18"/>
                <w:szCs w:val="18"/>
                <w:color w:val="auto"/>
              </w:rPr>
              <w:t>Address of Principal Business Offices or, if none, Residence:</w:t>
            </w:r>
          </w:p>
        </w:tc>
      </w:tr>
      <w:tr>
        <w:trPr>
          <w:trHeight w:val="230"/>
        </w:trPr>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340" w:type="dxa"/>
            <w:vAlign w:val="bottom"/>
          </w:tcPr>
          <w:p>
            <w:pPr>
              <w:ind w:left="60"/>
              <w:spacing w:after="0"/>
              <w:rPr>
                <w:sz w:val="20"/>
                <w:szCs w:val="20"/>
                <w:color w:val="auto"/>
              </w:rPr>
            </w:pPr>
            <w:r>
              <w:rPr>
                <w:rFonts w:ascii="Arial" w:cs="Arial" w:eastAsia="Arial" w:hAnsi="Arial"/>
                <w:sz w:val="18"/>
                <w:szCs w:val="18"/>
                <w:color w:val="auto"/>
              </w:rPr>
              <w:t>6075 Poplar Ave., Suite 720, Memphis, TN 38119</w:t>
            </w:r>
          </w:p>
        </w:tc>
      </w:tr>
      <w:tr>
        <w:trPr>
          <w:trHeight w:val="418"/>
        </w:trPr>
        <w:tc>
          <w:tcPr>
            <w:tcW w:w="920" w:type="dxa"/>
            <w:vAlign w:val="bottom"/>
          </w:tcPr>
          <w:p>
            <w:pPr>
              <w:spacing w:after="0"/>
              <w:rPr>
                <w:sz w:val="24"/>
                <w:szCs w:val="24"/>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(c)</w:t>
            </w:r>
          </w:p>
        </w:tc>
        <w:tc>
          <w:tcPr>
            <w:tcW w:w="240" w:type="dxa"/>
            <w:vAlign w:val="bottom"/>
          </w:tcPr>
          <w:p>
            <w:pPr>
              <w:spacing w:after="0"/>
              <w:rPr>
                <w:sz w:val="24"/>
                <w:szCs w:val="24"/>
                <w:color w:val="auto"/>
              </w:rPr>
            </w:pPr>
          </w:p>
        </w:tc>
        <w:tc>
          <w:tcPr>
            <w:tcW w:w="9340" w:type="dxa"/>
            <w:vAlign w:val="bottom"/>
          </w:tcPr>
          <w:p>
            <w:pPr>
              <w:ind w:left="60"/>
              <w:spacing w:after="0"/>
              <w:rPr>
                <w:sz w:val="20"/>
                <w:szCs w:val="20"/>
                <w:color w:val="auto"/>
              </w:rPr>
            </w:pPr>
            <w:r>
              <w:rPr>
                <w:rFonts w:ascii="Arial" w:cs="Arial" w:eastAsia="Arial" w:hAnsi="Arial"/>
                <w:sz w:val="18"/>
                <w:szCs w:val="18"/>
                <w:color w:val="auto"/>
              </w:rPr>
              <w:t>Citizenship:</w:t>
            </w:r>
          </w:p>
        </w:tc>
      </w:tr>
      <w:tr>
        <w:trPr>
          <w:trHeight w:val="230"/>
        </w:trPr>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340" w:type="dxa"/>
            <w:vAlign w:val="bottom"/>
          </w:tcPr>
          <w:p>
            <w:pPr>
              <w:ind w:left="60"/>
              <w:spacing w:after="0"/>
              <w:rPr>
                <w:sz w:val="20"/>
                <w:szCs w:val="20"/>
                <w:color w:val="auto"/>
              </w:rPr>
            </w:pPr>
            <w:r>
              <w:rPr>
                <w:rFonts w:ascii="Arial" w:cs="Arial" w:eastAsia="Arial" w:hAnsi="Arial"/>
                <w:sz w:val="18"/>
                <w:szCs w:val="18"/>
                <w:color w:val="auto"/>
              </w:rPr>
              <w:t>Delaware, United States</w:t>
            </w:r>
          </w:p>
        </w:tc>
      </w:tr>
      <w:tr>
        <w:trPr>
          <w:trHeight w:val="418"/>
        </w:trPr>
        <w:tc>
          <w:tcPr>
            <w:tcW w:w="920" w:type="dxa"/>
            <w:vAlign w:val="bottom"/>
          </w:tcPr>
          <w:p>
            <w:pPr>
              <w:spacing w:after="0"/>
              <w:rPr>
                <w:sz w:val="24"/>
                <w:szCs w:val="24"/>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(d)</w:t>
            </w:r>
          </w:p>
        </w:tc>
        <w:tc>
          <w:tcPr>
            <w:tcW w:w="240" w:type="dxa"/>
            <w:vAlign w:val="bottom"/>
          </w:tcPr>
          <w:p>
            <w:pPr>
              <w:spacing w:after="0"/>
              <w:rPr>
                <w:sz w:val="24"/>
                <w:szCs w:val="24"/>
                <w:color w:val="auto"/>
              </w:rPr>
            </w:pPr>
          </w:p>
        </w:tc>
        <w:tc>
          <w:tcPr>
            <w:tcW w:w="9340" w:type="dxa"/>
            <w:vAlign w:val="bottom"/>
          </w:tcPr>
          <w:p>
            <w:pPr>
              <w:ind w:left="60"/>
              <w:spacing w:after="0"/>
              <w:rPr>
                <w:sz w:val="20"/>
                <w:szCs w:val="20"/>
                <w:color w:val="auto"/>
              </w:rPr>
            </w:pPr>
            <w:r>
              <w:rPr>
                <w:rFonts w:ascii="Arial" w:cs="Arial" w:eastAsia="Arial" w:hAnsi="Arial"/>
                <w:sz w:val="18"/>
                <w:szCs w:val="18"/>
                <w:color w:val="auto"/>
              </w:rPr>
              <w:t>Title of Class of Securities:</w:t>
            </w:r>
          </w:p>
        </w:tc>
      </w:tr>
      <w:tr>
        <w:trPr>
          <w:trHeight w:val="230"/>
        </w:trPr>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340" w:type="dxa"/>
            <w:vAlign w:val="bottom"/>
          </w:tcPr>
          <w:p>
            <w:pPr>
              <w:ind w:left="60"/>
              <w:spacing w:after="0"/>
              <w:rPr>
                <w:sz w:val="20"/>
                <w:szCs w:val="20"/>
                <w:color w:val="auto"/>
              </w:rPr>
            </w:pPr>
            <w:r>
              <w:rPr>
                <w:rFonts w:ascii="Arial" w:cs="Arial" w:eastAsia="Arial" w:hAnsi="Arial"/>
                <w:sz w:val="18"/>
                <w:szCs w:val="18"/>
                <w:color w:val="auto"/>
              </w:rPr>
              <w:t>Class A Shares</w:t>
            </w:r>
          </w:p>
        </w:tc>
      </w:tr>
      <w:tr>
        <w:trPr>
          <w:trHeight w:val="418"/>
        </w:trPr>
        <w:tc>
          <w:tcPr>
            <w:tcW w:w="920" w:type="dxa"/>
            <w:vAlign w:val="bottom"/>
          </w:tcPr>
          <w:p>
            <w:pPr>
              <w:spacing w:after="0"/>
              <w:rPr>
                <w:sz w:val="24"/>
                <w:szCs w:val="24"/>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(e)</w:t>
            </w:r>
          </w:p>
        </w:tc>
        <w:tc>
          <w:tcPr>
            <w:tcW w:w="240" w:type="dxa"/>
            <w:vAlign w:val="bottom"/>
          </w:tcPr>
          <w:p>
            <w:pPr>
              <w:spacing w:after="0"/>
              <w:rPr>
                <w:sz w:val="24"/>
                <w:szCs w:val="24"/>
                <w:color w:val="auto"/>
              </w:rPr>
            </w:pPr>
          </w:p>
        </w:tc>
        <w:tc>
          <w:tcPr>
            <w:tcW w:w="9340" w:type="dxa"/>
            <w:vAlign w:val="bottom"/>
          </w:tcPr>
          <w:p>
            <w:pPr>
              <w:ind w:left="60"/>
              <w:spacing w:after="0"/>
              <w:rPr>
                <w:sz w:val="20"/>
                <w:szCs w:val="20"/>
                <w:color w:val="auto"/>
              </w:rPr>
            </w:pPr>
            <w:r>
              <w:rPr>
                <w:rFonts w:ascii="Arial" w:cs="Arial" w:eastAsia="Arial" w:hAnsi="Arial"/>
                <w:sz w:val="18"/>
                <w:szCs w:val="18"/>
                <w:color w:val="auto"/>
              </w:rPr>
              <w:t>CUSIP Number:</w:t>
            </w:r>
          </w:p>
        </w:tc>
      </w:tr>
      <w:tr>
        <w:trPr>
          <w:trHeight w:val="230"/>
        </w:trPr>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340" w:type="dxa"/>
            <w:vAlign w:val="bottom"/>
          </w:tcPr>
          <w:p>
            <w:pPr>
              <w:ind w:left="60"/>
              <w:spacing w:after="0"/>
              <w:rPr>
                <w:sz w:val="20"/>
                <w:szCs w:val="20"/>
                <w:color w:val="auto"/>
              </w:rPr>
            </w:pPr>
            <w:r>
              <w:rPr>
                <w:rFonts w:ascii="Arial" w:cs="Arial" w:eastAsia="Arial" w:hAnsi="Arial"/>
                <w:sz w:val="18"/>
                <w:szCs w:val="18"/>
                <w:color w:val="auto"/>
              </w:rPr>
              <w:t>72651A207</w:t>
            </w:r>
          </w:p>
        </w:tc>
      </w:tr>
      <w:tr>
        <w:trPr>
          <w:trHeight w:val="43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320" w:type="dxa"/>
            <w:vAlign w:val="bottom"/>
            <w:gridSpan w:val="3"/>
          </w:tcPr>
          <w:p>
            <w:pPr>
              <w:ind w:left="380"/>
              <w:spacing w:after="0"/>
              <w:rPr>
                <w:sz w:val="20"/>
                <w:szCs w:val="20"/>
                <w:color w:val="auto"/>
              </w:rPr>
            </w:pPr>
            <w:r>
              <w:rPr>
                <w:rFonts w:ascii="Arial" w:cs="Arial" w:eastAsia="Arial" w:hAnsi="Arial"/>
                <w:sz w:val="18"/>
                <w:szCs w:val="18"/>
                <w:b w:val="1"/>
                <w:bCs w:val="1"/>
                <w:color w:val="auto"/>
              </w:rPr>
              <w:t>If this Statement is filed pursuant to §§ 240.13d-1(b) or 240.13d-2(b) or (c), check whether the person filing is a:</w:t>
            </w:r>
          </w:p>
        </w:tc>
      </w:tr>
      <w:tr>
        <w:trPr>
          <w:trHeight w:val="418"/>
        </w:trPr>
        <w:tc>
          <w:tcPr>
            <w:tcW w:w="920" w:type="dxa"/>
            <w:vAlign w:val="bottom"/>
          </w:tcPr>
          <w:p>
            <w:pPr>
              <w:spacing w:after="0"/>
              <w:rPr>
                <w:sz w:val="24"/>
                <w:szCs w:val="24"/>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(a)</w:t>
            </w: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c>
          <w:tcPr>
            <w:tcW w:w="9340" w:type="dxa"/>
            <w:vAlign w:val="bottom"/>
          </w:tcPr>
          <w:p>
            <w:pPr>
              <w:ind w:left="120"/>
              <w:spacing w:after="0"/>
              <w:rPr>
                <w:sz w:val="20"/>
                <w:szCs w:val="20"/>
                <w:color w:val="auto"/>
              </w:rPr>
            </w:pPr>
            <w:r>
              <w:rPr>
                <w:rFonts w:ascii="Arial" w:cs="Arial" w:eastAsia="Arial" w:hAnsi="Arial"/>
                <w:sz w:val="18"/>
                <w:szCs w:val="18"/>
                <w:color w:val="auto"/>
              </w:rPr>
              <w:t>]  Broker or dealer registered under section 15 of the Act (15 U.S.C. 78o)</w:t>
            </w:r>
          </w:p>
        </w:tc>
      </w:tr>
      <w:tr>
        <w:trPr>
          <w:trHeight w:val="216"/>
        </w:trPr>
        <w:tc>
          <w:tcPr>
            <w:tcW w:w="920" w:type="dxa"/>
            <w:vAlign w:val="bottom"/>
          </w:tcPr>
          <w:p>
            <w:pPr>
              <w:spacing w:after="0"/>
              <w:rPr>
                <w:sz w:val="18"/>
                <w:szCs w:val="18"/>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(b)</w:t>
            </w: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c>
          <w:tcPr>
            <w:tcW w:w="9340" w:type="dxa"/>
            <w:vAlign w:val="bottom"/>
          </w:tcPr>
          <w:p>
            <w:pPr>
              <w:ind w:left="120"/>
              <w:spacing w:after="0"/>
              <w:rPr>
                <w:sz w:val="20"/>
                <w:szCs w:val="20"/>
                <w:color w:val="auto"/>
              </w:rPr>
            </w:pPr>
            <w:r>
              <w:rPr>
                <w:rFonts w:ascii="Arial" w:cs="Arial" w:eastAsia="Arial" w:hAnsi="Arial"/>
                <w:sz w:val="18"/>
                <w:szCs w:val="18"/>
                <w:color w:val="auto"/>
              </w:rPr>
              <w:t>]  Bank as defined in section 3(a)(6) of the Act (15 U.S.C. 78c)</w:t>
            </w:r>
          </w:p>
        </w:tc>
      </w:tr>
      <w:tr>
        <w:trPr>
          <w:trHeight w:val="216"/>
        </w:trPr>
        <w:tc>
          <w:tcPr>
            <w:tcW w:w="920" w:type="dxa"/>
            <w:vAlign w:val="bottom"/>
          </w:tcPr>
          <w:p>
            <w:pPr>
              <w:spacing w:after="0"/>
              <w:rPr>
                <w:sz w:val="18"/>
                <w:szCs w:val="18"/>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(c)</w:t>
            </w: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c>
          <w:tcPr>
            <w:tcW w:w="9340" w:type="dxa"/>
            <w:vAlign w:val="bottom"/>
          </w:tcPr>
          <w:p>
            <w:pPr>
              <w:ind w:left="120"/>
              <w:spacing w:after="0"/>
              <w:rPr>
                <w:sz w:val="20"/>
                <w:szCs w:val="20"/>
                <w:color w:val="auto"/>
              </w:rPr>
            </w:pPr>
            <w:r>
              <w:rPr>
                <w:rFonts w:ascii="Arial" w:cs="Arial" w:eastAsia="Arial" w:hAnsi="Arial"/>
                <w:sz w:val="18"/>
                <w:szCs w:val="18"/>
                <w:color w:val="auto"/>
              </w:rPr>
              <w:t>]  Insurance company as defined in section 3(a)(19) of the Act (15 U.S.C. 78c)</w:t>
            </w:r>
          </w:p>
        </w:tc>
      </w:tr>
      <w:tr>
        <w:trPr>
          <w:trHeight w:val="216"/>
        </w:trPr>
        <w:tc>
          <w:tcPr>
            <w:tcW w:w="920" w:type="dxa"/>
            <w:vAlign w:val="bottom"/>
          </w:tcPr>
          <w:p>
            <w:pPr>
              <w:spacing w:after="0"/>
              <w:rPr>
                <w:sz w:val="18"/>
                <w:szCs w:val="18"/>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(d)</w:t>
            </w: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c>
          <w:tcPr>
            <w:tcW w:w="9340" w:type="dxa"/>
            <w:vAlign w:val="bottom"/>
          </w:tcPr>
          <w:p>
            <w:pPr>
              <w:ind w:left="120"/>
              <w:spacing w:after="0"/>
              <w:rPr>
                <w:sz w:val="20"/>
                <w:szCs w:val="20"/>
                <w:color w:val="auto"/>
              </w:rPr>
            </w:pPr>
            <w:r>
              <w:rPr>
                <w:rFonts w:ascii="Arial" w:cs="Arial" w:eastAsia="Arial" w:hAnsi="Arial"/>
                <w:sz w:val="18"/>
                <w:szCs w:val="18"/>
                <w:color w:val="auto"/>
              </w:rPr>
              <w:t>]  Investment company registered under section 8 of the Investment Company Act of 1940 (15 U.S.C. 80a-8)</w:t>
            </w:r>
          </w:p>
        </w:tc>
      </w:tr>
      <w:tr>
        <w:trPr>
          <w:trHeight w:val="230"/>
        </w:trPr>
        <w:tc>
          <w:tcPr>
            <w:tcW w:w="920" w:type="dxa"/>
            <w:vAlign w:val="bottom"/>
          </w:tcPr>
          <w:p>
            <w:pPr>
              <w:spacing w:after="0"/>
              <w:rPr>
                <w:sz w:val="19"/>
                <w:szCs w:val="19"/>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(e)</w:t>
            </w:r>
          </w:p>
        </w:tc>
        <w:tc>
          <w:tcPr>
            <w:tcW w:w="9580" w:type="dxa"/>
            <w:vAlign w:val="bottom"/>
            <w:gridSpan w:val="2"/>
          </w:tcPr>
          <w:p>
            <w:pPr>
              <w:ind w:left="140"/>
              <w:spacing w:after="0"/>
              <w:rPr>
                <w:sz w:val="20"/>
                <w:szCs w:val="20"/>
                <w:color w:val="auto"/>
              </w:rPr>
            </w:pPr>
            <w:r>
              <w:rPr>
                <w:rFonts w:ascii="Arial" w:cs="Arial" w:eastAsia="Arial" w:hAnsi="Arial"/>
                <w:sz w:val="18"/>
                <w:szCs w:val="18"/>
                <w:color w:val="auto"/>
              </w:rPr>
              <w:t>[ x ]  An investment adviser in accordance with § 240.13d-1(b)(1)(ii)(E)</w:t>
            </w:r>
          </w:p>
        </w:tc>
      </w:tr>
      <w:tr>
        <w:trPr>
          <w:trHeight w:val="216"/>
        </w:trPr>
        <w:tc>
          <w:tcPr>
            <w:tcW w:w="920" w:type="dxa"/>
            <w:vAlign w:val="bottom"/>
          </w:tcPr>
          <w:p>
            <w:pPr>
              <w:spacing w:after="0"/>
              <w:rPr>
                <w:sz w:val="18"/>
                <w:szCs w:val="18"/>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(f)</w:t>
            </w: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c>
          <w:tcPr>
            <w:tcW w:w="9340" w:type="dxa"/>
            <w:vAlign w:val="bottom"/>
          </w:tcPr>
          <w:p>
            <w:pPr>
              <w:ind w:left="120"/>
              <w:spacing w:after="0"/>
              <w:rPr>
                <w:sz w:val="20"/>
                <w:szCs w:val="20"/>
                <w:color w:val="auto"/>
              </w:rPr>
            </w:pPr>
            <w:r>
              <w:rPr>
                <w:rFonts w:ascii="Arial" w:cs="Arial" w:eastAsia="Arial" w:hAnsi="Arial"/>
                <w:sz w:val="18"/>
                <w:szCs w:val="18"/>
                <w:color w:val="auto"/>
              </w:rPr>
              <w:t>]  An employee benefit plan or endowment fund in accordance with § 240.13d-1(b)(1)(ii)(F)</w:t>
            </w:r>
          </w:p>
        </w:tc>
      </w:tr>
      <w:tr>
        <w:trPr>
          <w:trHeight w:val="230"/>
        </w:trPr>
        <w:tc>
          <w:tcPr>
            <w:tcW w:w="920" w:type="dxa"/>
            <w:vAlign w:val="bottom"/>
          </w:tcPr>
          <w:p>
            <w:pPr>
              <w:spacing w:after="0"/>
              <w:rPr>
                <w:sz w:val="20"/>
                <w:szCs w:val="20"/>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(g)</w:t>
            </w: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c>
          <w:tcPr>
            <w:tcW w:w="9340" w:type="dxa"/>
            <w:vAlign w:val="bottom"/>
          </w:tcPr>
          <w:p>
            <w:pPr>
              <w:ind w:left="120"/>
              <w:spacing w:after="0"/>
              <w:rPr>
                <w:sz w:val="20"/>
                <w:szCs w:val="20"/>
                <w:color w:val="auto"/>
              </w:rPr>
            </w:pPr>
            <w:r>
              <w:rPr>
                <w:rFonts w:ascii="Arial" w:cs="Arial" w:eastAsia="Arial" w:hAnsi="Arial"/>
                <w:sz w:val="18"/>
                <w:szCs w:val="18"/>
                <w:color w:val="auto"/>
              </w:rPr>
              <w:t>]  A parent holding company or control person in accordance with § 240.13d-1(b)(ii)(G)</w:t>
            </w:r>
          </w:p>
        </w:tc>
      </w:tr>
      <w:tr>
        <w:trPr>
          <w:trHeight w:val="469"/>
        </w:trPr>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340" w:type="dxa"/>
            <w:vAlign w:val="bottom"/>
          </w:tcPr>
          <w:p>
            <w:pPr>
              <w:ind w:left="3600"/>
              <w:spacing w:after="0"/>
              <w:rPr>
                <w:sz w:val="20"/>
                <w:szCs w:val="20"/>
                <w:color w:val="auto"/>
              </w:rPr>
            </w:pPr>
            <w:r>
              <w:rPr>
                <w:rFonts w:ascii="Arial" w:cs="Arial" w:eastAsia="Arial" w:hAnsi="Arial"/>
                <w:sz w:val="22"/>
                <w:szCs w:val="22"/>
                <w:color w:val="auto"/>
              </w:rPr>
              <w:t>-3-</w:t>
            </w:r>
          </w:p>
        </w:tc>
      </w:tr>
      <w:tr>
        <w:trPr>
          <w:trHeight w:val="105"/>
        </w:trPr>
        <w:tc>
          <w:tcPr>
            <w:tcW w:w="9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3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382" w:right="339" w:bottom="1440" w:gutter="0" w:footer="0" w:header="0"/>
          <w:type w:val="continuous"/>
        </w:sectPr>
      </w:pPr>
    </w:p>
    <w:bookmarkStart w:id="3" w:name="page4"/>
    <w:bookmarkEnd w:id="3"/>
    <w:p>
      <w:pPr>
        <w:ind w:left="1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241300</wp:posOffset>
            </wp:positionV>
            <wp:extent cx="1221105" cy="158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21105" cy="158115"/>
                    </a:xfrm>
                    <a:prstGeom prst="rect">
                      <a:avLst/>
                    </a:prstGeom>
                    <a:noFill/>
                  </pic:spPr>
                </pic:pic>
              </a:graphicData>
            </a:graphic>
          </wp:anchor>
        </w:drawing>
        <w:t>CUSIP No. 72651A207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4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-110490</wp:posOffset>
            </wp:positionV>
            <wp:extent cx="998220" cy="1581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98220" cy="15811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9120" w:space="720"/>
            <w:col w:w="1400"/>
          </w:cols>
          <w:pgMar w:left="320" w:top="382" w:right="339" w:bottom="1440" w:gutter="0" w:footer="0" w:header="0"/>
        </w:sectPr>
      </w:pPr>
    </w:p>
    <w:p>
      <w:pPr>
        <w:spacing w:after="0" w:line="62"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(h)</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940" w:type="dxa"/>
            <w:vAlign w:val="bottom"/>
            <w:gridSpan w:val="4"/>
          </w:tcPr>
          <w:p>
            <w:pPr>
              <w:spacing w:after="0"/>
              <w:rPr>
                <w:sz w:val="20"/>
                <w:szCs w:val="20"/>
                <w:color w:val="auto"/>
              </w:rPr>
            </w:pPr>
            <w:r>
              <w:rPr>
                <w:rFonts w:ascii="Arial" w:cs="Arial" w:eastAsia="Arial" w:hAnsi="Arial"/>
                <w:sz w:val="18"/>
                <w:szCs w:val="18"/>
                <w:color w:val="auto"/>
              </w:rPr>
              <w:t>A savings association as defined in Section 3(b) of the Federal Deposit Insurance Act (12 U.S.C. 1813)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(i)</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940" w:type="dxa"/>
            <w:vAlign w:val="bottom"/>
            <w:gridSpan w:val="4"/>
          </w:tcPr>
          <w:p>
            <w:pPr>
              <w:spacing w:after="0"/>
              <w:rPr>
                <w:sz w:val="20"/>
                <w:szCs w:val="20"/>
                <w:color w:val="auto"/>
              </w:rPr>
            </w:pPr>
            <w:r>
              <w:rPr>
                <w:rFonts w:ascii="Arial" w:cs="Arial" w:eastAsia="Arial" w:hAnsi="Arial"/>
                <w:sz w:val="18"/>
                <w:szCs w:val="18"/>
                <w:color w:val="auto"/>
                <w:w w:val="96"/>
              </w:rPr>
              <w:t>A church plan that is excluded from the definition of an investment company under section 3(c)(14) of the Investment</w:t>
            </w:r>
          </w:p>
        </w:tc>
      </w:tr>
      <w:tr>
        <w:trPr>
          <w:trHeight w:val="216"/>
        </w:trPr>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940" w:type="dxa"/>
            <w:vAlign w:val="bottom"/>
            <w:gridSpan w:val="4"/>
          </w:tcPr>
          <w:p>
            <w:pPr>
              <w:spacing w:after="0"/>
              <w:rPr>
                <w:sz w:val="20"/>
                <w:szCs w:val="20"/>
                <w:color w:val="auto"/>
              </w:rPr>
            </w:pPr>
            <w:r>
              <w:rPr>
                <w:rFonts w:ascii="Arial" w:cs="Arial" w:eastAsia="Arial" w:hAnsi="Arial"/>
                <w:sz w:val="18"/>
                <w:szCs w:val="18"/>
                <w:color w:val="auto"/>
              </w:rPr>
              <w:t>Company Act of 1940 (15 U.S.C. 80a-3)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(j)</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940" w:type="dxa"/>
            <w:vAlign w:val="bottom"/>
            <w:gridSpan w:val="4"/>
          </w:tcPr>
          <w:p>
            <w:pPr>
              <w:spacing w:after="0"/>
              <w:rPr>
                <w:sz w:val="20"/>
                <w:szCs w:val="20"/>
                <w:color w:val="auto"/>
              </w:rPr>
            </w:pPr>
            <w:r>
              <w:rPr>
                <w:rFonts w:ascii="Arial" w:cs="Arial" w:eastAsia="Arial" w:hAnsi="Arial"/>
                <w:sz w:val="18"/>
                <w:szCs w:val="18"/>
                <w:color w:val="auto"/>
              </w:rPr>
              <w:t>A non-U.S. institution in accordance with § 240.13d-1(b)(1)(ii)(J)</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(k)</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940" w:type="dxa"/>
            <w:vAlign w:val="bottom"/>
            <w:gridSpan w:val="4"/>
          </w:tcPr>
          <w:p>
            <w:pPr>
              <w:spacing w:after="0"/>
              <w:rPr>
                <w:sz w:val="20"/>
                <w:szCs w:val="20"/>
                <w:color w:val="auto"/>
              </w:rPr>
            </w:pPr>
            <w:r>
              <w:rPr>
                <w:rFonts w:ascii="Arial" w:cs="Arial" w:eastAsia="Arial" w:hAnsi="Arial"/>
                <w:sz w:val="18"/>
                <w:szCs w:val="18"/>
                <w:color w:val="auto"/>
              </w:rPr>
              <w:t>Group, in accordance with § 240.13d-1(b)(1)(ii)(K)</w:t>
            </w:r>
          </w:p>
        </w:tc>
      </w:tr>
      <w:tr>
        <w:trPr>
          <w:trHeight w:val="391"/>
        </w:trPr>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940" w:type="dxa"/>
            <w:vAlign w:val="bottom"/>
            <w:gridSpan w:val="4"/>
          </w:tcPr>
          <w:p>
            <w:pPr>
              <w:spacing w:after="0"/>
              <w:rPr>
                <w:sz w:val="20"/>
                <w:szCs w:val="20"/>
                <w:color w:val="auto"/>
              </w:rPr>
            </w:pPr>
            <w:r>
              <w:rPr>
                <w:rFonts w:ascii="Arial" w:cs="Arial" w:eastAsia="Arial" w:hAnsi="Arial"/>
                <w:sz w:val="18"/>
                <w:szCs w:val="18"/>
                <w:color w:val="auto"/>
              </w:rPr>
              <w:t>If filing as a non-U.S. institution in accordance with § 240.13d-1(b)(1)(ii)(J), please specify the type of institution:</w:t>
            </w:r>
          </w:p>
        </w:tc>
      </w:tr>
      <w:tr>
        <w:trPr>
          <w:trHeight w:val="196"/>
        </w:trPr>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56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information in items 1 and 5-11 on the cover pages of this Schedule 13G is hereby incorporated by reference.</w:t>
      </w:r>
    </w:p>
    <w:p>
      <w:pPr>
        <w:spacing w:after="0" w:line="225" w:lineRule="exact"/>
        <w:rPr>
          <w:sz w:val="20"/>
          <w:szCs w:val="20"/>
          <w:color w:val="auto"/>
        </w:rPr>
      </w:pPr>
    </w:p>
    <w:p>
      <w:pPr>
        <w:jc w:val="both"/>
        <w:ind w:left="1300"/>
        <w:spacing w:after="0" w:line="271" w:lineRule="auto"/>
        <w:rPr>
          <w:sz w:val="20"/>
          <w:szCs w:val="20"/>
          <w:color w:val="auto"/>
        </w:rPr>
      </w:pPr>
      <w:r>
        <w:rPr>
          <w:rFonts w:ascii="Arial" w:cs="Arial" w:eastAsia="Arial" w:hAnsi="Arial"/>
          <w:sz w:val="17"/>
          <w:szCs w:val="17"/>
          <w:color w:val="auto"/>
        </w:rPr>
        <w:t>Chickasaw Capital Management, LLC is a registered investment adviser which furnishes investment advice to individual clients by exercising trading authority over securities held in accounts on behalf of such clients (collectively, the “portfolios”). In its role as an investment adviser to the portfolios, Chickasaw Capital Management, LLC has sole dispositive power over the portfolios and, as a result, may be deemed to be the beneficial owner of the securities of the Issuer held by such portfolios. However, Chickasaw Capital Management, LLC does not have the right to receive any dividends from, or the proceeds from the sale of, the securities held in such portfolios and disclaims any ownership associated with such rights. In addition, the filing of this Schedule 13G shall not be construed as an admission that Chickasaw Capital Management, LLC is the beneficial owner of any securities covered by this Schedule 13G for any other purposes than Section 13(d) of the Securities Exchange Act of 1934.</w:t>
      </w:r>
    </w:p>
    <w:p>
      <w:pPr>
        <w:spacing w:after="0" w:line="39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229"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Each advisory client of Chickasaw Capital Management, LLC who owns securities of the Issuer in their portfolio has the right to receive dividends from, or the proceeds from the sale of, such securities held in that client’s portfolio.</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4" w:name="page5"/>
    <w:bookmarkEnd w:id="4"/>
    <w:p>
      <w:pPr>
        <w:ind w:left="1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241300</wp:posOffset>
            </wp:positionV>
            <wp:extent cx="1221105" cy="1581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21105" cy="158115"/>
                    </a:xfrm>
                    <a:prstGeom prst="rect">
                      <a:avLst/>
                    </a:prstGeom>
                    <a:noFill/>
                  </pic:spPr>
                </pic:pic>
              </a:graphicData>
            </a:graphic>
          </wp:anchor>
        </w:drawing>
        <w:t>CUSIP No. 72651A207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5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-110490</wp:posOffset>
            </wp:positionV>
            <wp:extent cx="998220" cy="1581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98220" cy="15811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9120" w:space="720"/>
            <w:col w:w="1400"/>
          </w:cols>
          <w:pgMar w:left="320" w:top="382" w:right="339" w:bottom="1440" w:gutter="0" w:footer="0" w:header="0"/>
        </w:sectPr>
      </w:pPr>
    </w:p>
    <w:p>
      <w:pPr>
        <w:spacing w:after="0" w:line="274" w:lineRule="exact"/>
        <w:rPr>
          <w:sz w:val="20"/>
          <w:szCs w:val="20"/>
          <w:color w:val="auto"/>
        </w:rPr>
      </w:pPr>
    </w:p>
    <w:p>
      <w:pPr>
        <w:ind w:left="1300" w:right="6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jc w:val="both"/>
        <w:ind w:left="1300"/>
        <w:spacing w:after="0" w:line="279"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5" w:name="page6"/>
    <w:bookmarkEnd w:id="5"/>
    <w:p>
      <w:pPr>
        <w:ind w:left="1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241300</wp:posOffset>
            </wp:positionV>
            <wp:extent cx="1221105" cy="1581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21105" cy="158115"/>
                    </a:xfrm>
                    <a:prstGeom prst="rect">
                      <a:avLst/>
                    </a:prstGeom>
                    <a:noFill/>
                  </pic:spPr>
                </pic:pic>
              </a:graphicData>
            </a:graphic>
          </wp:anchor>
        </w:drawing>
        <w:t>CUSIP No. 72651A207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6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-110490</wp:posOffset>
            </wp:positionV>
            <wp:extent cx="998220" cy="1581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98220" cy="15811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9120" w:space="720"/>
            <w:col w:w="1280"/>
          </w:cols>
          <w:pgMar w:left="320" w:top="382" w:right="459" w:bottom="1440" w:gutter="0" w:footer="0" w:header="0"/>
        </w:sectPr>
      </w:pPr>
    </w:p>
    <w:p>
      <w:pPr>
        <w:spacing w:after="0" w:line="27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Chickasaw Capital Management,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February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7089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Date</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Andrew E. Garrett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7089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Andrew E. Garrett,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7089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-6-</w:t>
      </w:r>
    </w:p>
    <w:sectPr>
      <w:pgSz w:w="11900" w:h="16838" w:orient="portrait"/>
      <w:cols w:equalWidth="0" w:num="1">
        <w:col w:w="11120"/>
      </w:cols>
      <w:pgMar w:left="320" w:top="382"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5"/>
      <w:numFmt w:val="bullet"/>
      <w:start w:val="1"/>
    </w:lvl>
  </w:abstractNum>
  <w:abstractNum w:abstractNumId="7">
    <w:nsid w:val="4DB127F8"/>
    <w:multiLevelType w:val="hybridMultilevel"/>
    <w:lvl w:ilvl="0">
      <w:lvlJc w:val="left"/>
      <w:lvlText w:val="6"/>
      <w:numFmt w:val="bullet"/>
      <w:start w:val="1"/>
    </w:lvl>
  </w:abstractNum>
  <w:abstractNum w:abstractNumId="8">
    <w:nsid w:val="216231B"/>
    <w:multiLevelType w:val="hybridMultilevel"/>
    <w:lvl w:ilvl="0">
      <w:lvlJc w:val="left"/>
      <w:lvlText w:val="7"/>
      <w:numFmt w:val="bullet"/>
      <w:start w:val="1"/>
    </w:lvl>
  </w:abstractNum>
  <w:abstractNum w:abstractNumId="9">
    <w:nsid w:val="1F16E9E8"/>
    <w:multiLevelType w:val="hybridMultilevel"/>
    <w:lvl w:ilvl="0">
      <w:lvlJc w:val="left"/>
      <w:lvlText w:val="8"/>
      <w:numFmt w:val="bullet"/>
      <w:start w:val="1"/>
    </w:lvl>
  </w:abstractNum>
  <w:abstractNum w:abstractNumId="10">
    <w:nsid w:val="1190CDE7"/>
    <w:multiLevelType w:val="hybridMultilevel"/>
    <w:lvl w:ilvl="0">
      <w:lvlJc w:val="left"/>
      <w:lvlText w:val="9"/>
      <w:numFmt w:val="bullet"/>
      <w:start w:val="1"/>
    </w:lvl>
  </w:abstractNum>
  <w:abstractNum w:abstractNumId="11">
    <w:nsid w:val="66EF438D"/>
    <w:multiLevelType w:val="hybridMultilevel"/>
    <w:lvl w:ilvl="0">
      <w:lvlJc w:val="left"/>
      <w:lvlText w:val="%1"/>
      <w:numFmt w:val="decimal"/>
      <w:start w:val="1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2021-02-05T15:39:49Z</dcterms:created>
  <dcterms:modified xsi:type="dcterms:W3CDTF">2021-02-05T15:39:49Z</dcterms:modified>
</cp:coreProperties>
</file>