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40" w:space="720"/>
            <w:col w:w="2240"/>
          </w:cols>
          <w:pgMar w:left="320" w:top="783" w:right="339" w:bottom="1440" w:gutter="0" w:footer="0" w:header="0"/>
          <w:type w:val="continuous"/>
        </w:sectPr>
      </w:pPr>
    </w:p>
    <w:p>
      <w:pPr>
        <w:jc w:val="center"/>
        <w:ind w:right="3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83" w:right="339" w:bottom="1440" w:gutter="0" w:footer="0" w:header="0"/>
          <w:type w:val="continuous"/>
        </w:sectPr>
      </w:pPr>
    </w:p>
    <w:p>
      <w:pPr>
        <w:spacing w:after="0" w:line="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200660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June 11, 2020, the registrant’s consolidated subsidiaries, Plains All American Pipeline, L.P. (“PAA”) and PAA Finance Corp. (together with PAA, the “Issuers”) completed the public offering (the “Offering”) of $750 million aggregate principal amount of the Issuers’ 3.800% Senior Notes due 2030 (the “Notes”).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Thirty-Second Supplemental Indenture dated as of June 11, 2020 by and among the Issuers and the Trustee (the “Supplemental Indenture”).</w:t>
      </w:r>
    </w:p>
    <w:p>
      <w:pPr>
        <w:spacing w:after="0" w:line="18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Notes will mature on September 15, 2030. Interest is payable on the Notes on each March 15 and September 15, commencing on September 15, 2020. The Issuers may redeem some or all of the Notes at any time and from time to time prior to maturity at the redemption prices specified in the Indenture.</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contains customary events of default with respect to the Notes,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PAA to comply with its obligations under the Indenture, in certain cases subject to notice and grace periods;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PAA and its Subsidiaries (as defined in the Indenture) in the aggregate principal amount of $25.0 million or more;</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PAA or, if and so long as the Notes of that series are guaranteed by a subsidiary guarantor, by such subsidiary guarantor;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4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June 8, 2020, as described below. The foregoing descriptions of the Indenture and the Notes are qualified in their entirety by reference to such Indenture (including the form of Notes attached thereto). A copy of the Supplemental Indenture is filed as Exhibit 4.1 to PAA’s Current Report on Form 8-K filed as of the date hereof and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On June 8, 2020, the Issuers entered into an underwriting agreement (the “Underwriting Agreement”) with J.P. Morgan Securities LLC, Barclays Capital Inc., BofA Securities, Inc. and RBC Capital Markets, LLC, as representatives of the several underwriters named therein, relating to the Offering.</w:t>
      </w:r>
    </w:p>
    <w:p>
      <w:pPr>
        <w:spacing w:after="0" w:line="124"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Notes were offered and sold under the Issuers’ shelf registration statement on Form S-3 (Registration No. 333-227358) filed with the Securities and Exchange Commission on September 14, 2018 (the “Registration Statement”) and are described in a prospectus supplement dated June 8, 2020 to the prospectus dated September 14, 2018, which is included in the Registration Statement.</w:t>
      </w:r>
    </w:p>
    <w:p>
      <w:pPr>
        <w:spacing w:after="0" w:line="18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Underwriting Agreement is filed as Exhibit 1.1 to PAA’s Current Report on Form 8-K filed as of the date hereof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tcPr>
          <w:p>
            <w:pPr>
              <w:jc w:val="right"/>
              <w:ind w:right="370"/>
              <w:spacing w:after="0" w:line="169" w:lineRule="exact"/>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1.1</w:t>
              </w:r>
            </w:hyperlink>
          </w:p>
        </w:tc>
        <w:tc>
          <w:tcPr>
            <w:tcW w:w="220" w:type="dxa"/>
            <w:vAlign w:val="bottom"/>
          </w:tcPr>
          <w:p>
            <w:pPr>
              <w:spacing w:after="0"/>
              <w:rPr>
                <w:sz w:val="14"/>
                <w:szCs w:val="14"/>
                <w:color w:val="auto"/>
              </w:rPr>
            </w:pPr>
          </w:p>
        </w:tc>
        <w:tc>
          <w:tcPr>
            <w:tcW w:w="9580" w:type="dxa"/>
            <w:vAlign w:val="bottom"/>
            <w:tcBorders>
              <w:top w:val="single" w:sz="8" w:color="auto"/>
              <w:bottom w:val="single" w:sz="8" w:color="0000EE"/>
            </w:tcBorders>
            <w:gridSpan w:val="4"/>
          </w:tcPr>
          <w:p>
            <w:pPr>
              <w:spacing w:after="0" w:line="169"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Underwriting Agreement, dated June 8, 2020, by and among Plains All American Pipeline, L.P., PAA Finance Corp. and J.P. Morgan</w:t>
              </w:r>
            </w:hyperlink>
          </w:p>
        </w:tc>
        <w:tc>
          <w:tcPr>
            <w:tcW w:w="300" w:type="dxa"/>
            <w:vAlign w:val="bottom"/>
            <w:tcBorders>
              <w:top w:val="single" w:sz="8" w:color="auto"/>
            </w:tcBorders>
            <w:gridSpan w:val="4"/>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Securities LLC, Barclays Capital Inc., BofA Securities, Inc. and RBC Capital Markets, LLC, as representatives of the several</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6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8"/>
          </w:tcPr>
          <w:p>
            <w:pPr>
              <w:spacing w:after="0"/>
              <w:rPr>
                <w:rFonts w:ascii="Arial" w:cs="Arial" w:eastAsia="Arial" w:hAnsi="Arial"/>
                <w:sz w:val="18"/>
                <w:szCs w:val="18"/>
                <w:u w:val="single" w:color="auto"/>
                <w:color w:val="0000EE"/>
                <w:w w:val="94"/>
              </w:rPr>
            </w:pPr>
            <w:hyperlink r:id="rId19">
              <w:r>
                <w:rPr>
                  <w:rFonts w:ascii="Arial" w:cs="Arial" w:eastAsia="Arial" w:hAnsi="Arial"/>
                  <w:sz w:val="18"/>
                  <w:szCs w:val="18"/>
                  <w:u w:val="single" w:color="auto"/>
                  <w:color w:val="0000EE"/>
                  <w:w w:val="94"/>
                </w:rPr>
                <w:t>underwriters named therein (incorporated by reference to Exhibit 1.1 of PAA’s Current Report on Form 8-K filed on June 11, 2020).</w:t>
              </w:r>
            </w:hyperlink>
          </w:p>
        </w:tc>
      </w:tr>
      <w:tr>
        <w:trPr>
          <w:trHeight w:val="392"/>
        </w:trPr>
        <w:tc>
          <w:tcPr>
            <w:tcW w:w="1140" w:type="dxa"/>
            <w:vAlign w:val="bottom"/>
          </w:tcPr>
          <w:p>
            <w:pPr>
              <w:jc w:val="right"/>
              <w:ind w:right="370"/>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9760" w:type="dxa"/>
            <w:vAlign w:val="bottom"/>
            <w:tcBorders>
              <w:bottom w:val="single" w:sz="8" w:color="0000EE"/>
            </w:tcBorders>
            <w:gridSpan w:val="6"/>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Thirty-Second Supplemental Indenture, dated June 11, 2020, by and among Plains All American Pipeline, L.P., PAA Finance Corp. and</w:t>
              </w:r>
            </w:hyperlink>
          </w:p>
        </w:tc>
        <w:tc>
          <w:tcPr>
            <w:tcW w:w="12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U.S. Bank National Association, as trustee (incorporated by reference to Exhibit 4.1 of PAA’s Current Report on Form 8-K filed on June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
              <w:r>
                <w:rPr>
                  <w:rFonts w:ascii="Arial" w:cs="Arial" w:eastAsia="Arial" w:hAnsi="Arial"/>
                  <w:sz w:val="18"/>
                  <w:szCs w:val="18"/>
                  <w:color w:val="0000EE"/>
                  <w:w w:val="86"/>
                </w:rPr>
                <w:t>11, 2020).</w:t>
              </w:r>
            </w:hyperlink>
          </w:p>
        </w:tc>
        <w:tc>
          <w:tcPr>
            <w:tcW w:w="1740" w:type="dxa"/>
            <w:vAlign w:val="bottom"/>
            <w:tcBorders>
              <w:top w:val="single" w:sz="8" w:color="0000EE"/>
            </w:tcBorders>
          </w:tcPr>
          <w:p>
            <w:pPr>
              <w:spacing w:after="0"/>
              <w:rPr>
                <w:sz w:val="17"/>
                <w:szCs w:val="17"/>
                <w:color w:val="auto"/>
              </w:rPr>
            </w:pPr>
          </w:p>
        </w:tc>
        <w:tc>
          <w:tcPr>
            <w:tcW w:w="66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140" w:type="dxa"/>
            <w:vAlign w:val="bottom"/>
          </w:tcPr>
          <w:p>
            <w:pPr>
              <w:jc w:val="right"/>
              <w:ind w:right="370"/>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color w:val="0000EE"/>
                <w:w w:val="93"/>
              </w:rPr>
            </w:pPr>
            <w:hyperlink r:id="rId20">
              <w:r>
                <w:rPr>
                  <w:rFonts w:ascii="Arial" w:cs="Arial" w:eastAsia="Arial" w:hAnsi="Arial"/>
                  <w:sz w:val="18"/>
                  <w:szCs w:val="18"/>
                  <w:color w:val="0000EE"/>
                  <w:w w:val="93"/>
                </w:rPr>
                <w:t>Form of 3.800% Senior Notes due 2030 (included in Exhibit 4.1) (incorporated by reference to Exhibit 4.2 of PAA’s Current Report on</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Form 8-K filed on June 11, 2020).</w:t>
              </w:r>
            </w:hyperlink>
          </w:p>
        </w:tc>
        <w:tc>
          <w:tcPr>
            <w:tcW w:w="7240" w:type="dxa"/>
            <w:vAlign w:val="bottom"/>
            <w:tcBorders>
              <w:top w:val="single" w:sz="8" w:color="0000EE"/>
            </w:tcBorders>
            <w:gridSpan w:val="3"/>
          </w:tcPr>
          <w:p>
            <w:pPr>
              <w:spacing w:after="0"/>
              <w:rPr>
                <w:sz w:val="17"/>
                <w:szCs w:val="17"/>
                <w:color w:val="auto"/>
              </w:rPr>
            </w:pPr>
          </w:p>
        </w:tc>
        <w:tc>
          <w:tcPr>
            <w:tcW w:w="180" w:type="dxa"/>
            <w:vAlign w:val="bottom"/>
            <w:gridSpan w:val="3"/>
          </w:tcPr>
          <w:p>
            <w:pPr>
              <w:spacing w:after="0"/>
              <w:rPr>
                <w:sz w:val="17"/>
                <w:szCs w:val="17"/>
                <w:color w:val="auto"/>
              </w:rPr>
            </w:pPr>
          </w:p>
        </w:tc>
      </w:tr>
    </w:tbl>
    <w:p>
      <w:pPr>
        <w:spacing w:after="0" w:line="229" w:lineRule="exact"/>
        <w:rPr>
          <w:sz w:val="20"/>
          <w:szCs w:val="20"/>
          <w:color w:val="auto"/>
        </w:rPr>
      </w:pPr>
    </w:p>
    <w:p>
      <w:pPr>
        <w:ind w:left="5580" w:right="4060" w:hanging="5140"/>
        <w:spacing w:after="0" w:line="778" w:lineRule="auto"/>
        <w:tabs>
          <w:tab w:leader="none" w:pos="13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June 11,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9" Type="http://schemas.openxmlformats.org/officeDocument/2006/relationships/hyperlink" Target="https://www.sec.gov/Archives/edgar/data/1070423/000110465920072270/tm2022235d1_ex1-1.htm" TargetMode="External"/><Relationship Id="rId20" Type="http://schemas.openxmlformats.org/officeDocument/2006/relationships/hyperlink" Target="https://www.sec.gov/Archives/edgar/data/1070423/000110465920072270/tm2022235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2020-06-11T10:23:21Z</dcterms:created>
  <dcterms:modified xsi:type="dcterms:W3CDTF">2020-06-11T10:23:21Z</dcterms:modified>
</cp:coreProperties>
</file>