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886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8869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McGee Richard K.</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1600</w:t>
      </w:r>
    </w:p>
    <w:p>
      <w:pPr>
        <w:spacing w:after="0" w:line="35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80" w:val="left"/>
        </w:tabs>
        <w:rPr>
          <w:sz w:val="20"/>
          <w:szCs w:val="20"/>
          <w:color w:val="auto"/>
        </w:rPr>
      </w:pPr>
      <w:r>
        <w:rPr>
          <w:rFonts w:ascii="Arial" w:cs="Arial" w:eastAsia="Arial" w:hAnsi="Arial"/>
          <w:sz w:val="17"/>
          <w:szCs w:val="17"/>
          <w:color w:val="0000FF"/>
        </w:rPr>
        <w:t>HOUSTON</w:t>
      </w:r>
      <w:r>
        <w:rPr>
          <w:sz w:val="20"/>
          <w:szCs w:val="20"/>
          <w:color w:val="auto"/>
        </w:rPr>
        <w:tab/>
      </w:r>
      <w:r>
        <w:rPr>
          <w:rFonts w:ascii="Arial" w:cs="Arial" w:eastAsia="Arial" w:hAnsi="Arial"/>
          <w:sz w:val="17"/>
          <w:szCs w:val="17"/>
          <w:color w:val="0000FF"/>
        </w:rPr>
        <w:t>TX</w:t>
      </w:r>
    </w:p>
    <w:p>
      <w:pPr>
        <w:spacing w:after="0" w:line="33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5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2"/>
            <w:vMerge w:val="restart"/>
          </w:tcPr>
          <w:p>
            <w:pPr>
              <w:ind w:left="180"/>
              <w:spacing w:after="0"/>
              <w:rPr>
                <w:sz w:val="20"/>
                <w:szCs w:val="20"/>
                <w:color w:val="auto"/>
              </w:rPr>
            </w:pPr>
            <w:r>
              <w:rPr>
                <w:rFonts w:ascii="Arial" w:cs="Arial" w:eastAsia="Arial" w:hAnsi="Arial"/>
                <w:sz w:val="17"/>
                <w:szCs w:val="17"/>
                <w:color w:val="0000FF"/>
              </w:rPr>
              <w:t>EVP, General Counsel &amp; Sec.</w:t>
            </w:r>
          </w:p>
        </w:tc>
        <w:tc>
          <w:tcPr>
            <w:tcW w:w="0" w:type="dxa"/>
            <w:vAlign w:val="bottom"/>
          </w:tcPr>
          <w:p>
            <w:pPr>
              <w:spacing w:after="0"/>
              <w:rPr>
                <w:sz w:val="1"/>
                <w:szCs w:val="1"/>
                <w:color w:val="auto"/>
              </w:rPr>
            </w:pPr>
          </w:p>
        </w:tc>
      </w:tr>
      <w:tr>
        <w:trPr>
          <w:trHeight w:val="111"/>
        </w:trPr>
        <w:tc>
          <w:tcPr>
            <w:tcW w:w="37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11/15/2016</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280" w:space="72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0" w:type="dxa"/>
            <w:vAlign w:val="bottom"/>
          </w:tcPr>
          <w:p>
            <w:pPr>
              <w:ind w:left="60"/>
              <w:spacing w:after="0"/>
              <w:rPr>
                <w:sz w:val="20"/>
                <w:szCs w:val="20"/>
                <w:color w:val="auto"/>
              </w:rPr>
            </w:pPr>
            <w:r>
              <w:rPr>
                <w:rFonts w:ascii="Arial" w:cs="Arial" w:eastAsia="Arial" w:hAnsi="Arial"/>
                <w:sz w:val="13"/>
                <w:szCs w:val="13"/>
                <w:color w:val="0000FF"/>
              </w:rPr>
              <w:t>Units in</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98"/>
              <w:spacing w:after="0"/>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(1)(2)</w:t>
            </w:r>
          </w:p>
        </w:tc>
        <w:tc>
          <w:tcPr>
            <w:tcW w:w="640" w:type="dxa"/>
            <w:vAlign w:val="bottom"/>
          </w:tcPr>
          <w:p>
            <w:pPr>
              <w:jc w:val="right"/>
              <w:ind w:right="60"/>
              <w:spacing w:after="0"/>
              <w:rPr>
                <w:sz w:val="20"/>
                <w:szCs w:val="20"/>
                <w:color w:val="auto"/>
              </w:rPr>
            </w:pPr>
            <w:r>
              <w:rPr>
                <w:rFonts w:ascii="Arial" w:cs="Arial" w:eastAsia="Arial" w:hAnsi="Arial"/>
                <w:sz w:val="13"/>
                <w:szCs w:val="13"/>
                <w:color w:val="0000FF"/>
              </w:rPr>
              <w:t>440,449</w:t>
            </w:r>
          </w:p>
        </w:tc>
        <w:tc>
          <w:tcPr>
            <w:tcW w:w="24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w w:val="87"/>
              </w:rPr>
              <w:t>414,609</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right"/>
              <w:ind w:right="201"/>
              <w:spacing w:after="0"/>
              <w:rPr>
                <w:sz w:val="20"/>
                <w:szCs w:val="20"/>
                <w:color w:val="auto"/>
              </w:rPr>
            </w:pPr>
            <w:r>
              <w:rPr>
                <w:rFonts w:ascii="Arial" w:cs="Arial" w:eastAsia="Arial" w:hAnsi="Arial"/>
                <w:sz w:val="13"/>
                <w:szCs w:val="13"/>
                <w:color w:val="0000FF"/>
              </w:rPr>
              <w:t>440,449</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00" w:type="dxa"/>
            <w:vAlign w:val="bottom"/>
          </w:tcPr>
          <w:p>
            <w:pPr>
              <w:ind w:left="60"/>
              <w:spacing w:after="0" w:line="83" w:lineRule="exact"/>
              <w:rPr>
                <w:sz w:val="20"/>
                <w:szCs w:val="20"/>
                <w:color w:val="auto"/>
              </w:rPr>
            </w:pPr>
            <w:r>
              <w:rPr>
                <w:rFonts w:ascii="Arial" w:cs="Arial" w:eastAsia="Arial" w:hAnsi="Arial"/>
                <w:sz w:val="9"/>
                <w:szCs w:val="9"/>
                <w:color w:val="0000FF"/>
              </w:rPr>
              <w:t>Plains AAP,</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ind w:left="180"/>
              <w:spacing w:after="0" w:line="83" w:lineRule="exact"/>
              <w:rPr>
                <w:sz w:val="20"/>
                <w:szCs w:val="20"/>
                <w:color w:val="auto"/>
              </w:rPr>
            </w:pPr>
            <w:r>
              <w:rPr>
                <w:rFonts w:ascii="Arial" w:cs="Arial" w:eastAsia="Arial" w:hAnsi="Arial"/>
                <w:sz w:val="9"/>
                <w:szCs w:val="9"/>
                <w:color w:val="0000FF"/>
              </w:rPr>
              <w:t>Units</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00" w:type="dxa"/>
            <w:vAlign w:val="bottom"/>
          </w:tcPr>
          <w:p>
            <w:pPr>
              <w:ind w:left="60"/>
              <w:spacing w:after="0"/>
              <w:rPr>
                <w:sz w:val="20"/>
                <w:szCs w:val="20"/>
                <w:color w:val="auto"/>
              </w:rPr>
            </w:pPr>
            <w:r>
              <w:rPr>
                <w:rFonts w:ascii="Arial" w:cs="Arial" w:eastAsia="Arial" w:hAnsi="Arial"/>
                <w:sz w:val="13"/>
                <w:szCs w:val="13"/>
                <w:color w:val="0000FF"/>
              </w:rPr>
              <w:t>L.P.</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restart"/>
          </w:tcPr>
          <w:p>
            <w:pPr>
              <w:ind w:left="60"/>
              <w:spacing w:after="0" w:line="210"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(4)(5)</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32"/>
              <w:spacing w:after="0"/>
              <w:rPr>
                <w:sz w:val="20"/>
                <w:szCs w:val="20"/>
                <w:color w:val="auto"/>
              </w:rPr>
            </w:pPr>
            <w:r>
              <w:rPr>
                <w:rFonts w:ascii="Arial" w:cs="Arial" w:eastAsia="Arial" w:hAnsi="Arial"/>
                <w:sz w:val="17"/>
                <w:szCs w:val="17"/>
                <w:color w:val="0000FF"/>
                <w:w w:val="96"/>
              </w:rPr>
              <w:t>14,739</w:t>
            </w:r>
          </w:p>
        </w:tc>
        <w:tc>
          <w:tcPr>
            <w:tcW w:w="720" w:type="dxa"/>
            <w:vAlign w:val="bottom"/>
          </w:tcPr>
          <w:p>
            <w:pPr>
              <w:spacing w:after="0"/>
              <w:rPr>
                <w:sz w:val="5"/>
                <w:szCs w:val="5"/>
                <w:color w:val="auto"/>
              </w:rPr>
            </w:pPr>
          </w:p>
        </w:tc>
        <w:tc>
          <w:tcPr>
            <w:tcW w:w="940" w:type="dxa"/>
            <w:vAlign w:val="bottom"/>
            <w:vMerge w:val="restart"/>
          </w:tcPr>
          <w:p>
            <w:pPr>
              <w:jc w:val="center"/>
              <w:ind w:right="81"/>
              <w:spacing w:after="0" w:line="210" w:lineRule="exact"/>
              <w:rPr>
                <w:sz w:val="20"/>
                <w:szCs w:val="20"/>
                <w:color w:val="auto"/>
              </w:rPr>
            </w:pPr>
            <w:r>
              <w:rPr>
                <w:rFonts w:ascii="Arial" w:cs="Arial" w:eastAsia="Arial" w:hAnsi="Arial"/>
                <w:sz w:val="24"/>
                <w:szCs w:val="24"/>
                <w:color w:val="0000FF"/>
                <w:vertAlign w:val="subscript"/>
              </w:rPr>
              <w:t>14,739</w:t>
            </w:r>
            <w:r>
              <w:rPr>
                <w:rFonts w:ascii="Arial" w:cs="Arial" w:eastAsia="Arial" w:hAnsi="Arial"/>
                <w:sz w:val="10"/>
                <w:szCs w:val="10"/>
                <w:color w:val="008000"/>
              </w:rPr>
              <w:t>(4)(5)</w:t>
            </w: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vMerge w:val="restart"/>
          </w:tcPr>
          <w:p>
            <w:pPr>
              <w:ind w:left="3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vMerge w:val="restart"/>
          </w:tcPr>
          <w:p>
            <w:pPr>
              <w:jc w:val="right"/>
              <w:ind w:right="198"/>
              <w:spacing w:after="0" w:line="144" w:lineRule="exact"/>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40" w:type="dxa"/>
            <w:vAlign w:val="bottom"/>
            <w:vMerge w:val="restart"/>
          </w:tcPr>
          <w:p>
            <w:pPr>
              <w:jc w:val="right"/>
              <w:ind w:right="100"/>
              <w:spacing w:after="0" w:line="144" w:lineRule="exact"/>
              <w:rPr>
                <w:sz w:val="20"/>
                <w:szCs w:val="20"/>
                <w:color w:val="auto"/>
              </w:rPr>
            </w:pPr>
            <w:r>
              <w:rPr>
                <w:rFonts w:ascii="Arial" w:cs="Arial" w:eastAsia="Arial" w:hAnsi="Arial"/>
                <w:sz w:val="13"/>
                <w:szCs w:val="13"/>
                <w:color w:val="0000FF"/>
              </w:rPr>
              <w:t>14,739</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restart"/>
          </w:tcPr>
          <w:p>
            <w:pPr>
              <w:ind w:left="3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continue"/>
          </w:tcPr>
          <w:p>
            <w:pPr>
              <w:spacing w:after="0"/>
              <w:rPr>
                <w:sz w:val="6"/>
                <w:szCs w:val="6"/>
                <w:color w:val="auto"/>
              </w:rPr>
            </w:pPr>
          </w:p>
        </w:tc>
        <w:tc>
          <w:tcPr>
            <w:tcW w:w="74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rPr>
              <w:t>I</w:t>
            </w:r>
          </w:p>
        </w:tc>
        <w:tc>
          <w:tcPr>
            <w:tcW w:w="7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3"/>
                <w:szCs w:val="13"/>
                <w:color w:val="0000FF"/>
              </w:rPr>
              <w:t>Units</w:t>
            </w: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(4) (5)</w:t>
            </w:r>
          </w:p>
        </w:tc>
        <w:tc>
          <w:tcPr>
            <w:tcW w:w="0" w:type="dxa"/>
            <w:vAlign w:val="bottom"/>
          </w:tcPr>
          <w:p>
            <w:pPr>
              <w:spacing w:after="0"/>
              <w:rPr>
                <w:sz w:val="1"/>
                <w:szCs w:val="1"/>
                <w:color w:val="auto"/>
              </w:rPr>
            </w:pPr>
          </w:p>
        </w:tc>
      </w:tr>
      <w:tr>
        <w:trPr>
          <w:trHeight w:val="8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18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("PAGP"), at a conversion ratio of approximately 0.941 Class A Units and Class B shares for each Class B Unit.</w:t>
      </w:r>
    </w:p>
    <w:p>
      <w:pPr>
        <w:spacing w:after="0" w:line="30" w:lineRule="exact"/>
        <w:rPr>
          <w:rFonts w:ascii="Arial" w:cs="Arial" w:eastAsia="Arial" w:hAnsi="Arial"/>
          <w:sz w:val="13"/>
          <w:szCs w:val="13"/>
          <w:color w:val="008000"/>
        </w:rPr>
      </w:pPr>
    </w:p>
    <w:p>
      <w:pPr>
        <w:ind w:left="40" w:right="200" w:firstLine="4"/>
        <w:spacing w:after="0" w:line="26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limited partnership agreement of AAP was amended and restated on November 15, 2016 to provide that, among other things, each limited partner of AAP holding Class A Units, including the Reporting Person following conversion, will have the right, subject to certain limitations, to redeem its Class A Units for common units ("Common Units") of Plains All American Pipeline, L.P. (the "Issuer") on a one-for-one basis, by delivering such Class A Units to Plains AAP along with the associated Class B Shares and GP Units (the "GP Units") in PAA GP Holdings LLC (if applicable), to PAGP (the "Redemption Right"). Pursuant to the limited partnership agreement of AAP, prior to November 15, 2017, the Reporting Person may not exercise his Redemption Right if such exercise would result in the redemption (taken together with any previous redemptions by the Reporting Person) of more than 78% of the Class A Units held by the Reporting Person as of November 15, 2016.</w:t>
      </w:r>
    </w:p>
    <w:p>
      <w:pPr>
        <w:spacing w:after="0" w:line="20"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47" w:lineRule="exact"/>
        <w:rPr>
          <w:rFonts w:ascii="Arial" w:cs="Arial" w:eastAsia="Arial" w:hAnsi="Arial"/>
          <w:sz w:val="13"/>
          <w:szCs w:val="13"/>
          <w:color w:val="008000"/>
        </w:rPr>
      </w:pPr>
    </w:p>
    <w:p>
      <w:pPr>
        <w:jc w:val="both"/>
        <w:ind w:left="40" w:right="36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PAA Management, L.P. ("PAA Management") is also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spacing w:after="0" w:line="30" w:lineRule="exact"/>
        <w:rPr>
          <w:rFonts w:ascii="Arial" w:cs="Arial" w:eastAsia="Arial" w:hAnsi="Arial"/>
          <w:sz w:val="13"/>
          <w:szCs w:val="13"/>
          <w:color w:val="008000"/>
        </w:rPr>
      </w:pPr>
    </w:p>
    <w:p>
      <w:pPr>
        <w:ind w:left="40" w:right="20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Ann F. Gullion, as attorney-</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11/17/2016</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in-fact for Richard K. McGee</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gridSpan w:val="2"/>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002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2020-01-19T09:49:39Z</dcterms:created>
  <dcterms:modified xsi:type="dcterms:W3CDTF">2020-01-19T09:49:39Z</dcterms:modified>
</cp:coreProperties>
</file>