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KAYNE ANDERSON CAPITAL</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Borders>
              <w:top w:val="single" w:sz="8" w:color="0000EE"/>
            </w:tcBorders>
            <w:gridSpan w:val="2"/>
            <w:vMerge w:val="restart"/>
          </w:tcPr>
          <w:p>
            <w:pPr>
              <w:spacing w:after="0" w:line="208"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ADVISORS LP</w:t>
              </w:r>
            </w:hyperlink>
          </w:p>
        </w:tc>
        <w:tc>
          <w:tcPr>
            <w:tcW w:w="11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bottom w:val="single" w:sz="8" w:color="0000EE"/>
            </w:tcBorders>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0"/>
                <w:szCs w:val="10"/>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180"/>
              <w:spacing w:after="0" w:line="88" w:lineRule="exact"/>
              <w:rPr>
                <w:sz w:val="20"/>
                <w:szCs w:val="20"/>
                <w:color w:val="auto"/>
              </w:rPr>
            </w:pPr>
            <w:r>
              <w:rPr>
                <w:rFonts w:ascii="Arial" w:cs="Arial" w:eastAsia="Arial" w:hAnsi="Arial"/>
                <w:sz w:val="10"/>
                <w:szCs w:val="10"/>
                <w:color w:val="auto"/>
              </w:rPr>
              <w:t>below)</w:t>
            </w: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ind w:left="180"/>
              <w:spacing w:after="0" w:line="88" w:lineRule="exact"/>
              <w:rPr>
                <w:sz w:val="20"/>
                <w:szCs w:val="20"/>
                <w:color w:val="auto"/>
              </w:rPr>
            </w:pPr>
            <w:r>
              <w:rPr>
                <w:rFonts w:ascii="Arial" w:cs="Arial" w:eastAsia="Arial" w:hAnsi="Arial"/>
                <w:sz w:val="10"/>
                <w:szCs w:val="10"/>
                <w:color w:val="auto"/>
              </w:rPr>
              <w:t>below)</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2"/>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760" w:type="dxa"/>
            <w:vAlign w:val="bottom"/>
            <w:gridSpan w:val="5"/>
          </w:tcPr>
          <w:p>
            <w:pPr>
              <w:ind w:left="280"/>
              <w:spacing w:after="0"/>
              <w:rPr>
                <w:sz w:val="20"/>
                <w:szCs w:val="20"/>
                <w:color w:val="auto"/>
              </w:rPr>
            </w:pPr>
            <w:r>
              <w:rPr>
                <w:rFonts w:ascii="Arial" w:cs="Arial" w:eastAsia="Arial" w:hAnsi="Arial"/>
                <w:sz w:val="17"/>
                <w:szCs w:val="17"/>
                <w:color w:val="0000FF"/>
              </w:rPr>
              <w:t>09/30/2015</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3RD FLOOR</w:t>
            </w: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gridSpan w:val="2"/>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2"/>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2"/>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5"/>
                <w:szCs w:val="15"/>
                <w:color w:val="auto"/>
              </w:rPr>
            </w:pPr>
          </w:p>
        </w:tc>
        <w:tc>
          <w:tcPr>
            <w:tcW w:w="1540" w:type="dxa"/>
            <w:vAlign w:val="bottom"/>
            <w:gridSpan w:val="5"/>
          </w:tcPr>
          <w:p>
            <w:pPr>
              <w:ind w:left="4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4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6"/>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gridSpan w:val="5"/>
          </w:tcPr>
          <w:p>
            <w:pPr>
              <w:ind w:left="400"/>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3"/>
              </w:rPr>
              <w:t>5)</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160" w:type="dxa"/>
            <w:vAlign w:val="bottom"/>
          </w:tcPr>
          <w:p>
            <w:pPr>
              <w:spacing w:after="0"/>
              <w:rPr>
                <w:sz w:val="22"/>
                <w:szCs w:val="22"/>
                <w:color w:val="auto"/>
              </w:rPr>
            </w:pPr>
          </w:p>
        </w:tc>
        <w:tc>
          <w:tcPr>
            <w:tcW w:w="1900" w:type="dxa"/>
            <w:vAlign w:val="bottom"/>
            <w:gridSpan w:val="6"/>
            <w:vMerge w:val="restart"/>
          </w:tcPr>
          <w:p>
            <w:pPr>
              <w:jc w:val="center"/>
              <w:ind w:left="549"/>
              <w:spacing w:after="0"/>
              <w:rPr>
                <w:sz w:val="20"/>
                <w:szCs w:val="20"/>
                <w:color w:val="auto"/>
              </w:rPr>
            </w:pPr>
            <w:r>
              <w:rPr>
                <w:rFonts w:ascii="Arial" w:cs="Arial" w:eastAsia="Arial" w:hAnsi="Arial"/>
                <w:sz w:val="17"/>
                <w:szCs w:val="17"/>
                <w:color w:val="0000FF"/>
                <w:w w:val="93"/>
              </w:rPr>
              <w:t>09/30/2015</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59"/>
              <w:spacing w:after="0"/>
              <w:rPr>
                <w:sz w:val="20"/>
                <w:szCs w:val="20"/>
                <w:color w:val="auto"/>
              </w:rPr>
            </w:pPr>
            <w:r>
              <w:rPr>
                <w:rFonts w:ascii="Arial" w:cs="Arial" w:eastAsia="Arial" w:hAnsi="Arial"/>
                <w:sz w:val="13"/>
                <w:szCs w:val="13"/>
                <w:color w:val="0000FF"/>
                <w:w w:val="91"/>
              </w:rPr>
              <w:t>A</w:t>
            </w:r>
          </w:p>
        </w:tc>
        <w:tc>
          <w:tcPr>
            <w:tcW w:w="7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492,505</w:t>
            </w:r>
          </w:p>
        </w:tc>
        <w:tc>
          <w:tcPr>
            <w:tcW w:w="48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7"/>
                <w:szCs w:val="17"/>
                <w:color w:val="0000FF"/>
              </w:rPr>
              <w:t>492,505</w:t>
            </w:r>
          </w:p>
        </w:tc>
        <w:tc>
          <w:tcPr>
            <w:tcW w:w="360" w:type="dxa"/>
            <w:vAlign w:val="bottom"/>
          </w:tcPr>
          <w:p>
            <w:pPr>
              <w:spacing w:after="0"/>
              <w:rPr>
                <w:sz w:val="22"/>
                <w:szCs w:val="22"/>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3"/>
            <w:vMerge w:val="restart"/>
          </w:tcPr>
          <w:p>
            <w:pPr>
              <w:spacing w:after="0"/>
              <w:rPr>
                <w:sz w:val="20"/>
                <w:szCs w:val="20"/>
                <w:color w:val="auto"/>
              </w:rPr>
            </w:pPr>
            <w:r>
              <w:rPr>
                <w:rFonts w:ascii="Arial" w:cs="Arial" w:eastAsia="Arial" w:hAnsi="Arial"/>
                <w:sz w:val="17"/>
                <w:szCs w:val="17"/>
                <w:color w:val="0000FF"/>
              </w:rPr>
              <w:t>Footnotes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160" w:type="dxa"/>
            <w:vAlign w:val="bottom"/>
          </w:tcPr>
          <w:p>
            <w:pPr>
              <w:spacing w:after="0"/>
              <w:rPr>
                <w:sz w:val="22"/>
                <w:szCs w:val="22"/>
                <w:color w:val="auto"/>
              </w:rPr>
            </w:pPr>
          </w:p>
        </w:tc>
        <w:tc>
          <w:tcPr>
            <w:tcW w:w="1900" w:type="dxa"/>
            <w:vAlign w:val="bottom"/>
            <w:gridSpan w:val="6"/>
            <w:vMerge w:val="restart"/>
          </w:tcPr>
          <w:p>
            <w:pPr>
              <w:jc w:val="center"/>
              <w:ind w:left="549"/>
              <w:spacing w:after="0"/>
              <w:rPr>
                <w:sz w:val="20"/>
                <w:szCs w:val="20"/>
                <w:color w:val="auto"/>
              </w:rPr>
            </w:pPr>
            <w:r>
              <w:rPr>
                <w:rFonts w:ascii="Arial" w:cs="Arial" w:eastAsia="Arial" w:hAnsi="Arial"/>
                <w:sz w:val="17"/>
                <w:szCs w:val="17"/>
                <w:color w:val="0000FF"/>
                <w:w w:val="93"/>
              </w:rPr>
              <w:t>09/30/2015</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59"/>
              <w:spacing w:after="0"/>
              <w:rPr>
                <w:sz w:val="20"/>
                <w:szCs w:val="20"/>
                <w:color w:val="auto"/>
              </w:rPr>
            </w:pPr>
            <w:r>
              <w:rPr>
                <w:rFonts w:ascii="Arial" w:cs="Arial" w:eastAsia="Arial" w:hAnsi="Arial"/>
                <w:sz w:val="11"/>
                <w:szCs w:val="11"/>
                <w:color w:val="0000FF"/>
                <w:w w:val="71"/>
              </w:rPr>
              <w:t>J</w:t>
            </w:r>
          </w:p>
        </w:tc>
        <w:tc>
          <w:tcPr>
            <w:tcW w:w="7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492,505</w:t>
            </w:r>
          </w:p>
        </w:tc>
        <w:tc>
          <w:tcPr>
            <w:tcW w:w="48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3"/>
            <w:vMerge w:val="restart"/>
          </w:tcPr>
          <w:p>
            <w:pPr>
              <w:spacing w:after="0"/>
              <w:rPr>
                <w:sz w:val="20"/>
                <w:szCs w:val="20"/>
                <w:color w:val="auto"/>
              </w:rPr>
            </w:pPr>
            <w:r>
              <w:rPr>
                <w:rFonts w:ascii="Arial" w:cs="Arial" w:eastAsia="Arial" w:hAnsi="Arial"/>
                <w:sz w:val="17"/>
                <w:szCs w:val="17"/>
                <w:color w:val="0000FF"/>
              </w:rPr>
              <w:t>Footnotes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9"/>
          </w:tcPr>
          <w:p>
            <w:pPr>
              <w:jc w:val="center"/>
              <w:ind w:left="8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14"/>
          </w:tcPr>
          <w:p>
            <w:pPr>
              <w:jc w:val="center"/>
              <w:ind w:left="1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4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14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Class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Units in</w:t>
            </w: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(1)(2)(3)</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color w:val="008000"/>
              </w:rPr>
              <w:t>(1)(2)(3)</w:t>
            </w:r>
          </w:p>
        </w:tc>
        <w:tc>
          <w:tcPr>
            <w:tcW w:w="480" w:type="dxa"/>
            <w:vAlign w:val="bottom"/>
            <w:vMerge w:val="continue"/>
          </w:tcPr>
          <w:p>
            <w:pPr>
              <w:spacing w:after="0"/>
              <w:rPr>
                <w:sz w:val="5"/>
                <w:szCs w:val="5"/>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7"/>
                <w:szCs w:val="17"/>
                <w:color w:val="0000FF"/>
                <w:w w:val="94"/>
              </w:rPr>
              <w:t>492,505</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3"/>
            <w:vMerge w:val="restart"/>
          </w:tcPr>
          <w:p>
            <w:pPr>
              <w:ind w:left="180"/>
              <w:spacing w:after="0" w:line="148"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6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09/30/2015</w:t>
            </w: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0000FF"/>
              </w:rPr>
              <w:t>M</w:t>
            </w:r>
          </w:p>
        </w:tc>
        <w:tc>
          <w:tcPr>
            <w:tcW w:w="10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492,505</w:t>
            </w:r>
          </w:p>
        </w:tc>
        <w:tc>
          <w:tcPr>
            <w:tcW w:w="8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8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A</w:t>
            </w:r>
          </w:p>
        </w:tc>
        <w:tc>
          <w:tcPr>
            <w:tcW w:w="6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0000FF"/>
              </w:rPr>
              <w:t>100,077,004</w:t>
            </w:r>
          </w:p>
        </w:tc>
        <w:tc>
          <w:tcPr>
            <w:tcW w:w="60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Plains</w:t>
            </w:r>
          </w:p>
        </w:tc>
        <w:tc>
          <w:tcPr>
            <w:tcW w:w="7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gridSpan w:val="3"/>
            <w:vMerge w:val="restart"/>
          </w:tcPr>
          <w:p>
            <w:pPr>
              <w:ind w:left="180"/>
              <w:spacing w:after="0" w:line="148"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AAP, L.P.</w:t>
            </w: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-1953895</wp:posOffset>
            </wp:positionV>
            <wp:extent cx="24765" cy="1950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1950085"/>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KAYNE ANDERSON CAPITAL ADVISORS</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LP</w:t>
        </w:r>
      </w:hyperlink>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80"/>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15">
              <w:r>
                <w:rPr>
                  <w:rFonts w:ascii="Arial" w:cs="Arial" w:eastAsia="Arial" w:hAnsi="Arial"/>
                  <w:sz w:val="21"/>
                  <w:szCs w:val="21"/>
                  <w:color w:val="0000EE"/>
                </w:rPr>
                <w:t>KAFU HOLDINGS,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80"/>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520"/>
          </w:cols>
          <w:pgMar w:left="240" w:top="225" w:right="139" w:bottom="0" w:gutter="0" w:footer="0" w:header="0"/>
          <w:type w:val="continuous"/>
        </w:sectPr>
      </w:pPr>
    </w:p>
    <w:p>
      <w:pPr>
        <w:spacing w:after="0" w:line="12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21000" cy="3436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00" cy="34366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KAFU Holdings (QP), L.P.</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80"/>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7"/>
                <w:szCs w:val="17"/>
                <w:color w:val="0000FF"/>
              </w:rPr>
              <w:t>1800 AVENUE OF THE STARS, 3RD FLOOR</w:t>
            </w:r>
          </w:p>
        </w:tc>
      </w:tr>
      <w:tr>
        <w:trPr>
          <w:trHeight w:val="210"/>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18">
              <w:r>
                <w:rPr>
                  <w:rFonts w:ascii="Arial" w:cs="Arial" w:eastAsia="Arial" w:hAnsi="Arial"/>
                  <w:sz w:val="21"/>
                  <w:szCs w:val="21"/>
                  <w:color w:val="0000EE"/>
                </w:rPr>
                <w:t>KAFU Holdings II,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80"/>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8"/>
        <w:spacing w:after="0" w:line="245"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along with Kayne Anderson Capital Advisors, L.P. ("KACALP")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w:t>
      </w:r>
    </w:p>
    <w:p>
      <w:pPr>
        <w:spacing w:after="0" w:line="28" w:lineRule="exact"/>
        <w:rPr>
          <w:rFonts w:ascii="Arial" w:cs="Arial" w:eastAsia="Arial" w:hAnsi="Arial"/>
          <w:sz w:val="13"/>
          <w:szCs w:val="13"/>
          <w:color w:val="008000"/>
        </w:rPr>
      </w:pPr>
    </w:p>
    <w:p>
      <w:pPr>
        <w:ind w:left="20" w:firstLine="8"/>
        <w:spacing w:after="0" w:line="272"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KACALP is the manager of the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redeeming limited partners of KAFU. Such redemptions were made in-kind with Class A shares.</w:t>
      </w:r>
    </w:p>
    <w:p>
      <w:pPr>
        <w:spacing w:after="0" w:line="68"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780" w:type="dxa"/>
            <w:vAlign w:val="bottom"/>
          </w:tcPr>
          <w:p>
            <w:pPr>
              <w:spacing w:after="0"/>
              <w:rPr>
                <w:sz w:val="20"/>
                <w:szCs w:val="20"/>
                <w:color w:val="auto"/>
              </w:rPr>
            </w:pPr>
            <w:r>
              <w:rPr>
                <w:rFonts w:ascii="Arial" w:cs="Arial" w:eastAsia="Arial" w:hAnsi="Arial"/>
                <w:sz w:val="17"/>
                <w:szCs w:val="17"/>
                <w:color w:val="0000FF"/>
                <w:w w:val="89"/>
              </w:rPr>
              <w:t>10/02/2015</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58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0949615" TargetMode="External"/><Relationship Id="rId13" Type="http://schemas.openxmlformats.org/officeDocument/2006/relationships/hyperlink" Target="http://www.sec.gov/cgi-bin/browse-edgar?action=getcompany&amp;CIK=0001581990" TargetMode="External"/><Relationship Id="rId15" Type="http://schemas.openxmlformats.org/officeDocument/2006/relationships/hyperlink" Target="http://www.sec.gov/cgi-bin/browse-edgar?action=getcompany&amp;CIK=0001590015" TargetMode="External"/><Relationship Id="rId17" Type="http://schemas.openxmlformats.org/officeDocument/2006/relationships/hyperlink" Target="http://www.sec.gov/cgi-bin/browse-edgar?action=getcompany&amp;CIK=0001638385" TargetMode="External"/><Relationship Id="rId18"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2019-12-24T09:03:38Z</dcterms:created>
  <dcterms:modified xsi:type="dcterms:W3CDTF">2019-12-24T09:03:38Z</dcterms:modified>
</cp:coreProperties>
</file>