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Chiang Willie CW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ST., STE.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 (U.S.)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40" w:space="1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Units under Long-Term Incentive Plan (includes associated distribution equivalent rights (payable in cash)).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common unit is deliverable, upon vesting, for each Phantom Unit that vests.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Phantom Units will vest on the May 2019 distribution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Willie CW Chiang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2020-01-16T03:22:23Z</dcterms:created>
  <dcterms:modified xsi:type="dcterms:W3CDTF">2020-01-16T03:22:23Z</dcterms:modified>
</cp:coreProperties>
</file>