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222467z424b7.htm"/>
      <w:bookmarkStart w:id="1" w:name="ksa2222467z424b7"/>
      <w:bookmarkStart w:id="2" w:name="a2222467z424b7.htm"/>
      <w:bookmarkStart w:id="3" w:name="ksa2222467z424b7"/>
      <w:bookmarkEnd w:id="2"/>
      <w:bookmarkEnd w:id="3"/>
    </w:p>
    <w:p>
      <w:pPr>
        <w:pStyle w:val="TextBody"/>
        <w:rPr/>
      </w:pPr>
      <w:r>
        <w:rPr>
          <w:sz w:val="24"/>
        </w:rPr>
        <w:t>Use these links to rapidly review the document</w:t>
        <w:br/>
      </w:r>
      <w:hyperlink w:anchor="bg44101_table_of_contents">
        <w:r>
          <w:rPr>
            <w:rStyle w:val="InternetLink"/>
            <w:sz w:val="24"/>
          </w:rPr>
          <w:t>TABLE OF CONTENTS</w:t>
        </w:r>
      </w:hyperlink>
    </w:p>
    <w:p>
      <w:pPr>
        <w:pStyle w:val="TextBody"/>
        <w:rPr/>
      </w:pPr>
      <w:hyperlink w:anchor="bg44101a_main_toc">
        <w:r>
          <w:rPr>
            <w:rStyle w:val="InternetLink"/>
            <w:rFonts w:ascii="times" w:hAnsi="times"/>
            <w:sz w:val="20"/>
          </w:rPr>
          <w:t>Table of Contents</w:t>
        </w:r>
      </w:hyperlink>
      <w:r>
        <w:rPr>
          <w:rFonts w:ascii="times" w:hAnsi="times"/>
          <w:sz w:val="20"/>
        </w:rPr>
        <w:t xml:space="preserve"> </w:t>
      </w:r>
    </w:p>
    <w:p>
      <w:pPr>
        <w:pStyle w:val="TextBody"/>
        <w:jc w:val="right"/>
        <w:rPr>
          <w:rFonts w:ascii="times" w:hAnsi="times"/>
          <w:b/>
          <w:sz w:val="20"/>
        </w:rPr>
      </w:pPr>
      <w:r>
        <w:rPr>
          <w:rFonts w:ascii="times" w:hAnsi="times"/>
          <w:b/>
          <w:sz w:val="20"/>
        </w:rPr>
        <w:t>Filed Pursuant to Rule 424(b)(7)</w:t>
        <w:br/>
        <w:t xml:space="preserve">Registration No. 333-200596 </w:t>
      </w:r>
    </w:p>
    <w:p>
      <w:pPr>
        <w:pStyle w:val="TextBody"/>
        <w:rPr>
          <w:rFonts w:ascii="times" w:hAnsi="times"/>
          <w:b/>
          <w:sz w:val="20"/>
        </w:rPr>
      </w:pPr>
      <w:r>
        <w:rPr>
          <w:rFonts w:ascii="times" w:hAnsi="times"/>
          <w:b/>
          <w:sz w:val="20"/>
        </w:rPr>
        <w:t xml:space="preserve">PROSPECTUS </w:t>
      </w:r>
    </w:p>
    <w:p>
      <w:pPr>
        <w:pStyle w:val="TextBody"/>
        <w:jc w:val="center"/>
        <w:rPr/>
      </w:pPr>
      <w:r>
        <w:rPr/>
        <w:drawing>
          <wp:inline distT="0" distB="0" distL="0" distR="0">
            <wp:extent cx="343852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38525" cy="752475"/>
                    </a:xfrm>
                    <a:prstGeom prst="rect">
                      <a:avLst/>
                    </a:prstGeom>
                  </pic:spPr>
                </pic:pic>
              </a:graphicData>
            </a:graphic>
          </wp:inline>
        </w:drawing>
      </w:r>
      <w:r>
        <w:rPr/>
        <w:t xml:space="preserve"> </w:t>
      </w:r>
    </w:p>
    <w:p>
      <w:pPr>
        <w:pStyle w:val="TextBody"/>
        <w:jc w:val="center"/>
        <w:rPr>
          <w:rFonts w:ascii="times" w:hAnsi="times"/>
          <w:b/>
          <w:sz w:val="28"/>
        </w:rPr>
      </w:pPr>
      <w:r>
        <w:rPr>
          <w:rFonts w:ascii="times" w:hAnsi="times"/>
          <w:b/>
          <w:sz w:val="28"/>
        </w:rPr>
        <w:t>402,447,679 Class A Shares</w:t>
        <w:br/>
        <w:t xml:space="preserve">Representing Limited Partner Interests </w:t>
      </w:r>
    </w:p>
    <w:p>
      <w:pPr>
        <w:pStyle w:val="TextBody"/>
        <w:rPr/>
      </w:pPr>
      <w:r>
        <w:rPr/>
        <w:t>        </w:t>
      </w:r>
      <w:r>
        <w:rPr>
          <w:rFonts w:ascii="times" w:hAnsi="times"/>
          <w:sz w:val="20"/>
        </w:rPr>
        <w:t xml:space="preserve">This prospectus relates to up to 402,447,679 Class A shares representing limited partner interests in Plains GP Holdings, L.P. that the selling shareholders named in this prospectus may from time to time, in one or more offerings, offer and sell. For a detailed discussion of the selling shareholders, please read "Selling Shareholders." </w:t>
      </w:r>
    </w:p>
    <w:p>
      <w:pPr>
        <w:pStyle w:val="TextBody"/>
        <w:rPr/>
      </w:pPr>
      <w:r>
        <w:rPr/>
        <w:t>        </w:t>
      </w:r>
      <w:r>
        <w:rPr>
          <w:rFonts w:ascii="times" w:hAnsi="times"/>
          <w:sz w:val="20"/>
        </w:rPr>
        <w:t xml:space="preserve">The selling shareholders may offer and sell these Class A shares to or through one or more underwriters, dealers or agents, or directly to investors, in amounts, at prices and on terms to be determined by market conditions and other factors at the time of the offering. This prospectus describes only the general terms of these Class A shares and the general manner of offering these Class A shares by the selling shareholders. We may file one or more prospectus supplements that may describe the specific manner in which the selling shareholders will offer the Class A shares and also may add, update or change information contained in this prospectus. </w:t>
      </w:r>
    </w:p>
    <w:p>
      <w:pPr>
        <w:pStyle w:val="TextBody"/>
        <w:rPr/>
      </w:pPr>
      <w:r>
        <w:rPr/>
        <w:t>        </w:t>
      </w:r>
      <w:r>
        <w:rPr>
          <w:rFonts w:ascii="times" w:hAnsi="times"/>
          <w:sz w:val="20"/>
        </w:rPr>
        <w:t xml:space="preserve">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 </w:t>
      </w:r>
    </w:p>
    <w:p>
      <w:pPr>
        <w:pStyle w:val="TextBody"/>
        <w:rPr/>
      </w:pPr>
      <w:r>
        <w:rPr/>
        <w:t>        </w:t>
      </w:r>
      <w:r>
        <w:rPr>
          <w:rFonts w:ascii="times" w:hAnsi="times"/>
          <w:sz w:val="20"/>
        </w:rPr>
        <w:t xml:space="preserve">Our Class A shares are listed on the New York Stock Exchange ("NYSE") under the symbol "PAGP." </w:t>
      </w:r>
    </w:p>
    <w:p>
      <w:pPr>
        <w:pStyle w:val="TextBody"/>
        <w:rPr/>
      </w:pPr>
      <w:r>
        <w:rPr/>
        <w:t>        </w:t>
      </w:r>
      <w:r>
        <w:rPr>
          <w:rFonts w:ascii="times" w:hAnsi="times"/>
          <w:b/>
          <w:sz w:val="20"/>
        </w:rPr>
        <w:t xml:space="preserve">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 </w:t>
      </w:r>
    </w:p>
    <w:p>
      <w:pPr>
        <w:pStyle w:val="TextBody"/>
        <w:rPr/>
      </w:pPr>
      <w:r>
        <w:rPr/>
        <w:t>        </w:t>
      </w:r>
      <w:r>
        <w:rPr>
          <w:rFonts w:ascii="times" w:hAnsi="times"/>
          <w:b/>
          <w:sz w:val="20"/>
        </w:rPr>
        <w:t xml:space="preserve">Neither the Securities and Exchange Commission (the "SEC") nor any state securities commission has approved or disapproved of the Class A shares or determined if this prospectus is truthful or complete. Any representation to the contrary is a criminal offense. </w:t>
      </w:r>
    </w:p>
    <w:p>
      <w:pPr>
        <w:pStyle w:val="TextBody"/>
        <w:spacing w:lineRule="atLeast" w:line="141"/>
        <w:ind w:left="360" w:right="0" w:hanging="0"/>
        <w:rPr/>
      </w:pPr>
      <w:r>
        <w:rPr/>
        <w:t xml:space="preserve">    </w:t>
      </w:r>
    </w:p>
    <w:p>
      <w:pPr>
        <w:pStyle w:val="TextBody"/>
        <w:jc w:val="center"/>
        <w:rPr>
          <w:rFonts w:ascii="times" w:hAnsi="times"/>
          <w:sz w:val="20"/>
        </w:rPr>
      </w:pPr>
      <w:r>
        <w:rPr>
          <w:rFonts w:ascii="times" w:hAnsi="times"/>
          <w:sz w:val="20"/>
        </w:rPr>
        <w:t>The date of this prospectus is December 10, 2014.</w:t>
      </w:r>
    </w:p>
    <w:p>
      <w:pPr>
        <w:pStyle w:val="HorizontalLine"/>
        <w:pBdr>
          <w:bottom w:val="single" w:sz="20" w:space="0" w:color="808080"/>
        </w:pBdr>
        <w:rPr/>
      </w:pPr>
      <w:r>
        <w:rPr/>
      </w:r>
      <w:r>
        <w:br w:type="page"/>
      </w:r>
    </w:p>
    <w:p>
      <w:pPr>
        <w:pStyle w:val="TextBody"/>
        <w:rPr/>
      </w:pPr>
      <w:hyperlink w:anchor="bg44101a_main_toc">
        <w:bookmarkStart w:id="4" w:name="page_bg44101_1_1"/>
        <w:bookmarkEnd w:id="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 w:name="bg44101_table_of_contents"/>
      <w:bookmarkStart w:id="6" w:name="BG44101A_main_toc"/>
      <w:bookmarkEnd w:id="5"/>
      <w:bookmarkEnd w:id="6"/>
      <w:r>
        <w:rPr>
          <w:rFonts w:ascii="times" w:hAnsi="times"/>
          <w:sz w:val="20"/>
        </w:rPr>
        <w:br/>
      </w:r>
      <w:r>
        <w:rPr>
          <w:rFonts w:ascii="times" w:hAnsi="times"/>
          <w:b/>
          <w:sz w:val="20"/>
        </w:rPr>
        <w:t xml:space="preserve">TABLE OF CONTENTS </w:t>
      </w:r>
    </w:p>
    <w:p>
      <w:pPr>
        <w:pStyle w:val="Normal"/>
        <w:spacing w:before="0" w:after="0"/>
        <w:rPr>
          <w:sz w:val="4"/>
          <w:szCs w:val="4"/>
        </w:rPr>
      </w:pPr>
      <w:r>
        <w:rPr>
          <w:sz w:val="4"/>
          <w:szCs w:val="4"/>
        </w:rPr>
      </w:r>
      <w:bookmarkStart w:id="7" w:name="BG44101_TOC"/>
      <w:bookmarkStart w:id="8" w:name="BG44101_TOC"/>
      <w:bookmarkEnd w:id="8"/>
    </w:p>
    <w:tbl>
      <w:tblPr>
        <w:tblW w:w="5000" w:type="pct"/>
        <w:jc w:val="center"/>
        <w:tblInd w:w="0" w:type="dxa"/>
        <w:tblCellMar>
          <w:top w:w="0" w:type="dxa"/>
          <w:left w:w="0" w:type="dxa"/>
          <w:bottom w:w="0" w:type="dxa"/>
          <w:right w:w="0" w:type="dxa"/>
        </w:tblCellMar>
      </w:tblPr>
      <w:tblGrid>
        <w:gridCol w:w="8832"/>
        <w:gridCol w:w="294"/>
        <w:gridCol w:w="172"/>
        <w:gridCol w:w="612"/>
        <w:gridCol w:w="295"/>
      </w:tblGrid>
      <w:tr>
        <w:trPr/>
        <w:tc>
          <w:tcPr>
            <w:tcW w:w="883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8832" w:type="dxa"/>
            <w:tcBorders/>
            <w:shd w:fill="auto" w:val="clear"/>
            <w:vAlign w:val="bottom"/>
          </w:tcPr>
          <w:p>
            <w:pPr>
              <w:pStyle w:val="TableHeading"/>
              <w:spacing w:before="0" w:after="283"/>
              <w:jc w:val="left"/>
              <w:rPr/>
            </w:pPr>
            <w:r>
              <w:rPr/>
              <w:t> </w:t>
            </w:r>
          </w:p>
        </w:tc>
        <w:tc>
          <w:tcPr>
            <w:tcW w:w="294" w:type="dxa"/>
            <w:tcBorders/>
            <w:shd w:fill="auto" w:val="clear"/>
            <w:vAlign w:val="bottom"/>
          </w:tcPr>
          <w:p>
            <w:pPr>
              <w:pStyle w:val="TableHeading"/>
              <w:suppressLineNumbers/>
              <w:spacing w:before="0" w:after="283"/>
              <w:jc w:val="center"/>
              <w:rPr/>
            </w:pPr>
            <w:r>
              <w:rPr/>
              <w:t> </w:t>
            </w:r>
          </w:p>
        </w:tc>
        <w:tc>
          <w:tcPr>
            <w:tcW w:w="7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Page </w:t>
            </w:r>
          </w:p>
        </w:tc>
        <w:tc>
          <w:tcPr>
            <w:tcW w:w="295" w:type="dxa"/>
            <w:tcBorders/>
            <w:shd w:fill="auto" w:val="clear"/>
            <w:vAlign w:val="bottom"/>
          </w:tcPr>
          <w:p>
            <w:pPr>
              <w:pStyle w:val="TableHeading"/>
              <w:suppressLineNumbers/>
              <w:spacing w:before="0" w:after="283"/>
              <w:jc w:val="center"/>
              <w:rPr/>
            </w:pPr>
            <w:r>
              <w:rPr/>
              <w:t> </w:t>
            </w:r>
          </w:p>
        </w:tc>
      </w:tr>
      <w:tr>
        <w:trPr/>
        <w:tc>
          <w:tcPr>
            <w:tcW w:w="8832" w:type="dxa"/>
            <w:tcBorders/>
            <w:shd w:fill="auto" w:val="clear"/>
          </w:tcPr>
          <w:p>
            <w:pPr>
              <w:pStyle w:val="TableContents"/>
              <w:spacing w:before="0" w:after="283"/>
              <w:ind w:left="200" w:right="0" w:hanging="200"/>
              <w:rPr/>
            </w:pPr>
            <w:hyperlink w:anchor="ca44101_guide_to_reading_this_prospectus">
              <w:r>
                <w:rPr>
                  <w:rStyle w:val="InternetLink"/>
                  <w:rFonts w:ascii="times" w:hAnsi="times"/>
                  <w:sz w:val="20"/>
                </w:rPr>
                <w:t>Guide to Reading This Prospectus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a44101_guide_to_reading_this_prospectus">
              <w:r>
                <w:rPr>
                  <w:rStyle w:val="InternetLink"/>
                  <w:rFonts w:ascii="times" w:hAnsi="times"/>
                  <w:sz w:val="20"/>
                </w:rPr>
                <w:t>ii</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a44101_where_you_can_find_more_information">
              <w:r>
                <w:rPr>
                  <w:rStyle w:val="InternetLink"/>
                  <w:rFonts w:ascii="times" w:hAnsi="times"/>
                  <w:sz w:val="20"/>
                </w:rPr>
                <w:t>Where You Can Find More Information</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a44101_where_you_can_find_more_information">
              <w:r>
                <w:rPr>
                  <w:rStyle w:val="InternetLink"/>
                  <w:rFonts w:ascii="times" w:hAnsi="times"/>
                  <w:sz w:val="20"/>
                </w:rPr>
                <w:t>iii</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a44101_forward-looking_statements">
              <w:r>
                <w:rPr>
                  <w:rStyle w:val="InternetLink"/>
                  <w:rFonts w:ascii="times" w:hAnsi="times"/>
                  <w:sz w:val="20"/>
                </w:rPr>
                <w:t>Forward-Looking Statements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a44101_forward-looking_statements">
              <w:r>
                <w:rPr>
                  <w:rStyle w:val="InternetLink"/>
                  <w:rFonts w:ascii="times" w:hAnsi="times"/>
                  <w:sz w:val="20"/>
                </w:rPr>
                <w:t>iv</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c44101_about_plains_gp_holdings,_l.p.">
              <w:r>
                <w:rPr>
                  <w:rStyle w:val="InternetLink"/>
                  <w:rFonts w:ascii="times" w:hAnsi="times"/>
                  <w:sz w:val="20"/>
                </w:rPr>
                <w:t>About Plains GP Holdings, L.P. </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c44101_about_plains_gp_holdings,_l.p.">
              <w:r>
                <w:rPr>
                  <w:rStyle w:val="InternetLink"/>
                  <w:rFonts w:ascii="times" w:hAnsi="times"/>
                  <w:sz w:val="20"/>
                </w:rPr>
                <w:t>1</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c44101_risk_factors">
              <w:r>
                <w:rPr>
                  <w:rStyle w:val="InternetLink"/>
                  <w:rFonts w:ascii="times" w:hAnsi="times"/>
                  <w:sz w:val="20"/>
                </w:rPr>
                <w:t>Risk Factors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c44101_risk_factors">
              <w:r>
                <w:rPr>
                  <w:rStyle w:val="InternetLink"/>
                  <w:rFonts w:ascii="times" w:hAnsi="times"/>
                  <w:sz w:val="20"/>
                </w:rPr>
                <w:t>2</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c44101_use_of_proceeds">
              <w:r>
                <w:rPr>
                  <w:rStyle w:val="InternetLink"/>
                  <w:rFonts w:ascii="times" w:hAnsi="times"/>
                  <w:sz w:val="20"/>
                </w:rPr>
                <w:t>Use of Proceeds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c44101_use_of_proceeds">
              <w:r>
                <w:rPr>
                  <w:rStyle w:val="InternetLink"/>
                  <w:rFonts w:ascii="times" w:hAnsi="times"/>
                  <w:sz w:val="20"/>
                </w:rPr>
                <w:t>3</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c44101_price_range_of_class_a_shares_and_distributions">
              <w:r>
                <w:rPr>
                  <w:rStyle w:val="InternetLink"/>
                  <w:rFonts w:ascii="times" w:hAnsi="times"/>
                  <w:sz w:val="20"/>
                </w:rPr>
                <w:t>Price Range of Class A Shares and Distributions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c44101_price_range_of_class_a_shares_and_distributions">
              <w:r>
                <w:rPr>
                  <w:rStyle w:val="InternetLink"/>
                  <w:rFonts w:ascii="times" w:hAnsi="times"/>
                  <w:sz w:val="20"/>
                </w:rPr>
                <w:t>4</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e44101_our_cash_distribution_policy">
              <w:r>
                <w:rPr>
                  <w:rStyle w:val="InternetLink"/>
                  <w:rFonts w:ascii="times" w:hAnsi="times"/>
                  <w:sz w:val="20"/>
                </w:rPr>
                <w:t>Our Cash Distribution Policy</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e44101_our_cash_distribution_policy">
              <w:r>
                <w:rPr>
                  <w:rStyle w:val="InternetLink"/>
                  <w:rFonts w:ascii="times" w:hAnsi="times"/>
                  <w:sz w:val="20"/>
                </w:rPr>
                <w:t>5</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e44101_the_partnership_agreement">
              <w:r>
                <w:rPr>
                  <w:rStyle w:val="InternetLink"/>
                  <w:rFonts w:ascii="times" w:hAnsi="times"/>
                  <w:sz w:val="20"/>
                </w:rPr>
                <w:t>The Partnership Agreement</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e44101_the_partnership_agreement">
              <w:r>
                <w:rPr>
                  <w:rStyle w:val="InternetLink"/>
                  <w:rFonts w:ascii="times" w:hAnsi="times"/>
                  <w:sz w:val="20"/>
                </w:rPr>
                <w:t>7</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k44101_description_of_our_shares">
              <w:r>
                <w:rPr>
                  <w:rStyle w:val="InternetLink"/>
                  <w:rFonts w:ascii="times" w:hAnsi="times"/>
                  <w:sz w:val="20"/>
                </w:rPr>
                <w:t>Description of Our Shares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k44101_description_of_our_shares">
              <w:r>
                <w:rPr>
                  <w:rStyle w:val="InternetLink"/>
                  <w:rFonts w:ascii="times" w:hAnsi="times"/>
                  <w:sz w:val="20"/>
                </w:rPr>
                <w:t>20</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k44101_material_u.s._federal_income_tax_consequences">
              <w:r>
                <w:rPr>
                  <w:rStyle w:val="InternetLink"/>
                  <w:rFonts w:ascii="times" w:hAnsi="times"/>
                  <w:sz w:val="20"/>
                </w:rPr>
                <w:t>Material U.S. Federal Income Tax Consequences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k44101_material_u.s._federal_income_tax_consequences">
              <w:r>
                <w:rPr>
                  <w:rStyle w:val="InternetLink"/>
                  <w:rFonts w:ascii="times" w:hAnsi="times"/>
                  <w:sz w:val="20"/>
                </w:rPr>
                <w:t>22</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m44101_investment_in_plains_gp_holdin__inv02443">
              <w:r>
                <w:rPr>
                  <w:rStyle w:val="InternetLink"/>
                  <w:rFonts w:ascii="times" w:hAnsi="times"/>
                  <w:sz w:val="20"/>
                </w:rPr>
                <w:t>Investment in Plains GP Holdings, L.P. by Employee Benefit Plans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m44101_investment_in_plains_gp_holdin__inv02443">
              <w:r>
                <w:rPr>
                  <w:rStyle w:val="InternetLink"/>
                  <w:rFonts w:ascii="times" w:hAnsi="times"/>
                  <w:sz w:val="20"/>
                </w:rPr>
                <w:t>28</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o44101_selling_shareholders">
              <w:r>
                <w:rPr>
                  <w:rStyle w:val="InternetLink"/>
                  <w:rFonts w:ascii="times" w:hAnsi="times"/>
                  <w:sz w:val="20"/>
                </w:rPr>
                <w:t>Selling Shareholders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o44101_selling_shareholders">
              <w:r>
                <w:rPr>
                  <w:rStyle w:val="InternetLink"/>
                  <w:rFonts w:ascii="times" w:hAnsi="times"/>
                  <w:sz w:val="20"/>
                </w:rPr>
                <w:t>30</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o44101_plan_of_distribution">
              <w:r>
                <w:rPr>
                  <w:rStyle w:val="InternetLink"/>
                  <w:rFonts w:ascii="times" w:hAnsi="times"/>
                  <w:sz w:val="20"/>
                </w:rPr>
                <w:t>Plan of Distribution</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o44101_plan_of_distribution">
              <w:r>
                <w:rPr>
                  <w:rStyle w:val="InternetLink"/>
                  <w:rFonts w:ascii="times" w:hAnsi="times"/>
                  <w:sz w:val="20"/>
                </w:rPr>
                <w:t>34</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o44101_legal_matters">
              <w:r>
                <w:rPr>
                  <w:rStyle w:val="InternetLink"/>
                  <w:rFonts w:ascii="times" w:hAnsi="times"/>
                  <w:sz w:val="20"/>
                </w:rPr>
                <w:t>Legal Matters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o44101_legal_matters">
              <w:r>
                <w:rPr>
                  <w:rStyle w:val="InternetLink"/>
                  <w:rFonts w:ascii="times" w:hAnsi="times"/>
                  <w:sz w:val="20"/>
                </w:rPr>
                <w:t>36</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o44101_experts">
              <w:r>
                <w:rPr>
                  <w:rStyle w:val="InternetLink"/>
                  <w:rFonts w:ascii="times" w:hAnsi="times"/>
                  <w:sz w:val="20"/>
                </w:rPr>
                <w:t>Experts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o44101_experts">
              <w:r>
                <w:rPr>
                  <w:rStyle w:val="InternetLink"/>
                  <w:rFonts w:ascii="times" w:hAnsi="times"/>
                  <w:sz w:val="20"/>
                </w:rPr>
                <w:t>36</w:t>
              </w:r>
            </w:hyperlink>
          </w:p>
        </w:tc>
        <w:tc>
          <w:tcPr>
            <w:tcW w:w="295" w:type="dxa"/>
            <w:tcBorders/>
            <w:shd w:fill="auto" w:val="clear"/>
            <w:vAlign w:val="bottom"/>
          </w:tcPr>
          <w:p>
            <w:pPr>
              <w:pStyle w:val="TableContents"/>
              <w:spacing w:before="0" w:after="283"/>
              <w:rPr/>
            </w:pPr>
            <w:r>
              <w:rPr/>
              <w:t> </w:t>
            </w:r>
          </w:p>
        </w:tc>
      </w:tr>
    </w:tbl>
    <w:p>
      <w:pPr>
        <w:pStyle w:val="HorizontalLine"/>
        <w:pBdr>
          <w:bottom w:val="single" w:sz="6" w:space="0" w:color="000000"/>
        </w:pBdr>
        <w:ind w:left="3776" w:right="3776" w:hanging="0"/>
        <w:rPr/>
      </w:pPr>
      <w:r>
        <w:rPr/>
      </w:r>
    </w:p>
    <w:p>
      <w:pPr>
        <w:pStyle w:val="TextBody"/>
        <w:rPr>
          <w:sz w:val="20"/>
        </w:rPr>
      </w:pPr>
      <w:r>
        <w:rPr>
          <w:sz w:val="20"/>
        </w:rPr>
      </w:r>
    </w:p>
    <w:p>
      <w:pPr>
        <w:pStyle w:val="TextBody"/>
        <w:rPr/>
      </w:pPr>
      <w:r>
        <w:rPr/>
        <w:t>        </w:t>
      </w:r>
      <w:r>
        <w:rPr>
          <w:rFonts w:ascii="times" w:hAnsi="times"/>
          <w:b/>
          <w:sz w:val="20"/>
        </w:rPr>
        <w:t>You should rely only on the information contained in or incorporated by reference into this prospectus. Neither we nor the selling shareholders have authorized anyone to provide you with additional or different information. If any other person provides you with additional, different or inconsistent information, you should not rely on it. This prospectus is not an offer to sell or the solicitation of an offer to buy any securities other than the securities to which it relates and is not an offer to sell or the solicitation of an offer to buy securities in any jurisdiction where an offer or sale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w:t>
      </w:r>
    </w:p>
    <w:p>
      <w:pPr>
        <w:pStyle w:val="TextBody"/>
        <w:rPr/>
      </w:pPr>
      <w:r>
        <w:rPr/>
        <w:t>        </w:t>
      </w:r>
      <w:r>
        <w:rPr>
          <w:rFonts w:ascii="times" w:hAnsi="times"/>
          <w:sz w:val="20"/>
        </w:rPr>
        <w:t xml:space="preserve">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 </w:t>
      </w:r>
    </w:p>
    <w:p>
      <w:pPr>
        <w:pStyle w:val="TextBody"/>
        <w:jc w:val="center"/>
        <w:rPr>
          <w:rFonts w:ascii="times" w:hAnsi="times"/>
          <w:sz w:val="20"/>
        </w:rPr>
      </w:pPr>
      <w:r>
        <w:rPr>
          <w:rFonts w:ascii="times" w:hAnsi="times"/>
          <w:sz w:val="20"/>
        </w:rPr>
        <w:t>i</w:t>
      </w:r>
    </w:p>
    <w:p>
      <w:pPr>
        <w:pStyle w:val="HorizontalLine"/>
        <w:pBdr>
          <w:bottom w:val="single" w:sz="20" w:space="0" w:color="808080"/>
        </w:pBdr>
        <w:rPr/>
      </w:pPr>
      <w:r>
        <w:rPr/>
      </w:r>
      <w:r>
        <w:br w:type="page"/>
      </w:r>
    </w:p>
    <w:p>
      <w:pPr>
        <w:pStyle w:val="TextBody"/>
        <w:rPr/>
      </w:pPr>
      <w:hyperlink w:anchor="bg44101a_main_toc">
        <w:bookmarkStart w:id="9" w:name="page_ca44101_1_2"/>
        <w:bookmarkEnd w:id="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0" w:name="toc_ca44101_1"/>
      <w:bookmarkStart w:id="11" w:name="ca44101_guide_to_reading_this_prospectus"/>
      <w:bookmarkEnd w:id="10"/>
      <w:bookmarkEnd w:id="11"/>
      <w:r>
        <w:rPr>
          <w:rFonts w:ascii="times" w:hAnsi="times"/>
          <w:sz w:val="20"/>
        </w:rPr>
        <w:br/>
      </w:r>
      <w:r>
        <w:rPr>
          <w:rFonts w:ascii="times" w:hAnsi="times"/>
          <w:b/>
          <w:sz w:val="20"/>
        </w:rPr>
        <w:t xml:space="preserve">GUIDE TO READING THIS PROSPECTUS </w:t>
      </w:r>
    </w:p>
    <w:p>
      <w:pPr>
        <w:pStyle w:val="TextBody"/>
        <w:rPr/>
      </w:pPr>
      <w:r>
        <w:rPr/>
        <w:t>        </w:t>
      </w:r>
      <w:r>
        <w:rPr>
          <w:rFonts w:ascii="times" w:hAnsi="times"/>
          <w:sz w:val="20"/>
        </w:rPr>
        <w:t xml:space="preserve">This prospectus is part of a registration statement on Form S-3 that we filed with the SEC utilizing a "shelf" registration process. Under this shelf registration process, the selling shareholders may over time, in one or more offerings, offer and sell up to 402,447,679 of our Class A shares. </w:t>
      </w:r>
    </w:p>
    <w:p>
      <w:pPr>
        <w:pStyle w:val="TextBody"/>
        <w:rPr/>
      </w:pPr>
      <w:r>
        <w:rPr/>
        <w:t>        </w:t>
      </w:r>
      <w:r>
        <w:rPr>
          <w:rFonts w:ascii="times" w:hAnsi="times"/>
          <w:sz w:val="20"/>
        </w:rPr>
        <w:t xml:space="preserve">We may file one or more prospectus supplements that may describe the specific manner in which the selling shareholders will offer the Class A shares and may also add, update or change information in this prospectus. If there is any inconsistency between the information in this prospectus and any prospectus supplement, you should rely on the information in such prospectus supplement. </w:t>
      </w:r>
    </w:p>
    <w:p>
      <w:pPr>
        <w:pStyle w:val="TextBody"/>
        <w:rPr/>
      </w:pPr>
      <w:r>
        <w:rPr/>
        <w:t>        </w:t>
      </w:r>
      <w:r>
        <w:rPr>
          <w:rFonts w:ascii="times" w:hAnsi="times"/>
          <w:sz w:val="20"/>
        </w:rPr>
        <w:t>The following information should help you understand some of the conventions used in this prospectus. All references in this prospectus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"we," "us," "the Partnership" or "Plains GP Holdings, L.P." refer to Plains GP Holdings, L.P., the registrant itself, or to Plains GP Holdings, L.P. and our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 or other matters involving PAA's assets and operating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refer to Plains All American Pipeline, L.P. (NYSE: PAA), individually, or to Plains All American Pipeline, L.P. and its operating subsidiaries collectively, as the context requires;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GP" refer to PAA GP LLC, the general partner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"AAP" refer to Plains AAP, L.P., which owns a 100% membership interest in PAA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"GP LLC" refer to Plains All American GP LLC, the general partner of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refer to PAA GP Holdings LLC;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"partnership agreement" refer to the Amended and Restated Agreement of Limited Partnership of Plains GP Holdings,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"Registration Rights Agreement" refer to the Shareholder and Registration Rights Agreement entered into with the Legacy Owners in connection with our initial public offering (our "IPO");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"affiliates" of our general partner do not include the Legacy Owners, other than PAA Management, L.P.;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"Legacy Owners" refer to owners of AAP immediately prior to our IPO including, but not limited to: PAA Management, L.P.; and certain entities and individuals affiliated with Occidental Petroleum Corporation ("Occidental"), The Energy &amp; Minerals Group ("EMG"), and Kayne Anderson Investment Management Inc. ("Kayne Anderson"). Unless the context requires otherwise, references to Kayne Anderson include KAFU Holdings, L.P., KAFU Holdings II, L.P., KA First Reserve XII, LLC, Kayne Anderson MLP Investment Company, Kayne Anderson Energy Development Company and Kayne Anderson Midstream/Energy Fund, Inc. </w:t>
      </w:r>
    </w:p>
    <w:p>
      <w:pPr>
        <w:pStyle w:val="TextBody"/>
        <w:jc w:val="center"/>
        <w:rPr>
          <w:rFonts w:ascii="times" w:hAnsi="times"/>
          <w:sz w:val="20"/>
        </w:rPr>
      </w:pPr>
      <w:r>
        <w:rPr>
          <w:rFonts w:ascii="times" w:hAnsi="times"/>
          <w:sz w:val="20"/>
        </w:rPr>
        <w:t>ii</w:t>
      </w:r>
    </w:p>
    <w:p>
      <w:pPr>
        <w:pStyle w:val="HorizontalLine"/>
        <w:pBdr>
          <w:bottom w:val="single" w:sz="20" w:space="0" w:color="808080"/>
        </w:pBdr>
        <w:rPr/>
      </w:pPr>
      <w:r>
        <w:rPr/>
      </w:r>
      <w:r>
        <w:br w:type="page"/>
      </w:r>
    </w:p>
    <w:p>
      <w:pPr>
        <w:pStyle w:val="TextBody"/>
        <w:rPr/>
      </w:pPr>
      <w:hyperlink w:anchor="bg44101a_main_toc">
        <w:bookmarkStart w:id="12" w:name="page_ca44101_1_3"/>
        <w:bookmarkEnd w:id="12"/>
        <w:r>
          <w:rPr>
            <w:rStyle w:val="InternetLink"/>
            <w:rFonts w:ascii="times" w:hAnsi="times"/>
            <w:sz w:val="20"/>
          </w:rPr>
          <w:t>Table of Contents</w:t>
        </w:r>
      </w:hyperlink>
    </w:p>
    <w:p>
      <w:pPr>
        <w:pStyle w:val="TextBody"/>
        <w:jc w:val="center"/>
        <w:rPr>
          <w:rFonts w:ascii="times" w:hAnsi="times"/>
        </w:rPr>
      </w:pPr>
      <w:bookmarkStart w:id="13" w:name="toc_ca44101_2"/>
      <w:bookmarkStart w:id="14" w:name="ca44101_where_you_can_find_more_informat"/>
      <w:bookmarkEnd w:id="13"/>
      <w:bookmarkEnd w:id="14"/>
      <w:r>
        <w:rPr>
          <w:rFonts w:ascii="times" w:hAnsi="times"/>
          <w:sz w:val="20"/>
        </w:rPr>
        <w:br/>
      </w:r>
      <w:r>
        <w:rPr>
          <w:rFonts w:ascii="times" w:hAnsi="times"/>
          <w:b/>
          <w:sz w:val="20"/>
        </w:rPr>
        <w:t xml:space="preserve">WHERE YOU CAN FIND MORE INFORMATION </w:t>
      </w:r>
    </w:p>
    <w:p>
      <w:pPr>
        <w:pStyle w:val="TextBody"/>
        <w:rPr/>
      </w:pPr>
      <w:r>
        <w:rPr/>
        <w:t>        </w:t>
      </w:r>
      <w:r>
        <w:rPr>
          <w:rFonts w:ascii="times" w:hAnsi="times"/>
          <w:sz w:val="20"/>
        </w:rPr>
        <w:t xml:space="preserve">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w:t>
      </w:r>
    </w:p>
    <w:p>
      <w:pPr>
        <w:pStyle w:val="TextBody"/>
        <w:rPr/>
      </w:pPr>
      <w:r>
        <w:rPr/>
        <w:t>        </w:t>
      </w:r>
      <w:r>
        <w:rPr>
          <w:rFonts w:ascii="times" w:hAnsi="times"/>
          <w:sz w:val="20"/>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Annual Report on Form 10-K for the year ended December 31,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Quarterly Reports on Form 10-Q for the quarterly periods ended March 31, 2014, June 30, 2014 and September 30, 2014;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Current Reports on Form 8-K filed on January 10, 2014, January 28, 2014, April 29, 2014, September 11, 2014, September 25, 2014, November 6, 2014, November 13, 2014, November 19, 2014 and November 26, 2014;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description of our Class A shares contained in our Registration Statement on Form 8-A, filed on October 15, 2013, and any subsequent amendment or report filed for the purpose of updating such description. </w:t>
      </w:r>
    </w:p>
    <w:p>
      <w:pPr>
        <w:pStyle w:val="TextBody"/>
        <w:rPr/>
      </w:pPr>
      <w:r>
        <w:rPr/>
        <w:t>        </w:t>
      </w:r>
      <w:r>
        <w:rPr>
          <w:rFonts w:ascii="times" w:hAnsi="times"/>
          <w:sz w:val="20"/>
        </w:rPr>
        <w:t xml:space="preserve">You may request a copy of any document incorporated by reference in this prospectus and any exhibit specifically incorporated by reference in those documents, at no cost, by writing or telephoning us at the following address or phone number: </w:t>
      </w:r>
    </w:p>
    <w:p>
      <w:pPr>
        <w:pStyle w:val="TextBody"/>
        <w:jc w:val="center"/>
        <w:rPr>
          <w:rFonts w:ascii="times" w:hAnsi="times"/>
          <w:sz w:val="20"/>
        </w:rPr>
      </w:pPr>
      <w:r>
        <w:rPr>
          <w:rFonts w:ascii="times" w:hAnsi="times"/>
          <w:sz w:val="20"/>
        </w:rPr>
        <w:t>Plains GP Holdings, L.P.</w:t>
        <w:br/>
        <w:t>Investor Relations</w:t>
        <w:br/>
        <w:t>333 Clay Street, Suite 1600</w:t>
        <w:br/>
        <w:t>Houston, Texas 77002</w:t>
        <w:br/>
        <w:t xml:space="preserve">(713) 646-4100 </w:t>
      </w:r>
    </w:p>
    <w:p>
      <w:pPr>
        <w:pStyle w:val="TextBody"/>
        <w:rPr/>
      </w:pPr>
      <w:r>
        <w:rPr/>
        <w:t>        </w:t>
      </w:r>
      <w:r>
        <w:rPr>
          <w:rFonts w:ascii="times" w:hAnsi="times"/>
          <w:sz w:val="20"/>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times" w:hAnsi="times"/>
          <w:i/>
          <w:sz w:val="20"/>
        </w:rPr>
        <w:t>www.sec.gov</w:t>
      </w:r>
      <w:r>
        <w:rPr>
          <w:rFonts w:ascii="times" w:hAnsi="times"/>
          <w:sz w:val="20"/>
        </w:rPr>
        <w:t xml:space="preserve">. </w:t>
      </w:r>
    </w:p>
    <w:p>
      <w:pPr>
        <w:pStyle w:val="TextBody"/>
        <w:rPr/>
      </w:pPr>
      <w:r>
        <w:rPr/>
        <w:t>        </w:t>
      </w:r>
      <w:r>
        <w:rPr>
          <w:rFonts w:ascii="times" w:hAnsi="times"/>
          <w:sz w:val="20"/>
        </w:rPr>
        <w:t xml:space="preserve">We also make available free of charge on our website at </w:t>
      </w:r>
      <w:r>
        <w:rPr>
          <w:rFonts w:ascii="times" w:hAnsi="times"/>
          <w:i/>
          <w:sz w:val="20"/>
        </w:rPr>
        <w:t>ir.paagp.com</w:t>
      </w:r>
      <w:r>
        <w:rPr>
          <w:rFonts w:ascii="times" w:hAnsi="times"/>
        </w:rPr>
        <w:t xml:space="preserve"> </w:t>
      </w:r>
      <w:r>
        <w:rPr>
          <w:rFonts w:ascii="times" w:hAnsi="times"/>
          <w:sz w:val="20"/>
        </w:rPr>
        <w:t xml:space="preserve">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 </w:t>
      </w:r>
    </w:p>
    <w:p>
      <w:pPr>
        <w:pStyle w:val="TextBody"/>
        <w:jc w:val="center"/>
        <w:rPr>
          <w:rFonts w:ascii="times" w:hAnsi="times"/>
          <w:sz w:val="20"/>
        </w:rPr>
      </w:pPr>
      <w:r>
        <w:rPr>
          <w:rFonts w:ascii="times" w:hAnsi="times"/>
          <w:sz w:val="20"/>
        </w:rPr>
        <w:t>iii</w:t>
      </w:r>
    </w:p>
    <w:p>
      <w:pPr>
        <w:pStyle w:val="HorizontalLine"/>
        <w:pBdr>
          <w:bottom w:val="single" w:sz="20" w:space="0" w:color="808080"/>
        </w:pBdr>
        <w:rPr/>
      </w:pPr>
      <w:r>
        <w:rPr/>
      </w:r>
      <w:r>
        <w:br w:type="page"/>
      </w:r>
    </w:p>
    <w:p>
      <w:pPr>
        <w:pStyle w:val="TextBody"/>
        <w:rPr/>
      </w:pPr>
      <w:hyperlink w:anchor="bg44101a_main_toc">
        <w:bookmarkStart w:id="15" w:name="page_ca44101_1_4"/>
        <w:bookmarkEnd w:id="15"/>
        <w:r>
          <w:rPr>
            <w:rStyle w:val="InternetLink"/>
            <w:rFonts w:ascii="times" w:hAnsi="times"/>
            <w:sz w:val="20"/>
          </w:rPr>
          <w:t>Table of Contents</w:t>
        </w:r>
      </w:hyperlink>
    </w:p>
    <w:p>
      <w:pPr>
        <w:pStyle w:val="TextBody"/>
        <w:jc w:val="center"/>
        <w:rPr>
          <w:rFonts w:ascii="times" w:hAnsi="times"/>
        </w:rPr>
      </w:pPr>
      <w:bookmarkStart w:id="16" w:name="toc_ca44101_3"/>
      <w:bookmarkStart w:id="17" w:name="ca44101_forward-looking_statements"/>
      <w:bookmarkEnd w:id="16"/>
      <w:bookmarkEnd w:id="17"/>
      <w:r>
        <w:rPr>
          <w:rFonts w:ascii="times" w:hAnsi="times"/>
          <w:sz w:val="20"/>
        </w:rPr>
        <w:br/>
      </w:r>
      <w:r>
        <w:rPr>
          <w:rFonts w:ascii="times" w:hAnsi="times"/>
          <w:b/>
          <w:sz w:val="20"/>
        </w:rPr>
        <w:t xml:space="preserve">FORWARD-LOOKING STATEMENTS </w:t>
      </w:r>
    </w:p>
    <w:p>
      <w:pPr>
        <w:pStyle w:val="TextBody"/>
        <w:rPr/>
      </w:pPr>
      <w:r>
        <w:rPr/>
        <w:t>        </w:t>
      </w:r>
      <w:r>
        <w:rPr>
          <w:rFonts w:ascii="times" w:hAnsi="times"/>
          <w:sz w:val="20"/>
        </w:rPr>
        <w:t>All statements included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pay distributions to our Class A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expected receipt of, and amounts of, distributions from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failure to implement or capitalize, or delays in implementing or capitalizing, on planned internal growth projects;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unanticipated changes in crude oil market structure, grade differentials and volatility (or lack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occurrence of a natural disaster, catastrophe, terrorist attack or other event, including attacks on our electronic and computer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weather interference with business operations or project construction, including the impact of extreme weather events or conditions;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tightened capital markets or other factors that increase our cost of capital or limit our access to capital;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maintenance of PAA's credit rating and ability to receive open credit from our suppliers and trade counterparties;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continued creditworthiness of, and performance by, our counterparties, including financial institutions and trading companies with which we do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currency exchange rate of the Canadian dollar;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availability of, and our ability to consummate, acquisition or combination opportunities;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successful integration and future performance of acquired assets or businesses and the risks associated with operating in lines of business that are distinct and separate from our historical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shortages or cost increases of supplies, materials or labor;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effectiveness of our risk management activities; </w:t>
      </w:r>
    </w:p>
    <w:p>
      <w:pPr>
        <w:pStyle w:val="TextBody"/>
        <w:jc w:val="center"/>
        <w:rPr>
          <w:rFonts w:ascii="times" w:hAnsi="times"/>
          <w:sz w:val="20"/>
        </w:rPr>
      </w:pPr>
      <w:r>
        <w:rPr>
          <w:rFonts w:ascii="times" w:hAnsi="times"/>
          <w:sz w:val="20"/>
        </w:rPr>
        <w:t>iv</w:t>
      </w:r>
    </w:p>
    <w:p>
      <w:pPr>
        <w:pStyle w:val="HorizontalLine"/>
        <w:pBdr>
          <w:bottom w:val="single" w:sz="20" w:space="0" w:color="808080"/>
        </w:pBdr>
        <w:rPr/>
      </w:pPr>
      <w:r>
        <w:rPr/>
      </w:r>
      <w:r>
        <w:br w:type="page"/>
      </w:r>
    </w:p>
    <w:p>
      <w:pPr>
        <w:pStyle w:val="TextBody"/>
        <w:rPr/>
      </w:pPr>
      <w:hyperlink w:anchor="bg44101a_main_toc">
        <w:bookmarkStart w:id="18" w:name="page_ca44101_1_5"/>
        <w:bookmarkEnd w:id="1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obtain debt or equity financing on satisfactory terms to fund additional acquisitions, expansion projects, working capital requirements and the repayment or refinancing of indebtedness;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impact of current and future laws, rulings, governmental regulations, accounting standards and statements, and related interpretations;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non-utilization of our assets and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effects of competition;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costs or lack of availability of insurance;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the debt and equity markets, including the price of PAA's units at the time of vesting under its long-term incentive plans;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related to the development and operation of our facilities, including our ability to satisfy our contractual obligations to our customers at our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factors affecting demand for natural gas and natural gas storage services and 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economic, market or business conditions and the amplification of other risks caused by volatile financial markets, capital constraints and pervasive liquidity concerns;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p>
      <w:pPr>
        <w:pStyle w:val="TextBody"/>
        <w:rPr/>
      </w:pPr>
      <w:r>
        <w:rPr/>
        <w:t>        </w:t>
      </w:r>
      <w:r>
        <w:rPr>
          <w:rFonts w:ascii="times" w:hAnsi="times"/>
          <w:sz w:val="20"/>
        </w:rPr>
        <w:t xml:space="preserve">Other factors described or incorporated by reference herein, as well as factors that are unknown or unpredictable, could also have a material adverse effect on future results. Please read "Risk Factors" beginning on page 2 of this prospectus and in our Annual Report on Form 10-K for the fiscal year ended December 31, 2013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 </w:t>
      </w:r>
    </w:p>
    <w:p>
      <w:pPr>
        <w:pStyle w:val="TextBody"/>
        <w:jc w:val="center"/>
        <w:rPr>
          <w:rFonts w:ascii="times" w:hAnsi="times"/>
          <w:sz w:val="20"/>
        </w:rPr>
      </w:pPr>
      <w:r>
        <w:rPr>
          <w:rFonts w:ascii="times" w:hAnsi="times"/>
          <w:sz w:val="20"/>
        </w:rPr>
        <w:t>v</w:t>
      </w:r>
    </w:p>
    <w:p>
      <w:pPr>
        <w:pStyle w:val="HorizontalLine"/>
        <w:pBdr>
          <w:bottom w:val="single" w:sz="20" w:space="0" w:color="808080"/>
        </w:pBdr>
        <w:rPr/>
      </w:pPr>
      <w:r>
        <w:rPr/>
      </w:r>
      <w:r>
        <w:br w:type="page"/>
      </w:r>
    </w:p>
    <w:p>
      <w:pPr>
        <w:pStyle w:val="TextBody"/>
        <w:rPr/>
      </w:pPr>
      <w:hyperlink w:anchor="bg44101a_main_toc">
        <w:bookmarkStart w:id="19" w:name="page_cc44101_1_1"/>
        <w:bookmarkEnd w:id="1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0" w:name="toc_cc44101_1"/>
      <w:bookmarkStart w:id="21" w:name="cc44101_about_plains_gp_holdings,_l.p."/>
      <w:bookmarkEnd w:id="20"/>
      <w:bookmarkEnd w:id="21"/>
      <w:r>
        <w:rPr>
          <w:rFonts w:ascii="times" w:hAnsi="times"/>
          <w:sz w:val="20"/>
        </w:rPr>
        <w:br/>
      </w:r>
      <w:r>
        <w:rPr>
          <w:rFonts w:ascii="times" w:hAnsi="times"/>
          <w:b/>
          <w:sz w:val="20"/>
        </w:rPr>
        <w:t xml:space="preserve">ABOUT PLAINS GP HOLDINGS, L.P. </w:t>
      </w:r>
    </w:p>
    <w:p>
      <w:pPr>
        <w:pStyle w:val="TextBody"/>
        <w:rPr>
          <w:rFonts w:ascii="times" w:hAnsi="times"/>
          <w:b/>
          <w:sz w:val="20"/>
        </w:rPr>
      </w:pPr>
      <w:r>
        <w:rPr>
          <w:rFonts w:ascii="times" w:hAnsi="times"/>
          <w:b/>
          <w:sz w:val="20"/>
        </w:rPr>
        <w:t xml:space="preserve">Overview </w:t>
      </w:r>
    </w:p>
    <w:p>
      <w:pPr>
        <w:pStyle w:val="TextBody"/>
        <w:rPr/>
      </w:pPr>
      <w:r>
        <w:rPr/>
        <w:t>        </w:t>
      </w:r>
      <w:r>
        <w:rPr>
          <w:rFonts w:ascii="times" w:hAnsi="times"/>
          <w:sz w:val="20"/>
        </w:rPr>
        <w:t xml:space="preserve">We are a Delaware limited partnership formed in July 2013 that has elected to be treated as a corporation for U.S. federal income tax purposes. As of November 24, 2014, our only cash-generating assets consisted of 205,046,637 Class A Units of AAP, which we refer to as AAP units, which represent a 33.8% limited partner interest in AAP (31.5% economic interest including the dilutive effect of the Class B units of AAP (the "AAP management units")). AAP currently owns all of the incentive distribution rights ("IDRs") and an indirect 2% general partner interest in PAA. </w:t>
      </w:r>
    </w:p>
    <w:p>
      <w:pPr>
        <w:pStyle w:val="TextBody"/>
        <w:rPr/>
      </w:pPr>
      <w:r>
        <w:rPr/>
        <w:t>        </w:t>
      </w:r>
      <w:r>
        <w:rPr>
          <w:rFonts w:ascii="times" w:hAnsi="times"/>
          <w:sz w:val="20"/>
        </w:rPr>
        <w:t xml:space="preserve">PAA is a publicly traded limited partnership engaged in the transportation, storage, terminalling and marketing of crude oil and refined products, as well as in the processing, transportation, fractionation, storage and marketing of natural gas liquids ("NGL"). PAA is one of the largest publicly traded partnerships with an extensive network of pipeline transportation, terminalling, storage and gathering assets in key crude oil and NGL producing basins and transportation corridors and at major market hubs in the United States and Canada. As of September 30, 2014, the market capitalization of PAA's common units totaled approximately $21.9 billion, and on an average daily basis, PAA transported over 3.9 million barrels of crude oil and NGL on its pipelines. </w:t>
      </w:r>
    </w:p>
    <w:p>
      <w:pPr>
        <w:pStyle w:val="TextBody"/>
        <w:rPr/>
      </w:pPr>
      <w:r>
        <w:rPr/>
        <w:t>        </w:t>
      </w:r>
      <w:r>
        <w:rPr>
          <w:rFonts w:ascii="times" w:hAnsi="times"/>
          <w:sz w:val="20"/>
        </w:rPr>
        <w:t xml:space="preserve">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t>
      </w:r>
    </w:p>
    <w:p>
      <w:pPr>
        <w:pStyle w:val="TextBody"/>
        <w:rPr>
          <w:rFonts w:ascii="times" w:hAnsi="times"/>
          <w:b/>
          <w:sz w:val="20"/>
        </w:rPr>
      </w:pPr>
      <w:r>
        <w:rPr>
          <w:rFonts w:ascii="times" w:hAnsi="times"/>
          <w:b/>
          <w:sz w:val="20"/>
        </w:rPr>
        <w:t xml:space="preserve">Management of Plains GP Holdings, L.P. </w:t>
      </w:r>
    </w:p>
    <w:p>
      <w:pPr>
        <w:pStyle w:val="TextBody"/>
        <w:rPr/>
      </w:pPr>
      <w:r>
        <w:rPr/>
        <w:t>        </w:t>
      </w:r>
      <w:r>
        <w:rPr>
          <w:rFonts w:ascii="times" w:hAnsi="times"/>
          <w:sz w:val="20"/>
        </w:rPr>
        <w:t xml:space="preserve">Our general partner, PAA GP Holdings LLC, manages our operations and activities and is responsible for exercising on our behalf any rights we have as the managing member of GP LLC, including any rights to appoint members to the board of directors of GP LLC. GP LLC has responsibility for managing the business and affairs of PAA and AAP; however, through our rights as the sole and managing member of GP LLC, we effectively control the business and affairs of PAA and AAP. </w:t>
      </w:r>
    </w:p>
    <w:p>
      <w:pPr>
        <w:pStyle w:val="TextBody"/>
        <w:rPr>
          <w:rFonts w:ascii="times" w:hAnsi="times"/>
          <w:b/>
          <w:sz w:val="20"/>
        </w:rPr>
      </w:pPr>
      <w:r>
        <w:rPr>
          <w:rFonts w:ascii="times" w:hAnsi="times"/>
          <w:b/>
          <w:sz w:val="20"/>
        </w:rPr>
        <w:t xml:space="preserve">Principal Executive Offices and Internet Address </w:t>
      </w:r>
    </w:p>
    <w:p>
      <w:pPr>
        <w:pStyle w:val="TextBody"/>
        <w:rPr/>
      </w:pPr>
      <w:r>
        <w:rPr/>
        <w:t>        </w:t>
      </w:r>
      <w:r>
        <w:rPr>
          <w:rFonts w:ascii="times" w:hAnsi="times"/>
          <w:sz w:val="20"/>
        </w:rPr>
        <w:t xml:space="preserve">Our principal executive offices are located at 333 Clay Street, Suite 1600, Houston, TX 77002 and our telephone number is (713) 646-4100. Our website is located at </w:t>
      </w:r>
      <w:r>
        <w:rPr>
          <w:rFonts w:ascii="times" w:hAnsi="times"/>
          <w:i/>
          <w:sz w:val="20"/>
        </w:rPr>
        <w:t>www.plainsallamerican.com</w:t>
      </w:r>
      <w:r>
        <w:rPr>
          <w:rFonts w:ascii="times" w:hAnsi="times"/>
          <w:sz w:val="20"/>
        </w:rPr>
        <w:t xml:space="preserve">.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w:t>
      </w:r>
    </w:p>
    <w:p>
      <w:pPr>
        <w:pStyle w:val="TextBody"/>
        <w:jc w:val="center"/>
        <w:rPr>
          <w:rFonts w:ascii="times" w:hAnsi="times"/>
          <w:sz w:val="20"/>
        </w:rPr>
      </w:pPr>
      <w:r>
        <w:rPr>
          <w:rFonts w:ascii="times" w:hAnsi="times"/>
          <w:sz w:val="20"/>
        </w:rPr>
        <w:t>1</w:t>
      </w:r>
    </w:p>
    <w:p>
      <w:pPr>
        <w:pStyle w:val="HorizontalLine"/>
        <w:pBdr>
          <w:bottom w:val="single" w:sz="20" w:space="0" w:color="808080"/>
        </w:pBdr>
        <w:rPr/>
      </w:pPr>
      <w:r>
        <w:rPr/>
      </w:r>
      <w:r>
        <w:br w:type="page"/>
      </w:r>
    </w:p>
    <w:p>
      <w:pPr>
        <w:pStyle w:val="TextBody"/>
        <w:rPr/>
      </w:pPr>
      <w:hyperlink w:anchor="bg44101a_main_toc">
        <w:bookmarkStart w:id="22" w:name="page_cc44101_1_2"/>
        <w:bookmarkEnd w:id="22"/>
        <w:r>
          <w:rPr>
            <w:rStyle w:val="InternetLink"/>
            <w:rFonts w:ascii="times" w:hAnsi="times"/>
            <w:sz w:val="20"/>
          </w:rPr>
          <w:t>Table of Contents</w:t>
        </w:r>
      </w:hyperlink>
    </w:p>
    <w:p>
      <w:pPr>
        <w:pStyle w:val="TextBody"/>
        <w:jc w:val="center"/>
        <w:rPr>
          <w:rFonts w:ascii="times" w:hAnsi="times"/>
        </w:rPr>
      </w:pPr>
      <w:bookmarkStart w:id="23" w:name="toc_cc44101_2"/>
      <w:bookmarkStart w:id="24" w:name="cc44101_risk_factors"/>
      <w:bookmarkEnd w:id="23"/>
      <w:bookmarkEnd w:id="24"/>
      <w:r>
        <w:rPr>
          <w:rFonts w:ascii="times" w:hAnsi="times"/>
          <w:sz w:val="20"/>
        </w:rPr>
        <w:br/>
      </w:r>
      <w:r>
        <w:rPr>
          <w:rFonts w:ascii="times" w:hAnsi="times"/>
          <w:b/>
          <w:sz w:val="20"/>
        </w:rPr>
        <w:t xml:space="preserve">RISK FACTORS </w:t>
      </w:r>
    </w:p>
    <w:p>
      <w:pPr>
        <w:pStyle w:val="TextBody"/>
        <w:rPr/>
      </w:pPr>
      <w:r>
        <w:rPr/>
        <w:t>        </w:t>
      </w:r>
      <w:r>
        <w:rPr>
          <w:rFonts w:ascii="times" w:hAnsi="times"/>
          <w:sz w:val="20"/>
        </w:rPr>
        <w:t xml:space="preserve">An investment in our Class A shares involves a high degree of risk. Before you invest in our Class A shares, you should carefully consider those risks described in our Annual Report on Form 10-K for the year ended December 31, 2013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 </w:t>
      </w:r>
    </w:p>
    <w:p>
      <w:pPr>
        <w:pStyle w:val="TextBody"/>
        <w:jc w:val="center"/>
        <w:rPr>
          <w:rFonts w:ascii="times" w:hAnsi="times"/>
          <w:sz w:val="20"/>
        </w:rPr>
      </w:pPr>
      <w:r>
        <w:rPr>
          <w:rFonts w:ascii="times" w:hAnsi="times"/>
          <w:sz w:val="20"/>
        </w:rPr>
        <w:t>2</w:t>
      </w:r>
    </w:p>
    <w:p>
      <w:pPr>
        <w:pStyle w:val="HorizontalLine"/>
        <w:pBdr>
          <w:bottom w:val="single" w:sz="20" w:space="0" w:color="808080"/>
        </w:pBdr>
        <w:rPr/>
      </w:pPr>
      <w:r>
        <w:rPr/>
      </w:r>
      <w:r>
        <w:br w:type="page"/>
      </w:r>
    </w:p>
    <w:p>
      <w:pPr>
        <w:pStyle w:val="TextBody"/>
        <w:rPr/>
      </w:pPr>
      <w:hyperlink w:anchor="bg44101a_main_toc">
        <w:bookmarkStart w:id="25" w:name="page_cc44101_1_3"/>
        <w:bookmarkEnd w:id="25"/>
        <w:r>
          <w:rPr>
            <w:rStyle w:val="InternetLink"/>
            <w:rFonts w:ascii="times" w:hAnsi="times"/>
            <w:sz w:val="20"/>
          </w:rPr>
          <w:t>Table of Contents</w:t>
        </w:r>
      </w:hyperlink>
    </w:p>
    <w:p>
      <w:pPr>
        <w:pStyle w:val="TextBody"/>
        <w:jc w:val="center"/>
        <w:rPr>
          <w:rFonts w:ascii="times" w:hAnsi="times"/>
        </w:rPr>
      </w:pPr>
      <w:bookmarkStart w:id="26" w:name="toc_cc44101_3"/>
      <w:bookmarkStart w:id="27" w:name="cc44101_use_of_proceeds"/>
      <w:bookmarkEnd w:id="26"/>
      <w:bookmarkEnd w:id="27"/>
      <w:r>
        <w:rPr>
          <w:rFonts w:ascii="times" w:hAnsi="times"/>
          <w:sz w:val="20"/>
        </w:rPr>
        <w:br/>
      </w:r>
      <w:r>
        <w:rPr>
          <w:rFonts w:ascii="times" w:hAnsi="times"/>
          <w:b/>
          <w:sz w:val="20"/>
        </w:rPr>
        <w:t xml:space="preserve">USE OF PROCEEDS </w:t>
      </w:r>
    </w:p>
    <w:p>
      <w:pPr>
        <w:pStyle w:val="TextBody"/>
        <w:rPr/>
      </w:pPr>
      <w:r>
        <w:rPr/>
        <w:t>        </w:t>
      </w:r>
      <w:r>
        <w:rPr>
          <w:rFonts w:ascii="times" w:hAnsi="times"/>
          <w:sz w:val="20"/>
        </w:rPr>
        <w:t xml:space="preserve">We will not receive any of the proceeds from the sale of Class A shares by the selling shareholders in any offering. We will cause AAP to pay certain expenses, other than underwriting discounts and commissions, associated with the sale of Class A shares by the selling shareholders. </w:t>
      </w:r>
    </w:p>
    <w:p>
      <w:pPr>
        <w:pStyle w:val="TextBody"/>
        <w:jc w:val="center"/>
        <w:rPr>
          <w:rFonts w:ascii="times" w:hAnsi="times"/>
          <w:sz w:val="20"/>
        </w:rPr>
      </w:pPr>
      <w:r>
        <w:rPr>
          <w:rFonts w:ascii="times" w:hAnsi="times"/>
          <w:sz w:val="20"/>
        </w:rPr>
        <w:t>3</w:t>
      </w:r>
    </w:p>
    <w:p>
      <w:pPr>
        <w:pStyle w:val="HorizontalLine"/>
        <w:pBdr>
          <w:bottom w:val="single" w:sz="20" w:space="0" w:color="808080"/>
        </w:pBdr>
        <w:rPr/>
      </w:pPr>
      <w:r>
        <w:rPr/>
      </w:r>
      <w:r>
        <w:br w:type="page"/>
      </w:r>
    </w:p>
    <w:p>
      <w:pPr>
        <w:pStyle w:val="TextBody"/>
        <w:rPr/>
      </w:pPr>
      <w:hyperlink w:anchor="bg44101a_main_toc">
        <w:bookmarkStart w:id="28" w:name="page_cc44101_1_4"/>
        <w:bookmarkEnd w:id="28"/>
        <w:r>
          <w:rPr>
            <w:rStyle w:val="InternetLink"/>
            <w:rFonts w:ascii="times" w:hAnsi="times"/>
            <w:sz w:val="20"/>
          </w:rPr>
          <w:t>Table of Contents</w:t>
        </w:r>
      </w:hyperlink>
    </w:p>
    <w:p>
      <w:pPr>
        <w:pStyle w:val="TextBody"/>
        <w:jc w:val="center"/>
        <w:rPr>
          <w:rFonts w:ascii="times" w:hAnsi="times"/>
        </w:rPr>
      </w:pPr>
      <w:bookmarkStart w:id="29" w:name="toc_cc44101_4"/>
      <w:bookmarkStart w:id="30" w:name="cc44101_price_range_of_class_a_shares_an"/>
      <w:bookmarkEnd w:id="29"/>
      <w:bookmarkEnd w:id="30"/>
      <w:r>
        <w:rPr>
          <w:rFonts w:ascii="times" w:hAnsi="times"/>
          <w:sz w:val="20"/>
        </w:rPr>
        <w:br/>
      </w:r>
      <w:r>
        <w:rPr>
          <w:rFonts w:ascii="times" w:hAnsi="times"/>
          <w:b/>
          <w:sz w:val="20"/>
        </w:rPr>
        <w:t xml:space="preserve">PRICE RANGE OF CLASS A SHARES AND DISTRIBUTIONS </w:t>
      </w:r>
    </w:p>
    <w:p>
      <w:pPr>
        <w:pStyle w:val="TextBody"/>
        <w:rPr/>
      </w:pPr>
      <w:r>
        <w:rPr/>
        <w:t>        </w:t>
      </w:r>
      <w:r>
        <w:rPr>
          <w:rFonts w:ascii="times" w:hAnsi="times"/>
          <w:sz w:val="20"/>
        </w:rPr>
        <w:t xml:space="preserve">As of November 24, 2014, we had 205,046,637 Class A shares outstanding, held by approximately 32,000 shareholders, including Class A shares held in street name. Our Class A shares are traded on the NYSE under the symbol "PAGP." </w:t>
      </w:r>
    </w:p>
    <w:p>
      <w:pPr>
        <w:pStyle w:val="TextBody"/>
        <w:rPr/>
      </w:pPr>
      <w:r>
        <w:rPr/>
        <w:t>        </w:t>
      </w:r>
      <w:r>
        <w:rPr>
          <w:rFonts w:ascii="times" w:hAnsi="times"/>
          <w:sz w:val="20"/>
        </w:rPr>
        <w:t xml:space="preserve">The following table sets forth, for the periods indicated, the high and low sales prices for the Class A shares, as reported on the NYSE Composite Transactions Tape, and quarterly cash distributions declared per Class A share. The last reported sale price of Class A shares on the NYSE on December 9, 2014 was $25.44 per Class A share. </w:t>
      </w:r>
    </w:p>
    <w:tbl>
      <w:tblPr>
        <w:tblW w:w="5000" w:type="pct"/>
        <w:jc w:val="center"/>
        <w:tblInd w:w="0" w:type="dxa"/>
        <w:tblCellMar>
          <w:top w:w="0" w:type="dxa"/>
          <w:left w:w="0" w:type="dxa"/>
          <w:bottom w:w="0" w:type="dxa"/>
          <w:right w:w="0" w:type="dxa"/>
        </w:tblCellMar>
      </w:tblPr>
      <w:tblGrid>
        <w:gridCol w:w="5135"/>
        <w:gridCol w:w="262"/>
        <w:gridCol w:w="182"/>
        <w:gridCol w:w="851"/>
        <w:gridCol w:w="261"/>
        <w:gridCol w:w="182"/>
        <w:gridCol w:w="851"/>
        <w:gridCol w:w="262"/>
        <w:gridCol w:w="182"/>
        <w:gridCol w:w="1767"/>
        <w:gridCol w:w="270"/>
      </w:tblGrid>
      <w:tr>
        <w:trPr/>
        <w:tc>
          <w:tcPr>
            <w:tcW w:w="5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5135" w:type="dxa"/>
            <w:tcBorders/>
            <w:shd w:fill="auto" w:val="clear"/>
            <w:vAlign w:val="bottom"/>
          </w:tcPr>
          <w:p>
            <w:pPr>
              <w:pStyle w:val="TableHeading"/>
              <w:spacing w:before="0" w:after="283"/>
              <w:jc w:val="left"/>
              <w:rPr/>
            </w:pPr>
            <w:r>
              <w:rPr/>
              <w:t> </w:t>
            </w:r>
          </w:p>
        </w:tc>
        <w:tc>
          <w:tcPr>
            <w:tcW w:w="262" w:type="dxa"/>
            <w:vMerge w:val="restart"/>
            <w:tcBorders/>
            <w:shd w:fill="auto" w:val="clear"/>
            <w:vAlign w:val="bottom"/>
          </w:tcPr>
          <w:p>
            <w:pPr>
              <w:pStyle w:val="TableHeading"/>
              <w:suppressLineNumbers/>
              <w:spacing w:before="0" w:after="283"/>
              <w:jc w:val="center"/>
              <w:rPr/>
            </w:pPr>
            <w:r>
              <w:rPr/>
              <w:t> </w:t>
            </w:r>
          </w:p>
        </w:tc>
        <w:tc>
          <w:tcPr>
            <w:tcW w:w="2327"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w:t>
              <w:br/>
              <w:t xml:space="preserve">Price Range </w:t>
            </w:r>
          </w:p>
        </w:tc>
        <w:tc>
          <w:tcPr>
            <w:tcW w:w="262" w:type="dxa"/>
            <w:tcBorders/>
            <w:shd w:fill="auto" w:val="clear"/>
            <w:vAlign w:val="bottom"/>
          </w:tcPr>
          <w:p>
            <w:pPr>
              <w:pStyle w:val="TableHeading"/>
              <w:suppressLineNumbers/>
              <w:spacing w:before="0" w:after="283"/>
              <w:jc w:val="center"/>
              <w:rPr/>
            </w:pPr>
            <w:r>
              <w:rPr/>
              <w:t> </w:t>
            </w:r>
          </w:p>
        </w:tc>
        <w:tc>
          <w:tcPr>
            <w:tcW w:w="1949" w:type="dxa"/>
            <w:gridSpan w:val="2"/>
            <w:tcBorders/>
            <w:shd w:fill="auto" w:val="clear"/>
            <w:vAlign w:val="bottom"/>
          </w:tcPr>
          <w:p>
            <w:pPr>
              <w:pStyle w:val="TableHeading"/>
              <w:spacing w:before="0" w:after="283"/>
              <w:jc w:val="left"/>
              <w:rPr/>
            </w:pPr>
            <w:r>
              <w:rPr/>
              <w:t> </w:t>
            </w:r>
          </w:p>
        </w:tc>
        <w:tc>
          <w:tcPr>
            <w:tcW w:w="270" w:type="dxa"/>
            <w:tcBorders/>
            <w:shd w:fill="auto" w:val="clear"/>
            <w:vAlign w:val="bottom"/>
          </w:tcPr>
          <w:p>
            <w:pPr>
              <w:pStyle w:val="TableHeading"/>
              <w:suppressLineNumbers/>
              <w:spacing w:before="0" w:after="283"/>
              <w:jc w:val="center"/>
              <w:rPr/>
            </w:pPr>
            <w:r>
              <w:rPr/>
              <w:t> </w:t>
            </w:r>
          </w:p>
        </w:tc>
      </w:tr>
      <w:tr>
        <w:trPr/>
        <w:tc>
          <w:tcPr>
            <w:tcW w:w="5135" w:type="dxa"/>
            <w:tcBorders/>
            <w:shd w:fill="auto" w:val="clear"/>
            <w:vAlign w:val="bottom"/>
          </w:tcPr>
          <w:p>
            <w:pPr>
              <w:pStyle w:val="TableHeading"/>
              <w:spacing w:before="0" w:after="283"/>
              <w:jc w:val="left"/>
              <w:rPr/>
            </w:pPr>
            <w:r>
              <w:rPr/>
              <w:t> </w:t>
            </w:r>
          </w:p>
        </w:tc>
        <w:tc>
          <w:tcPr>
            <w:tcW w:w="262" w:type="dxa"/>
            <w:vMerge w:val="continue"/>
            <w:tcBorders/>
            <w:shd w:fill="auto" w:val="clear"/>
            <w:vAlign w:val="bottom"/>
          </w:tcPr>
          <w:p>
            <w:pPr>
              <w:pStyle w:val="Normal"/>
              <w:rPr/>
            </w:pPr>
            <w:r>
              <w:rPr/>
            </w:r>
          </w:p>
        </w:tc>
        <w:tc>
          <w:tcPr>
            <w:tcW w:w="2327" w:type="dxa"/>
            <w:gridSpan w:val="5"/>
            <w:vMerge w:val="continue"/>
            <w:tcBorders>
              <w:bottom w:val="single" w:sz="8" w:space="0" w:color="000000"/>
            </w:tcBorders>
            <w:shd w:fill="auto" w:val="clear"/>
            <w:tcMar>
              <w:bottom w:w="28" w:type="dxa"/>
            </w:tcMar>
            <w:vAlign w:val="bottom"/>
          </w:tcPr>
          <w:p>
            <w:pPr>
              <w:pStyle w:val="Normal"/>
              <w:rPr/>
            </w:pPr>
            <w:r>
              <w:rPr/>
            </w:r>
          </w:p>
        </w:tc>
        <w:tc>
          <w:tcPr>
            <w:tcW w:w="262" w:type="dxa"/>
            <w:vMerge w:val="restart"/>
            <w:tcBorders/>
            <w:shd w:fill="auto" w:val="clear"/>
            <w:vAlign w:val="bottom"/>
          </w:tcPr>
          <w:p>
            <w:pPr>
              <w:pStyle w:val="TableHeading"/>
              <w:suppressLineNumbers/>
              <w:spacing w:before="0" w:after="283"/>
              <w:jc w:val="center"/>
              <w:rPr/>
            </w:pPr>
            <w:r>
              <w:rPr/>
              <w:t> </w:t>
            </w:r>
          </w:p>
        </w:tc>
        <w:tc>
          <w:tcPr>
            <w:tcW w:w="1949"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Cash</w:t>
              <w:br/>
              <w:t>Distributions per</w:t>
              <w:br/>
              <w:t xml:space="preserve">Class A Share(1) </w:t>
            </w:r>
          </w:p>
        </w:tc>
        <w:tc>
          <w:tcPr>
            <w:tcW w:w="270" w:type="dxa"/>
            <w:tcBorders/>
            <w:shd w:fill="auto" w:val="clear"/>
            <w:vAlign w:val="bottom"/>
          </w:tcPr>
          <w:p>
            <w:pPr>
              <w:pStyle w:val="TableHeading"/>
              <w:suppressLineNumbers/>
              <w:spacing w:before="0" w:after="283"/>
              <w:jc w:val="center"/>
              <w:rPr/>
            </w:pPr>
            <w:r>
              <w:rPr/>
              <w:t> </w:t>
            </w:r>
          </w:p>
        </w:tc>
      </w:tr>
      <w:tr>
        <w:trPr/>
        <w:tc>
          <w:tcPr>
            <w:tcW w:w="5135" w:type="dxa"/>
            <w:tcBorders/>
            <w:shd w:fill="auto" w:val="clear"/>
            <w:vAlign w:val="bottom"/>
          </w:tcPr>
          <w:p>
            <w:pPr>
              <w:pStyle w:val="TableHeading"/>
              <w:spacing w:before="0" w:after="283"/>
              <w:jc w:val="left"/>
              <w:rPr/>
            </w:pPr>
            <w:r>
              <w:rPr/>
              <w:t> </w:t>
            </w:r>
          </w:p>
        </w:tc>
        <w:tc>
          <w:tcPr>
            <w:tcW w:w="262" w:type="dxa"/>
            <w:tcBorders/>
            <w:shd w:fill="auto" w:val="clear"/>
            <w:vAlign w:val="bottom"/>
          </w:tcPr>
          <w:p>
            <w:pPr>
              <w:pStyle w:val="TableHeading"/>
              <w:suppressLineNumbers/>
              <w:spacing w:before="0" w:after="283"/>
              <w:jc w:val="center"/>
              <w:rPr/>
            </w:pPr>
            <w:r>
              <w:rPr/>
              <w:t> </w:t>
            </w:r>
          </w:p>
        </w:tc>
        <w:tc>
          <w:tcPr>
            <w:tcW w:w="10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261" w:type="dxa"/>
            <w:tcBorders/>
            <w:shd w:fill="auto" w:val="clear"/>
            <w:vAlign w:val="bottom"/>
          </w:tcPr>
          <w:p>
            <w:pPr>
              <w:pStyle w:val="TableHeading"/>
              <w:suppressLineNumbers/>
              <w:spacing w:before="0" w:after="283"/>
              <w:jc w:val="center"/>
              <w:rPr/>
            </w:pPr>
            <w:r>
              <w:rPr/>
              <w:t> </w:t>
            </w:r>
          </w:p>
        </w:tc>
        <w:tc>
          <w:tcPr>
            <w:tcW w:w="103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262" w:type="dxa"/>
            <w:vMerge w:val="continue"/>
            <w:tcBorders/>
            <w:shd w:fill="auto" w:val="clear"/>
            <w:vAlign w:val="bottom"/>
          </w:tcPr>
          <w:p>
            <w:pPr>
              <w:pStyle w:val="Normal"/>
              <w:rPr/>
            </w:pPr>
            <w:r>
              <w:rPr/>
            </w:r>
          </w:p>
        </w:tc>
        <w:tc>
          <w:tcPr>
            <w:tcW w:w="1949" w:type="dxa"/>
            <w:gridSpan w:val="2"/>
            <w:vMerge w:val="continue"/>
            <w:tcBorders>
              <w:bottom w:val="single" w:sz="8" w:space="0" w:color="000000"/>
            </w:tcBorders>
            <w:shd w:fill="auto" w:val="clear"/>
            <w:tcMar>
              <w:bottom w:w="28" w:type="dxa"/>
            </w:tcMar>
            <w:vAlign w:val="bottom"/>
          </w:tcPr>
          <w:p>
            <w:pPr>
              <w:pStyle w:val="Normal"/>
              <w:rPr/>
            </w:pPr>
            <w:r>
              <w:rPr/>
            </w:r>
          </w:p>
        </w:tc>
        <w:tc>
          <w:tcPr>
            <w:tcW w:w="270" w:type="dxa"/>
            <w:tcBorders/>
            <w:shd w:fill="auto" w:val="clear"/>
            <w:vAlign w:val="bottom"/>
          </w:tcPr>
          <w:p>
            <w:pPr>
              <w:pStyle w:val="TableHeading"/>
              <w:suppressLineNumbers/>
              <w:spacing w:before="0" w:after="283"/>
              <w:jc w:val="center"/>
              <w:rPr/>
            </w:pPr>
            <w:r>
              <w:rPr/>
              <w:t> </w:t>
            </w:r>
          </w:p>
        </w:tc>
      </w:tr>
      <w:tr>
        <w:trPr/>
        <w:tc>
          <w:tcPr>
            <w:tcW w:w="513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2013</w:t>
            </w:r>
          </w:p>
        </w:tc>
        <w:tc>
          <w:tcPr>
            <w:tcW w:w="262"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261"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262"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 </w:t>
            </w:r>
          </w:p>
        </w:tc>
        <w:tc>
          <w:tcPr>
            <w:tcW w:w="270" w:type="dxa"/>
            <w:tcBorders/>
            <w:shd w:fill="CCEEFF" w:val="clear"/>
            <w:vAlign w:val="bottom"/>
          </w:tcPr>
          <w:p>
            <w:pPr>
              <w:pStyle w:val="TableContents"/>
              <w:spacing w:before="0" w:after="283"/>
              <w:rPr/>
            </w:pPr>
            <w:r>
              <w:rPr/>
              <w:t> </w:t>
            </w:r>
          </w:p>
        </w:tc>
      </w:tr>
      <w:tr>
        <w:trPr/>
        <w:tc>
          <w:tcPr>
            <w:tcW w:w="513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Fourth Quarter(2)</w:t>
            </w:r>
          </w:p>
        </w:tc>
        <w:tc>
          <w:tcPr>
            <w:tcW w:w="262"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51" w:type="dxa"/>
            <w:tcBorders/>
            <w:shd w:fill="FFFFFF" w:val="clear"/>
            <w:vAlign w:val="bottom"/>
          </w:tcPr>
          <w:p>
            <w:pPr>
              <w:pStyle w:val="TableContents"/>
              <w:spacing w:before="0" w:after="283"/>
              <w:jc w:val="right"/>
              <w:rPr>
                <w:rFonts w:ascii="times" w:hAnsi="times"/>
                <w:sz w:val="20"/>
              </w:rPr>
            </w:pPr>
            <w:r>
              <w:rPr>
                <w:rFonts w:ascii="times" w:hAnsi="times"/>
                <w:sz w:val="20"/>
              </w:rPr>
              <w:t>27.04</w:t>
            </w:r>
          </w:p>
        </w:tc>
        <w:tc>
          <w:tcPr>
            <w:tcW w:w="261"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51" w:type="dxa"/>
            <w:tcBorders/>
            <w:shd w:fill="FFFFFF" w:val="clear"/>
            <w:vAlign w:val="bottom"/>
          </w:tcPr>
          <w:p>
            <w:pPr>
              <w:pStyle w:val="TableContents"/>
              <w:spacing w:before="0" w:after="283"/>
              <w:jc w:val="right"/>
              <w:rPr>
                <w:rFonts w:ascii="times" w:hAnsi="times"/>
                <w:sz w:val="20"/>
              </w:rPr>
            </w:pPr>
            <w:r>
              <w:rPr>
                <w:rFonts w:ascii="times" w:hAnsi="times"/>
                <w:sz w:val="20"/>
              </w:rPr>
              <w:t>21.50</w:t>
            </w:r>
          </w:p>
        </w:tc>
        <w:tc>
          <w:tcPr>
            <w:tcW w:w="262"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767" w:type="dxa"/>
            <w:tcBorders/>
            <w:shd w:fill="FFFFFF" w:val="clear"/>
            <w:vAlign w:val="bottom"/>
          </w:tcPr>
          <w:p>
            <w:pPr>
              <w:pStyle w:val="TableContents"/>
              <w:spacing w:before="0" w:after="283"/>
              <w:jc w:val="right"/>
              <w:rPr>
                <w:rFonts w:ascii="times" w:hAnsi="times"/>
                <w:sz w:val="20"/>
              </w:rPr>
            </w:pPr>
            <w:r>
              <w:rPr>
                <w:rFonts w:ascii="times" w:hAnsi="times"/>
                <w:sz w:val="20"/>
              </w:rPr>
              <w:t>0.12505</w:t>
            </w:r>
          </w:p>
        </w:tc>
        <w:tc>
          <w:tcPr>
            <w:tcW w:w="270" w:type="dxa"/>
            <w:tcBorders/>
            <w:shd w:fill="FFFFFF" w:val="clear"/>
            <w:vAlign w:val="bottom"/>
          </w:tcPr>
          <w:p>
            <w:pPr>
              <w:pStyle w:val="TableContents"/>
              <w:spacing w:before="0" w:after="283"/>
              <w:rPr/>
            </w:pPr>
            <w:r>
              <w:rPr/>
              <w:t> </w:t>
            </w:r>
          </w:p>
        </w:tc>
      </w:tr>
      <w:tr>
        <w:trPr/>
        <w:tc>
          <w:tcPr>
            <w:tcW w:w="513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2014</w:t>
            </w:r>
          </w:p>
        </w:tc>
        <w:tc>
          <w:tcPr>
            <w:tcW w:w="262"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261"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262"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 </w:t>
            </w:r>
          </w:p>
        </w:tc>
        <w:tc>
          <w:tcPr>
            <w:tcW w:w="270" w:type="dxa"/>
            <w:tcBorders/>
            <w:shd w:fill="CCEEFF" w:val="clear"/>
            <w:vAlign w:val="bottom"/>
          </w:tcPr>
          <w:p>
            <w:pPr>
              <w:pStyle w:val="TableContents"/>
              <w:spacing w:before="0" w:after="283"/>
              <w:rPr/>
            </w:pPr>
            <w:r>
              <w:rPr/>
              <w:t> </w:t>
            </w:r>
          </w:p>
        </w:tc>
      </w:tr>
      <w:tr>
        <w:trPr/>
        <w:tc>
          <w:tcPr>
            <w:tcW w:w="513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First Quarter</w:t>
            </w:r>
          </w:p>
        </w:tc>
        <w:tc>
          <w:tcPr>
            <w:tcW w:w="262"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51" w:type="dxa"/>
            <w:tcBorders/>
            <w:shd w:fill="FFFFFF" w:val="clear"/>
            <w:vAlign w:val="bottom"/>
          </w:tcPr>
          <w:p>
            <w:pPr>
              <w:pStyle w:val="TableContents"/>
              <w:spacing w:before="0" w:after="283"/>
              <w:jc w:val="right"/>
              <w:rPr>
                <w:rFonts w:ascii="times" w:hAnsi="times"/>
                <w:sz w:val="20"/>
              </w:rPr>
            </w:pPr>
            <w:r>
              <w:rPr>
                <w:rFonts w:ascii="times" w:hAnsi="times"/>
                <w:sz w:val="20"/>
              </w:rPr>
              <w:t>29.00</w:t>
            </w:r>
          </w:p>
        </w:tc>
        <w:tc>
          <w:tcPr>
            <w:tcW w:w="261"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51" w:type="dxa"/>
            <w:tcBorders/>
            <w:shd w:fill="FFFFFF" w:val="clear"/>
            <w:vAlign w:val="bottom"/>
          </w:tcPr>
          <w:p>
            <w:pPr>
              <w:pStyle w:val="TableContents"/>
              <w:spacing w:before="0" w:after="283"/>
              <w:jc w:val="right"/>
              <w:rPr>
                <w:rFonts w:ascii="times" w:hAnsi="times"/>
                <w:sz w:val="20"/>
              </w:rPr>
            </w:pPr>
            <w:r>
              <w:rPr>
                <w:rFonts w:ascii="times" w:hAnsi="times"/>
                <w:sz w:val="20"/>
              </w:rPr>
              <w:t>24.38</w:t>
            </w:r>
          </w:p>
        </w:tc>
        <w:tc>
          <w:tcPr>
            <w:tcW w:w="262"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767" w:type="dxa"/>
            <w:tcBorders/>
            <w:shd w:fill="FFFFFF" w:val="clear"/>
            <w:vAlign w:val="bottom"/>
          </w:tcPr>
          <w:p>
            <w:pPr>
              <w:pStyle w:val="TableContents"/>
              <w:spacing w:before="0" w:after="283"/>
              <w:jc w:val="right"/>
              <w:rPr>
                <w:rFonts w:ascii="times" w:hAnsi="times"/>
                <w:sz w:val="20"/>
              </w:rPr>
            </w:pPr>
            <w:r>
              <w:rPr>
                <w:rFonts w:ascii="times" w:hAnsi="times"/>
                <w:sz w:val="20"/>
              </w:rPr>
              <w:t>0.17055</w:t>
            </w:r>
          </w:p>
        </w:tc>
        <w:tc>
          <w:tcPr>
            <w:tcW w:w="270" w:type="dxa"/>
            <w:tcBorders/>
            <w:shd w:fill="FFFFFF" w:val="clear"/>
            <w:vAlign w:val="bottom"/>
          </w:tcPr>
          <w:p>
            <w:pPr>
              <w:pStyle w:val="TableContents"/>
              <w:spacing w:before="0" w:after="283"/>
              <w:rPr/>
            </w:pPr>
            <w:r>
              <w:rPr/>
              <w:t> </w:t>
            </w:r>
          </w:p>
        </w:tc>
      </w:tr>
      <w:tr>
        <w:trPr/>
        <w:tc>
          <w:tcPr>
            <w:tcW w:w="513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Second Quarter</w:t>
            </w:r>
          </w:p>
        </w:tc>
        <w:tc>
          <w:tcPr>
            <w:tcW w:w="262"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w:hAnsi="times"/>
                <w:sz w:val="20"/>
              </w:rPr>
            </w:pPr>
            <w:r>
              <w:rPr>
                <w:rFonts w:ascii="times" w:hAnsi="times"/>
                <w:sz w:val="20"/>
              </w:rPr>
              <w:t>32.58</w:t>
            </w:r>
          </w:p>
        </w:tc>
        <w:tc>
          <w:tcPr>
            <w:tcW w:w="261"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w:hAnsi="times"/>
                <w:sz w:val="20"/>
              </w:rPr>
            </w:pPr>
            <w:r>
              <w:rPr>
                <w:rFonts w:ascii="times" w:hAnsi="times"/>
                <w:sz w:val="20"/>
              </w:rPr>
              <w:t>27.00</w:t>
            </w:r>
          </w:p>
        </w:tc>
        <w:tc>
          <w:tcPr>
            <w:tcW w:w="262"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rFonts w:ascii="times" w:hAnsi="times"/>
                <w:sz w:val="20"/>
              </w:rPr>
            </w:pPr>
            <w:r>
              <w:rPr>
                <w:rFonts w:ascii="times" w:hAnsi="times"/>
                <w:sz w:val="20"/>
              </w:rPr>
              <w:t>0.18340</w:t>
            </w:r>
          </w:p>
        </w:tc>
        <w:tc>
          <w:tcPr>
            <w:tcW w:w="270" w:type="dxa"/>
            <w:tcBorders/>
            <w:shd w:fill="CCEEFF" w:val="clear"/>
            <w:vAlign w:val="bottom"/>
          </w:tcPr>
          <w:p>
            <w:pPr>
              <w:pStyle w:val="TableContents"/>
              <w:spacing w:before="0" w:after="283"/>
              <w:rPr/>
            </w:pPr>
            <w:r>
              <w:rPr/>
              <w:t> </w:t>
            </w:r>
          </w:p>
        </w:tc>
      </w:tr>
      <w:tr>
        <w:trPr/>
        <w:tc>
          <w:tcPr>
            <w:tcW w:w="513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Third Quarter</w:t>
            </w:r>
          </w:p>
        </w:tc>
        <w:tc>
          <w:tcPr>
            <w:tcW w:w="262"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pPr>
            <w:r>
              <w:rPr/>
              <w:t> </w:t>
            </w:r>
          </w:p>
        </w:tc>
        <w:tc>
          <w:tcPr>
            <w:tcW w:w="851" w:type="dxa"/>
            <w:tcBorders/>
            <w:shd w:fill="FFFFFF" w:val="clear"/>
            <w:vAlign w:val="bottom"/>
          </w:tcPr>
          <w:p>
            <w:pPr>
              <w:pStyle w:val="TableContents"/>
              <w:spacing w:before="0" w:after="283"/>
              <w:jc w:val="right"/>
              <w:rPr>
                <w:rFonts w:ascii="times" w:hAnsi="times"/>
                <w:sz w:val="20"/>
              </w:rPr>
            </w:pPr>
            <w:r>
              <w:rPr>
                <w:rFonts w:ascii="times" w:hAnsi="times"/>
                <w:sz w:val="20"/>
              </w:rPr>
              <w:t>32.26</w:t>
            </w:r>
          </w:p>
        </w:tc>
        <w:tc>
          <w:tcPr>
            <w:tcW w:w="261"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pPr>
            <w:r>
              <w:rPr/>
              <w:t> </w:t>
            </w:r>
          </w:p>
        </w:tc>
        <w:tc>
          <w:tcPr>
            <w:tcW w:w="851" w:type="dxa"/>
            <w:tcBorders/>
            <w:shd w:fill="FFFFFF" w:val="clear"/>
            <w:vAlign w:val="bottom"/>
          </w:tcPr>
          <w:p>
            <w:pPr>
              <w:pStyle w:val="TableContents"/>
              <w:spacing w:before="0" w:after="283"/>
              <w:jc w:val="right"/>
              <w:rPr>
                <w:rFonts w:ascii="times" w:hAnsi="times"/>
                <w:sz w:val="20"/>
              </w:rPr>
            </w:pPr>
            <w:r>
              <w:rPr>
                <w:rFonts w:ascii="times" w:hAnsi="times"/>
                <w:sz w:val="20"/>
              </w:rPr>
              <w:t>28.48</w:t>
            </w:r>
          </w:p>
        </w:tc>
        <w:tc>
          <w:tcPr>
            <w:tcW w:w="262"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pPr>
            <w:r>
              <w:rPr/>
              <w:t> </w:t>
            </w:r>
          </w:p>
        </w:tc>
        <w:tc>
          <w:tcPr>
            <w:tcW w:w="1767" w:type="dxa"/>
            <w:tcBorders/>
            <w:shd w:fill="FFFFFF" w:val="clear"/>
            <w:vAlign w:val="bottom"/>
          </w:tcPr>
          <w:p>
            <w:pPr>
              <w:pStyle w:val="TableContents"/>
              <w:spacing w:before="0" w:after="283"/>
              <w:jc w:val="right"/>
              <w:rPr>
                <w:rFonts w:ascii="times" w:hAnsi="times"/>
                <w:sz w:val="20"/>
              </w:rPr>
            </w:pPr>
            <w:r>
              <w:rPr>
                <w:rFonts w:ascii="times" w:hAnsi="times"/>
                <w:sz w:val="20"/>
              </w:rPr>
              <w:t>0.19075</w:t>
            </w:r>
          </w:p>
        </w:tc>
        <w:tc>
          <w:tcPr>
            <w:tcW w:w="270" w:type="dxa"/>
            <w:tcBorders/>
            <w:shd w:fill="FFFFFF" w:val="clear"/>
            <w:vAlign w:val="bottom"/>
          </w:tcPr>
          <w:p>
            <w:pPr>
              <w:pStyle w:val="TableContents"/>
              <w:spacing w:before="0" w:after="283"/>
              <w:rPr/>
            </w:pPr>
            <w:r>
              <w:rPr/>
              <w:t> </w:t>
            </w:r>
          </w:p>
        </w:tc>
      </w:tr>
      <w:tr>
        <w:trPr/>
        <w:tc>
          <w:tcPr>
            <w:tcW w:w="513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Fourth Quarter (through December 9, 2014)</w:t>
            </w:r>
          </w:p>
        </w:tc>
        <w:tc>
          <w:tcPr>
            <w:tcW w:w="262"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w:hAnsi="times"/>
                <w:sz w:val="20"/>
              </w:rPr>
            </w:pPr>
            <w:r>
              <w:rPr>
                <w:rFonts w:ascii="times" w:hAnsi="times"/>
                <w:sz w:val="20"/>
              </w:rPr>
              <w:t>30.75</w:t>
            </w:r>
          </w:p>
        </w:tc>
        <w:tc>
          <w:tcPr>
            <w:tcW w:w="261"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w:hAnsi="times"/>
                <w:sz w:val="20"/>
              </w:rPr>
            </w:pPr>
            <w:r>
              <w:rPr>
                <w:rFonts w:ascii="times" w:hAnsi="times"/>
                <w:sz w:val="20"/>
              </w:rPr>
              <w:t>23.53</w:t>
            </w:r>
          </w:p>
        </w:tc>
        <w:tc>
          <w:tcPr>
            <w:tcW w:w="262"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767" w:type="dxa"/>
            <w:tcBorders/>
            <w:shd w:fill="CCEEFF" w:val="clear"/>
            <w:vAlign w:val="bottom"/>
          </w:tcPr>
          <w:p>
            <w:pPr>
              <w:pStyle w:val="TableContents"/>
              <w:spacing w:before="0" w:after="283"/>
              <w:jc w:val="right"/>
              <w:rPr/>
            </w:pPr>
            <w:r>
              <w:rPr/>
              <w:t> </w:t>
            </w:r>
          </w:p>
        </w:tc>
        <w:tc>
          <w:tcPr>
            <w:tcW w:w="270" w:type="dxa"/>
            <w:tcBorders/>
            <w:shd w:fill="CCEEFF" w:val="clear"/>
            <w:vAlign w:val="bottom"/>
          </w:tcPr>
          <w:p>
            <w:pPr>
              <w:pStyle w:val="TableContents"/>
              <w:spacing w:before="0" w:after="283"/>
              <w:rPr>
                <w:rFonts w:ascii="times" w:hAnsi="times"/>
                <w:sz w:val="20"/>
              </w:rPr>
            </w:pPr>
            <w:r>
              <w:rPr>
                <w:rFonts w:ascii="times" w:hAnsi="times"/>
                <w:sz w:val="20"/>
              </w:rPr>
              <w:t>(3)</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Represents cash distributions attributable to the quarter and paid within 55 days after the quarter end.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Represents the trading period from October 16, 2013, the day our common units began trading on the NYSE, through December 31, 2013. We closed our initial public offering on October 21, 2013 and, therefore, made a prorated cash distribution for the fourth quarter of 2013.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Cash distributions in respect of the fourth quarter of 2014 have not been declared or paid. </w:t>
      </w:r>
    </w:p>
    <w:p>
      <w:pPr>
        <w:pStyle w:val="TextBody"/>
        <w:jc w:val="center"/>
        <w:rPr>
          <w:rFonts w:ascii="times" w:hAnsi="times"/>
          <w:sz w:val="20"/>
        </w:rPr>
      </w:pPr>
      <w:r>
        <w:rPr>
          <w:rFonts w:ascii="times" w:hAnsi="times"/>
          <w:sz w:val="20"/>
        </w:rPr>
        <w:t>4</w:t>
      </w:r>
    </w:p>
    <w:p>
      <w:pPr>
        <w:pStyle w:val="HorizontalLine"/>
        <w:pBdr>
          <w:bottom w:val="single" w:sz="20" w:space="0" w:color="808080"/>
        </w:pBdr>
        <w:rPr/>
      </w:pPr>
      <w:r>
        <w:rPr/>
      </w:r>
      <w:r>
        <w:br w:type="page"/>
      </w:r>
    </w:p>
    <w:p>
      <w:pPr>
        <w:pStyle w:val="TextBody"/>
        <w:rPr/>
      </w:pPr>
      <w:hyperlink w:anchor="bg44101a_main_toc">
        <w:bookmarkStart w:id="31" w:name="page_ce44101_1_5"/>
        <w:bookmarkEnd w:id="3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2" w:name="toc_ce44101_1"/>
      <w:bookmarkStart w:id="33" w:name="ce44101_our_cash_distribution_policy"/>
      <w:bookmarkEnd w:id="32"/>
      <w:bookmarkEnd w:id="33"/>
      <w:r>
        <w:rPr>
          <w:rFonts w:ascii="times" w:hAnsi="times"/>
          <w:sz w:val="20"/>
        </w:rPr>
        <w:br/>
      </w:r>
      <w:r>
        <w:rPr>
          <w:rFonts w:ascii="times" w:hAnsi="times"/>
          <w:b/>
          <w:sz w:val="20"/>
        </w:rPr>
        <w:t xml:space="preserve">OUR CASH DISTRIBUTION POLICY </w:t>
      </w:r>
    </w:p>
    <w:p>
      <w:pPr>
        <w:pStyle w:val="TextBody"/>
        <w:rPr>
          <w:rFonts w:ascii="times" w:hAnsi="times"/>
          <w:b/>
          <w:sz w:val="20"/>
        </w:rPr>
      </w:pPr>
      <w:r>
        <w:rPr>
          <w:rFonts w:ascii="times" w:hAnsi="times"/>
          <w:b/>
          <w:sz w:val="20"/>
        </w:rPr>
        <w:t xml:space="preserve">Our Cash Distribution Policy </w:t>
      </w:r>
    </w:p>
    <w:p>
      <w:pPr>
        <w:pStyle w:val="TextBody"/>
        <w:rPr/>
      </w:pPr>
      <w:r>
        <w:rPr/>
        <w:t>        </w:t>
      </w:r>
      <w:r>
        <w:rPr>
          <w:rFonts w:ascii="times" w:hAnsi="times"/>
          <w:sz w:val="20"/>
        </w:rPr>
        <w:t xml:space="preserve">Our partnership agreement requires that, within 55 days after the end of each quarter, we distribute all of our available cash to Class A shareholders of record on the applicable record date. </w:t>
      </w:r>
    </w:p>
    <w:p>
      <w:pPr>
        <w:pStyle w:val="TextBody"/>
        <w:rPr/>
      </w:pPr>
      <w:r>
        <w:rPr/>
        <w:t>        </w:t>
      </w:r>
      <w:r>
        <w:rPr>
          <w:rFonts w:ascii="times" w:hAnsi="times"/>
          <w:sz w:val="20"/>
        </w:rPr>
        <w:t>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comply with applicable law or any agreement binding upon us or our subsidiaries (exclusive of PAA and its subsidiaries);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funds for future distributions to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future capital expenditures, debt service and other credit needs as well as any federal, state, provincial or other income tax that may affect us in the future;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permit us to pay a ratable amount to AAP as necessary to permit AAP to make required capital contributions to PAA to maintain PAA GP's 2% general partner interest upon the issuance of additional partnership securities by PAA;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the proper conduct of our business, including with respect to the matters described under "The Partnership Agreement." </w:t>
      </w:r>
    </w:p>
    <w:p>
      <w:pPr>
        <w:pStyle w:val="TextBody"/>
        <w:rPr/>
      </w:pPr>
      <w:r>
        <w:rPr/>
        <w:t>        </w:t>
      </w:r>
      <w:r>
        <w:rPr>
          <w:rFonts w:ascii="times" w:hAnsi="times"/>
          <w:sz w:val="20"/>
        </w:rPr>
        <w:t xml:space="preserve">Our available cash also includes cash on hand resulting from borrowings made after the end of the quarter. </w:t>
      </w:r>
    </w:p>
    <w:p>
      <w:pPr>
        <w:pStyle w:val="TextBody"/>
        <w:rPr>
          <w:rFonts w:ascii="times" w:hAnsi="times"/>
          <w:b/>
          <w:sz w:val="20"/>
        </w:rPr>
      </w:pPr>
      <w:r>
        <w:rPr>
          <w:rFonts w:ascii="times" w:hAnsi="times"/>
          <w:b/>
          <w:sz w:val="20"/>
        </w:rPr>
        <w:t xml:space="preserve">Our Sources of Available Cash </w:t>
      </w:r>
    </w:p>
    <w:p>
      <w:pPr>
        <w:pStyle w:val="TextBody"/>
        <w:rPr/>
      </w:pPr>
      <w:r>
        <w:rPr/>
        <w:t>        </w:t>
      </w:r>
      <w:r>
        <w:rPr>
          <w:rFonts w:ascii="times" w:hAnsi="times"/>
          <w:sz w:val="20"/>
        </w:rPr>
        <w:t xml:space="preserve">As of November 24, 2014, our only cash-generating assets consisted of our indirect partnership interests in PAA through our 33.8% limited partnership interest in AAP. AAP currently receives all of its cash flows from its direct ownership of all of PAA's IDRs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 </w:t>
      </w:r>
    </w:p>
    <w:p>
      <w:pPr>
        <w:pStyle w:val="TextBody"/>
        <w:rPr/>
      </w:pPr>
      <w:r>
        <w:rPr/>
        <w:t>        </w:t>
      </w:r>
      <w:r>
        <w:rPr>
          <w:rFonts w:ascii="times" w:hAnsi="times"/>
          <w:sz w:val="20"/>
        </w:rPr>
        <w:t>In addition, the actual amount of cash that PAA and AAP will have available for distribution will depend on other factors, some of which are beyond PAA's or our control,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revenue PAA and AAP are able to generate from their respective businesses;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capital expenditures PAA or AAP makes;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PAA's and AAP's operating, maintenance and general and administrative expenses or related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cost of acquisitions, if any;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debt service requirements and other liabilities;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working capital needs; </w:t>
      </w:r>
    </w:p>
    <w:p>
      <w:pPr>
        <w:pStyle w:val="TextBody"/>
        <w:jc w:val="center"/>
        <w:rPr>
          <w:rFonts w:ascii="times" w:hAnsi="times"/>
          <w:sz w:val="20"/>
        </w:rPr>
      </w:pPr>
      <w:r>
        <w:rPr>
          <w:rFonts w:ascii="times" w:hAnsi="times"/>
          <w:sz w:val="20"/>
        </w:rPr>
        <w:t>5</w:t>
      </w:r>
    </w:p>
    <w:p>
      <w:pPr>
        <w:pStyle w:val="HorizontalLine"/>
        <w:pBdr>
          <w:bottom w:val="single" w:sz="20" w:space="0" w:color="808080"/>
        </w:pBdr>
        <w:rPr/>
      </w:pPr>
      <w:r>
        <w:rPr/>
      </w:r>
      <w:r>
        <w:br w:type="page"/>
      </w:r>
    </w:p>
    <w:p>
      <w:pPr>
        <w:pStyle w:val="TextBody"/>
        <w:rPr/>
      </w:pPr>
      <w:hyperlink w:anchor="bg44101a_main_toc">
        <w:bookmarkStart w:id="34" w:name="page_ce44101_1_6"/>
        <w:bookmarkEnd w:id="3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restrictions on distributions contained in PAA's or AAP's debt agreements and any future debt agreements;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ability to borrow under their respective revolving credit agreements to make distributions;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if any, of cash reserves established by each of PAA GP and our general partner, in their sole discretion, for the proper conduct of PAA's and our business. </w:t>
      </w:r>
    </w:p>
    <w:p>
      <w:pPr>
        <w:pStyle w:val="TextBody"/>
        <w:rPr>
          <w:rFonts w:ascii="times" w:hAnsi="times"/>
          <w:b/>
          <w:sz w:val="20"/>
        </w:rPr>
      </w:pPr>
      <w:r>
        <w:rPr>
          <w:rFonts w:ascii="times" w:hAnsi="times"/>
          <w:b/>
          <w:sz w:val="20"/>
        </w:rPr>
        <w:t xml:space="preserve">General Partner Interest </w:t>
      </w:r>
    </w:p>
    <w:p>
      <w:pPr>
        <w:pStyle w:val="TextBody"/>
        <w:rPr/>
      </w:pPr>
      <w:r>
        <w:rPr/>
        <w:t>        </w:t>
      </w:r>
      <w:r>
        <w:rPr>
          <w:rFonts w:ascii="times" w:hAnsi="times"/>
          <w:sz w:val="20"/>
        </w:rPr>
        <w:t xml:space="preserve">Our general partner owns a non-economic general partner interest in us, which does not entitle it to receive cash distributions. </w:t>
      </w:r>
    </w:p>
    <w:p>
      <w:pPr>
        <w:pStyle w:val="TextBody"/>
        <w:rPr>
          <w:rFonts w:ascii="times" w:hAnsi="times"/>
          <w:b/>
          <w:sz w:val="20"/>
        </w:rPr>
      </w:pPr>
      <w:r>
        <w:rPr>
          <w:rFonts w:ascii="times" w:hAnsi="times"/>
          <w:b/>
          <w:sz w:val="20"/>
        </w:rPr>
        <w:t xml:space="preserve">Distributions of Cash Upon Liquidation </w:t>
      </w:r>
    </w:p>
    <w:p>
      <w:pPr>
        <w:pStyle w:val="TextBody"/>
        <w:rPr/>
      </w:pPr>
      <w:r>
        <w:rPr/>
        <w:t>        </w:t>
      </w:r>
      <w:r>
        <w:rPr>
          <w:rFonts w:ascii="times" w:hAnsi="times"/>
          <w:sz w:val="20"/>
        </w:rPr>
        <w:t xml:space="preserve">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 </w:t>
      </w:r>
    </w:p>
    <w:p>
      <w:pPr>
        <w:pStyle w:val="TextBody"/>
        <w:jc w:val="center"/>
        <w:rPr>
          <w:rFonts w:ascii="times" w:hAnsi="times"/>
          <w:sz w:val="20"/>
        </w:rPr>
      </w:pPr>
      <w:r>
        <w:rPr>
          <w:rFonts w:ascii="times" w:hAnsi="times"/>
          <w:sz w:val="20"/>
        </w:rPr>
        <w:t>6</w:t>
      </w:r>
    </w:p>
    <w:p>
      <w:pPr>
        <w:pStyle w:val="HorizontalLine"/>
        <w:pBdr>
          <w:bottom w:val="single" w:sz="20" w:space="0" w:color="808080"/>
        </w:pBdr>
        <w:rPr/>
      </w:pPr>
      <w:r>
        <w:rPr/>
      </w:r>
      <w:r>
        <w:br w:type="page"/>
      </w:r>
    </w:p>
    <w:p>
      <w:pPr>
        <w:pStyle w:val="TextBody"/>
        <w:rPr/>
      </w:pPr>
      <w:hyperlink w:anchor="bg44101a_main_toc">
        <w:bookmarkStart w:id="35" w:name="page_ce44101_1_7"/>
        <w:bookmarkEnd w:id="35"/>
        <w:r>
          <w:rPr>
            <w:rStyle w:val="InternetLink"/>
            <w:rFonts w:ascii="times" w:hAnsi="times"/>
            <w:sz w:val="20"/>
          </w:rPr>
          <w:t>Table of Contents</w:t>
        </w:r>
      </w:hyperlink>
    </w:p>
    <w:p>
      <w:pPr>
        <w:pStyle w:val="TextBody"/>
        <w:jc w:val="center"/>
        <w:rPr>
          <w:rFonts w:ascii="times" w:hAnsi="times"/>
        </w:rPr>
      </w:pPr>
      <w:bookmarkStart w:id="36" w:name="toc_ce44101_2"/>
      <w:bookmarkStart w:id="37" w:name="ce44101_the_partnership_agreement"/>
      <w:bookmarkEnd w:id="36"/>
      <w:bookmarkEnd w:id="37"/>
      <w:r>
        <w:rPr>
          <w:rFonts w:ascii="times" w:hAnsi="times"/>
          <w:sz w:val="20"/>
        </w:rPr>
        <w:br/>
      </w:r>
      <w:r>
        <w:rPr>
          <w:rFonts w:ascii="times" w:hAnsi="times"/>
          <w:b/>
          <w:sz w:val="20"/>
        </w:rPr>
        <w:t xml:space="preserve">THE PARTNERSHIP AGREEMENT </w:t>
      </w:r>
    </w:p>
    <w:p>
      <w:pPr>
        <w:pStyle w:val="TextBody"/>
        <w:rPr/>
      </w:pPr>
      <w:r>
        <w:rPr/>
        <w:t>        </w:t>
      </w:r>
      <w:r>
        <w:rPr>
          <w:rFonts w:ascii="times" w:hAnsi="times"/>
          <w:sz w:val="20"/>
        </w:rPr>
        <w:t>The following is a summary of the material provisions of our partnership agreement. We summarize the following provisions of our partnership agreement elsewhere in this prospectus: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distributions of available cash, please read "Our Cash Distribution Policy";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the rights of holders of Class A shares, please read "Description of Our Shares";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allocations of taxable income and taxable loss, please read "Material U.S. Federal Income Tax Consequences." </w:t>
      </w:r>
    </w:p>
    <w:p>
      <w:pPr>
        <w:pStyle w:val="TextBody"/>
        <w:rPr>
          <w:rFonts w:ascii="times" w:hAnsi="times"/>
          <w:b/>
          <w:sz w:val="20"/>
        </w:rPr>
      </w:pPr>
      <w:r>
        <w:rPr>
          <w:rFonts w:ascii="times" w:hAnsi="times"/>
          <w:b/>
          <w:sz w:val="20"/>
        </w:rPr>
        <w:t xml:space="preserve">Organization and Duration </w:t>
      </w:r>
    </w:p>
    <w:p>
      <w:pPr>
        <w:pStyle w:val="TextBody"/>
        <w:rPr/>
      </w:pPr>
      <w:r>
        <w:rPr/>
        <w:t>        </w:t>
      </w:r>
      <w:r>
        <w:rPr>
          <w:rFonts w:ascii="times" w:hAnsi="times"/>
          <w:sz w:val="20"/>
        </w:rPr>
        <w:t xml:space="preserve">We were formed in July 2013 and have a perpetual existence. </w:t>
      </w:r>
    </w:p>
    <w:p>
      <w:pPr>
        <w:pStyle w:val="TextBody"/>
        <w:rPr>
          <w:rFonts w:ascii="times" w:hAnsi="times"/>
          <w:b/>
          <w:sz w:val="20"/>
        </w:rPr>
      </w:pPr>
      <w:r>
        <w:rPr>
          <w:rFonts w:ascii="times" w:hAnsi="times"/>
          <w:b/>
          <w:sz w:val="20"/>
        </w:rPr>
        <w:t xml:space="preserve">Purpose </w:t>
      </w:r>
    </w:p>
    <w:p>
      <w:pPr>
        <w:pStyle w:val="TextBody"/>
        <w:rPr/>
      </w:pPr>
      <w:r>
        <w:rPr/>
        <w:t>        </w:t>
      </w:r>
      <w:r>
        <w:rPr>
          <w:rFonts w:ascii="times" w:hAnsi="times"/>
          <w:sz w:val="20"/>
        </w:rPr>
        <w:t xml:space="preserve">Under our partnership agreement, we are permitted to engage, directly or indirectly, in any business activity that is approved by our general partner and that lawfully may be conducted by a limited partnership organized under Delaware law. </w:t>
      </w:r>
    </w:p>
    <w:p>
      <w:pPr>
        <w:pStyle w:val="TextBody"/>
        <w:rPr/>
      </w:pPr>
      <w:r>
        <w:rPr/>
        <w:t>        </w:t>
      </w:r>
      <w:r>
        <w:rPr>
          <w:rFonts w:ascii="times" w:hAnsi="times"/>
          <w:sz w:val="20"/>
        </w:rPr>
        <w:t>Although our general partner has the ability to cause us, our affiliates and our subsidiaries to engage in activities other than the indirect ownership of partnership interests (including IDRs)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making of expenditures and the incurrence of debt and other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acquisition, disposition, mortgage, pledge, encumbrance, hypothecation or exchange of any or all of our assets or the merger or other combination of us with or into another person;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negotiation, execution and performance of contracts;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distribution of our cash;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sale or other acquisition or disposition of our partnership securities or the issuance of partnership securities or options or other rights relating thereto;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action in connection with our participation and management of PAA;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action to waive, reduce, limit or modify PAA's IDRs. </w:t>
      </w:r>
    </w:p>
    <w:p>
      <w:pPr>
        <w:pStyle w:val="TextBody"/>
        <w:rPr>
          <w:rFonts w:ascii="times" w:hAnsi="times"/>
          <w:b/>
          <w:sz w:val="20"/>
        </w:rPr>
      </w:pPr>
      <w:r>
        <w:rPr>
          <w:rFonts w:ascii="times" w:hAnsi="times"/>
          <w:b/>
          <w:sz w:val="20"/>
        </w:rPr>
        <w:t xml:space="preserve">Capital Contributions </w:t>
      </w:r>
    </w:p>
    <w:p>
      <w:pPr>
        <w:pStyle w:val="TextBody"/>
        <w:rPr/>
      </w:pPr>
      <w:r>
        <w:rPr/>
        <w:t>        </w:t>
      </w:r>
      <w:r>
        <w:rPr>
          <w:rFonts w:ascii="times" w:hAnsi="times"/>
          <w:sz w:val="20"/>
        </w:rPr>
        <w:t xml:space="preserve">Our shareholders are not obligated to make additional capital contributions, except as described below under "Limited Liability." </w:t>
      </w:r>
    </w:p>
    <w:p>
      <w:pPr>
        <w:pStyle w:val="TextBody"/>
        <w:rPr>
          <w:rFonts w:ascii="times" w:hAnsi="times"/>
          <w:b/>
          <w:sz w:val="20"/>
        </w:rPr>
      </w:pPr>
      <w:r>
        <w:rPr>
          <w:rFonts w:ascii="times" w:hAnsi="times"/>
          <w:b/>
          <w:sz w:val="20"/>
        </w:rPr>
        <w:t xml:space="preserve">Applicable Law; Forum, Venue and Jurisdiction </w:t>
      </w:r>
    </w:p>
    <w:p>
      <w:pPr>
        <w:pStyle w:val="TextBody"/>
        <w:rPr/>
      </w:pPr>
      <w:r>
        <w:rPr/>
        <w:t>        </w:t>
      </w:r>
      <w:r>
        <w:rPr>
          <w:rFonts w:ascii="times" w:hAnsi="times"/>
          <w:sz w:val="20"/>
        </w:rPr>
        <w:t>Our partnership agreement is governed by Delaware law. Our partnership agreement requires that any claims, suits, actions or proceedings: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 </w:t>
      </w:r>
    </w:p>
    <w:p>
      <w:pPr>
        <w:pStyle w:val="TextBody"/>
        <w:jc w:val="center"/>
        <w:rPr>
          <w:rFonts w:ascii="times" w:hAnsi="times"/>
          <w:sz w:val="20"/>
        </w:rPr>
      </w:pPr>
      <w:r>
        <w:rPr>
          <w:rFonts w:ascii="times" w:hAnsi="times"/>
          <w:sz w:val="20"/>
        </w:rPr>
        <w:t>7</w:t>
      </w:r>
    </w:p>
    <w:p>
      <w:pPr>
        <w:pStyle w:val="HorizontalLine"/>
        <w:pBdr>
          <w:bottom w:val="single" w:sz="20" w:space="0" w:color="808080"/>
        </w:pBdr>
        <w:rPr/>
      </w:pPr>
      <w:r>
        <w:rPr/>
      </w:r>
      <w:r>
        <w:br w:type="page"/>
      </w:r>
    </w:p>
    <w:p>
      <w:pPr>
        <w:pStyle w:val="TextBody"/>
        <w:rPr/>
      </w:pPr>
      <w:hyperlink w:anchor="bg44101a_main_toc">
        <w:bookmarkStart w:id="38" w:name="page_ce44101_1_8"/>
        <w:bookmarkEnd w:id="3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brought in a derivative manner on our behalf;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of breach of a fiduciary duty owed by any director, officer or other employee of us or our general partner, or owed by our general partner to us or the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arising pursuant to any provision of the Delaware Revised Uniform Limited Partnership Act (the "Delaware Act");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governed by the internal affairs doctrine, </w:t>
      </w:r>
    </w:p>
    <w:p>
      <w:pPr>
        <w:pStyle w:val="TextBody"/>
        <w:rPr>
          <w:rFonts w:ascii="times" w:hAnsi="times"/>
          <w:sz w:val="20"/>
        </w:rPr>
      </w:pPr>
      <w:r>
        <w:rPr>
          <w:rFonts w:ascii="times" w:hAnsi="times"/>
          <w:sz w:val="20"/>
        </w:rPr>
        <w:t xml:space="preserve">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w:t>
      </w:r>
    </w:p>
    <w:p>
      <w:pPr>
        <w:pStyle w:val="TextBody"/>
        <w:rPr>
          <w:rFonts w:ascii="times" w:hAnsi="times"/>
          <w:b/>
          <w:sz w:val="20"/>
        </w:rPr>
      </w:pPr>
      <w:r>
        <w:rPr>
          <w:rFonts w:ascii="times" w:hAnsi="times"/>
          <w:b/>
          <w:sz w:val="20"/>
        </w:rPr>
        <w:t xml:space="preserve">Limited Liability </w:t>
      </w:r>
    </w:p>
    <w:p>
      <w:pPr>
        <w:pStyle w:val="TextBody"/>
        <w:rPr/>
      </w:pPr>
      <w:r>
        <w:rPr/>
        <w:t>        </w:t>
      </w:r>
      <w:r>
        <w:rPr>
          <w:rFonts w:ascii="times" w:hAnsi="times"/>
          <w:sz w:val="20"/>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or replace 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approve some amendments to our partnership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take other action under our partnership agreement, </w:t>
      </w:r>
    </w:p>
    <w:p>
      <w:pPr>
        <w:pStyle w:val="TextBody"/>
        <w:rPr>
          <w:rFonts w:ascii="times" w:hAnsi="times"/>
          <w:sz w:val="20"/>
        </w:rPr>
      </w:pPr>
      <w:r>
        <w:rPr>
          <w:rFonts w:ascii="times" w:hAnsi="times"/>
          <w:sz w:val="20"/>
        </w:rPr>
        <w:t xml:space="preserve">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 </w:t>
      </w:r>
    </w:p>
    <w:p>
      <w:pPr>
        <w:pStyle w:val="TextBody"/>
        <w:rPr/>
      </w:pPr>
      <w:r>
        <w:rPr/>
        <w:t>        </w:t>
      </w:r>
      <w:r>
        <w:rPr>
          <w:rFonts w:ascii="times" w:hAnsi="times"/>
          <w:sz w:val="20"/>
        </w:rPr>
        <w:t xml:space="preserve">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 </w:t>
      </w:r>
    </w:p>
    <w:p>
      <w:pPr>
        <w:pStyle w:val="TextBody"/>
        <w:jc w:val="center"/>
        <w:rPr>
          <w:rFonts w:ascii="times" w:hAnsi="times"/>
          <w:sz w:val="20"/>
        </w:rPr>
      </w:pPr>
      <w:r>
        <w:rPr>
          <w:rFonts w:ascii="times" w:hAnsi="times"/>
          <w:sz w:val="20"/>
        </w:rPr>
        <w:t>8</w:t>
      </w:r>
    </w:p>
    <w:p>
      <w:pPr>
        <w:pStyle w:val="HorizontalLine"/>
        <w:pBdr>
          <w:bottom w:val="single" w:sz="20" w:space="0" w:color="808080"/>
        </w:pBdr>
        <w:rPr/>
      </w:pPr>
      <w:r>
        <w:rPr/>
      </w:r>
      <w:r>
        <w:br w:type="page"/>
      </w:r>
    </w:p>
    <w:p>
      <w:pPr>
        <w:pStyle w:val="TextBody"/>
        <w:rPr/>
      </w:pPr>
      <w:hyperlink w:anchor="bg44101a_main_toc">
        <w:bookmarkStart w:id="39" w:name="page_cg44101_1_9"/>
        <w:bookmarkEnd w:id="39"/>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 </w:t>
      </w:r>
    </w:p>
    <w:p>
      <w:pPr>
        <w:pStyle w:val="TextBody"/>
        <w:rPr>
          <w:rFonts w:ascii="times" w:hAnsi="times"/>
          <w:b/>
          <w:sz w:val="20"/>
        </w:rPr>
      </w:pPr>
      <w:r>
        <w:rPr>
          <w:rFonts w:ascii="times" w:hAnsi="times"/>
          <w:b/>
          <w:sz w:val="20"/>
        </w:rPr>
        <w:t xml:space="preserve">Limited Voting Rights </w:t>
      </w:r>
    </w:p>
    <w:p>
      <w:pPr>
        <w:pStyle w:val="TextBody"/>
        <w:rPr/>
      </w:pPr>
      <w:r>
        <w:rPr/>
        <w:t>        </w:t>
      </w:r>
      <w:r>
        <w:rPr>
          <w:rFonts w:ascii="times" w:hAnsi="times"/>
          <w:sz w:val="20"/>
        </w:rPr>
        <w:t xml:space="preserve">Our general partner manages us and our operations. You will have only limited voting rights on matters affecting our business. You will not have the right to elect our general partner or, except as described below under "Public Election of Directors Following Trigger Date," its directors on an annual or other continuing basis. </w:t>
      </w:r>
    </w:p>
    <w:p>
      <w:pPr>
        <w:pStyle w:val="TextBody"/>
        <w:rPr/>
      </w:pPr>
      <w:r>
        <w:rPr/>
        <w:t>        </w:t>
      </w:r>
      <w:r>
        <w:rPr>
          <w:rFonts w:ascii="times" w:hAnsi="times"/>
          <w:sz w:val="20"/>
        </w:rPr>
        <w:t xml:space="preserve">The following is a summary of the shareholder vote required for the matters specified below. On all matters where our shareholders are entitled to vote,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their shares, our general partner will have no fiduciary </w:t>
      </w:r>
    </w:p>
    <w:p>
      <w:pPr>
        <w:pStyle w:val="TextBody"/>
        <w:jc w:val="center"/>
        <w:rPr>
          <w:rFonts w:ascii="times" w:hAnsi="times"/>
          <w:sz w:val="20"/>
        </w:rPr>
      </w:pPr>
      <w:r>
        <w:rPr>
          <w:rFonts w:ascii="times" w:hAnsi="times"/>
          <w:sz w:val="20"/>
        </w:rPr>
        <w:t>9</w:t>
      </w:r>
    </w:p>
    <w:p>
      <w:pPr>
        <w:pStyle w:val="HorizontalLine"/>
        <w:pBdr>
          <w:bottom w:val="single" w:sz="20" w:space="0" w:color="808080"/>
        </w:pBdr>
        <w:rPr/>
      </w:pPr>
      <w:r>
        <w:rPr/>
      </w:r>
      <w:r>
        <w:br w:type="page"/>
      </w:r>
    </w:p>
    <w:p>
      <w:pPr>
        <w:pStyle w:val="TextBody"/>
        <w:rPr/>
      </w:pPr>
      <w:hyperlink w:anchor="bg44101a_main_toc">
        <w:bookmarkStart w:id="40" w:name="page_cg44101_1_10"/>
        <w:bookmarkEnd w:id="4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duty or obligation whatsoever to us or the shareholders, including any duty to act in good faith or in the best interests of us or the shareholders. </w:t>
      </w:r>
    </w:p>
    <w:tbl>
      <w:tblPr>
        <w:tblW w:w="5000" w:type="pct"/>
        <w:jc w:val="center"/>
        <w:tblInd w:w="0" w:type="dxa"/>
        <w:tblCellMar>
          <w:top w:w="0" w:type="dxa"/>
          <w:left w:w="0" w:type="dxa"/>
          <w:bottom w:w="0" w:type="dxa"/>
          <w:right w:w="0" w:type="dxa"/>
        </w:tblCellMar>
      </w:tblPr>
      <w:tblGrid>
        <w:gridCol w:w="1665"/>
        <w:gridCol w:w="90"/>
        <w:gridCol w:w="8450"/>
      </w:tblGrid>
      <w:tr>
        <w:trPr/>
        <w:tc>
          <w:tcPr>
            <w:tcW w:w="166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450" w:type="dxa"/>
            <w:tcBorders/>
            <w:shd w:fill="auto" w:val="clear"/>
            <w:vAlign w:val="center"/>
          </w:tcPr>
          <w:p>
            <w:pPr>
              <w:pStyle w:val="TableContents"/>
              <w:spacing w:before="0" w:after="283"/>
              <w:rPr>
                <w:sz w:val="4"/>
                <w:szCs w:val="4"/>
              </w:rPr>
            </w:pPr>
            <w:r>
              <w:rPr>
                <w:sz w:val="4"/>
                <w:szCs w:val="4"/>
              </w:rPr>
            </w:r>
          </w:p>
        </w:tc>
      </w:tr>
      <w:tr>
        <w:trPr/>
        <w:tc>
          <w:tcPr>
            <w:tcW w:w="1665" w:type="dxa"/>
            <w:tcBorders/>
            <w:shd w:fill="auto" w:val="clear"/>
          </w:tcPr>
          <w:p>
            <w:pPr>
              <w:pStyle w:val="TableContents"/>
              <w:spacing w:before="0" w:after="283"/>
              <w:ind w:left="200" w:right="0" w:hanging="200"/>
              <w:rPr>
                <w:rFonts w:ascii="times" w:hAnsi="times"/>
                <w:sz w:val="20"/>
              </w:rPr>
            </w:pPr>
            <w:r>
              <w:rPr>
                <w:rFonts w:ascii="times" w:hAnsi="times"/>
                <w:sz w:val="20"/>
              </w:rPr>
              <w:t>Issuance of additional shares (or other partnership securities)</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0" w:after="283"/>
              <w:rPr>
                <w:rFonts w:ascii="times" w:hAnsi="times"/>
                <w:sz w:val="20"/>
              </w:rPr>
            </w:pPr>
            <w:r>
              <w:rPr>
                <w:rFonts w:ascii="times" w:hAnsi="times"/>
                <w:sz w:val="20"/>
              </w:rPr>
              <w:t>No approval right.</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Amendment of our partnership agreement</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Please read "Amendments to Our Partnership Agreement."</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Merger of our partnership or the sale of all or substantially all of our assets</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in certain circumstances. Please read "Merger, Sale or Other Disposition of Assets."</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Dissolution</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Please read "Termination or Dissolution."</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Reconstitution upon dissolution</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Please read "Termination or Dissolution."</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Withdrawal of our general partner</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 approval right. Please read "Withdrawal or Removal of the General Partner."</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Removal of our general partner</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shares held by our general partner, the Legacy Owners and their respective affiliates. Please read "Withdrawal or Removal of the General Partner."</w:t>
            </w:r>
          </w:p>
        </w:tc>
      </w:tr>
      <w:tr>
        <w:trPr/>
        <w:tc>
          <w:tcPr>
            <w:tcW w:w="1665" w:type="dxa"/>
            <w:tcBorders/>
            <w:shd w:fill="auto" w:val="clear"/>
          </w:tcPr>
          <w:p>
            <w:pPr>
              <w:pStyle w:val="TableContents"/>
              <w:spacing w:before="240" w:after="283"/>
              <w:ind w:left="200" w:right="0" w:hanging="200"/>
              <w:rPr>
                <w:rFonts w:ascii="times" w:hAnsi="times"/>
                <w:sz w:val="20"/>
              </w:rPr>
            </w:pPr>
            <w:r>
              <w:rPr>
                <w:rFonts w:ascii="times" w:hAnsi="times"/>
                <w:sz w:val="20"/>
              </w:rPr>
              <w:t>Transfer of the general partner interest</w:t>
            </w:r>
          </w:p>
        </w:tc>
        <w:tc>
          <w:tcPr>
            <w:tcW w:w="90" w:type="dxa"/>
            <w:tcBorders/>
            <w:shd w:fill="auto" w:val="clear"/>
          </w:tcPr>
          <w:p>
            <w:pPr>
              <w:pStyle w:val="TableContents"/>
              <w:spacing w:before="0" w:after="283"/>
              <w:rPr/>
            </w:pPr>
            <w:r>
              <w:rPr/>
              <w:t> </w:t>
            </w:r>
          </w:p>
        </w:tc>
        <w:tc>
          <w:tcPr>
            <w:tcW w:w="845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 approval right. Please read "Transfer of General Partner Interest."</w:t>
            </w:r>
          </w:p>
        </w:tc>
      </w:tr>
    </w:tbl>
    <w:p>
      <w:pPr>
        <w:pStyle w:val="TextBody"/>
        <w:rPr>
          <w:rFonts w:ascii="times" w:hAnsi="times"/>
          <w:b/>
          <w:sz w:val="20"/>
        </w:rPr>
      </w:pPr>
      <w:r>
        <w:rPr>
          <w:rFonts w:ascii="times" w:hAnsi="times"/>
          <w:b/>
          <w:sz w:val="20"/>
        </w:rPr>
        <w:t xml:space="preserve">Transfer of Ownership Interests in Our General Partner </w:t>
      </w:r>
    </w:p>
    <w:p>
      <w:pPr>
        <w:pStyle w:val="TextBody"/>
        <w:rPr/>
      </w:pPr>
      <w:r>
        <w:rPr/>
        <w:t>        </w:t>
      </w:r>
      <w:r>
        <w:rPr>
          <w:rFonts w:ascii="times" w:hAnsi="times"/>
          <w:sz w:val="20"/>
        </w:rPr>
        <w:t xml:space="preserve">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 </w:t>
      </w:r>
    </w:p>
    <w:p>
      <w:pPr>
        <w:pStyle w:val="TextBody"/>
        <w:rPr/>
      </w:pPr>
      <w:r>
        <w:rPr/>
        <w:t>        </w:t>
      </w:r>
      <w:r>
        <w:rPr>
          <w:rFonts w:ascii="times" w:hAnsi="times"/>
          <w:sz w:val="20"/>
        </w:rPr>
        <w:t xml:space="preserve">Our general partner's limited liability company agreement includes provisions linking the ownership of the membership interests in our general partner to the ownership of the outstanding AAP units. Membership interests in our general partner are not allowed to be transferred without transferring the same number of AAP units and vice versa. </w:t>
      </w:r>
    </w:p>
    <w:p>
      <w:pPr>
        <w:pStyle w:val="TextBody"/>
        <w:rPr>
          <w:rFonts w:ascii="times" w:hAnsi="times"/>
          <w:b/>
          <w:sz w:val="20"/>
        </w:rPr>
      </w:pPr>
      <w:r>
        <w:rPr>
          <w:rFonts w:ascii="times" w:hAnsi="times"/>
          <w:b/>
          <w:sz w:val="20"/>
        </w:rPr>
        <w:t xml:space="preserve">Issuance of Additional Securities </w:t>
      </w:r>
    </w:p>
    <w:p>
      <w:pPr>
        <w:pStyle w:val="TextBody"/>
        <w:rPr/>
      </w:pPr>
      <w:r>
        <w:rPr/>
        <w:t>        </w:t>
      </w:r>
      <w:r>
        <w:rPr>
          <w:rFonts w:ascii="times" w:hAnsi="times"/>
          <w:sz w:val="20"/>
        </w:rPr>
        <w:t xml:space="preserve">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 </w:t>
      </w:r>
    </w:p>
    <w:p>
      <w:pPr>
        <w:pStyle w:val="TextBody"/>
        <w:rPr/>
      </w:pPr>
      <w:r>
        <w:rPr/>
        <w:t>        </w:t>
      </w:r>
      <w:r>
        <w:rPr>
          <w:rFonts w:ascii="times" w:hAnsi="times"/>
          <w:sz w:val="20"/>
        </w:rPr>
        <w:t xml:space="preserve">It is possible that we will fund acquisitions through the issuance of additional shares or other equity securities. Holders of any additional shares we issue will be entitled to share equally with the </w:t>
      </w:r>
    </w:p>
    <w:p>
      <w:pPr>
        <w:pStyle w:val="TextBody"/>
        <w:jc w:val="center"/>
        <w:rPr>
          <w:rFonts w:ascii="times" w:hAnsi="times"/>
          <w:sz w:val="20"/>
        </w:rPr>
      </w:pPr>
      <w:r>
        <w:rPr>
          <w:rFonts w:ascii="times" w:hAnsi="times"/>
          <w:sz w:val="20"/>
        </w:rPr>
        <w:t>10</w:t>
      </w:r>
    </w:p>
    <w:p>
      <w:pPr>
        <w:pStyle w:val="HorizontalLine"/>
        <w:pBdr>
          <w:bottom w:val="single" w:sz="20" w:space="0" w:color="808080"/>
        </w:pBdr>
        <w:rPr/>
      </w:pPr>
      <w:r>
        <w:rPr/>
      </w:r>
      <w:r>
        <w:br w:type="page"/>
      </w:r>
    </w:p>
    <w:p>
      <w:pPr>
        <w:pStyle w:val="TextBody"/>
        <w:rPr/>
      </w:pPr>
      <w:hyperlink w:anchor="bg44101a_main_toc">
        <w:bookmarkStart w:id="41" w:name="page_cg44101_1_11"/>
        <w:bookmarkEnd w:id="4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then-existing shareholders in our cash distributions. In addition, the issuance of additional partnership interests may dilute the value of the interests of the then-existing holders of shares in our net assets. </w:t>
      </w:r>
    </w:p>
    <w:p>
      <w:pPr>
        <w:pStyle w:val="TextBody"/>
        <w:rPr/>
      </w:pPr>
      <w:r>
        <w:rPr/>
        <w:t>        </w:t>
      </w:r>
      <w:r>
        <w:rPr>
          <w:rFonts w:ascii="times" w:hAnsi="times"/>
          <w:sz w:val="20"/>
        </w:rPr>
        <w:t xml:space="preserve">In accordance with Delaware law and the provisions of our partnership agreement, we may also issue additional partnership interests that have special voting rights to which the Class A shares and Class B shares are not entitled. </w:t>
      </w:r>
    </w:p>
    <w:p>
      <w:pPr>
        <w:pStyle w:val="TextBody"/>
        <w:rPr>
          <w:rFonts w:ascii="times" w:hAnsi="times"/>
          <w:b/>
          <w:sz w:val="20"/>
        </w:rPr>
      </w:pPr>
      <w:r>
        <w:rPr>
          <w:rFonts w:ascii="times" w:hAnsi="times"/>
          <w:b/>
          <w:sz w:val="20"/>
        </w:rPr>
        <w:t xml:space="preserve">Amendments to Our Partnership Agreement </w:t>
      </w:r>
    </w:p>
    <w:p>
      <w:pPr>
        <w:pStyle w:val="TextBody"/>
        <w:numPr>
          <w:ilvl w:val="0"/>
          <w:numId w:val="0"/>
        </w:numPr>
        <w:ind w:left="707" w:hanging="0"/>
        <w:rPr>
          <w:rFonts w:ascii="times" w:hAnsi="times"/>
          <w:i/>
          <w:sz w:val="20"/>
        </w:rPr>
      </w:pPr>
      <w:r>
        <w:rPr>
          <w:rFonts w:ascii="times" w:hAnsi="times"/>
          <w:i/>
          <w:sz w:val="20"/>
        </w:rPr>
        <w:t xml:space="preserve">General </w:t>
      </w:r>
    </w:p>
    <w:p>
      <w:pPr>
        <w:pStyle w:val="TextBody"/>
        <w:rPr/>
      </w:pPr>
      <w:r>
        <w:rPr/>
        <w:t>        </w:t>
      </w:r>
      <w:r>
        <w:rPr>
          <w:rFonts w:ascii="times" w:hAnsi="times"/>
          <w:sz w:val="20"/>
        </w:rPr>
        <w:t xml:space="preserve">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 </w:t>
      </w:r>
    </w:p>
    <w:p>
      <w:pPr>
        <w:pStyle w:val="TextBody"/>
        <w:numPr>
          <w:ilvl w:val="0"/>
          <w:numId w:val="0"/>
        </w:numPr>
        <w:ind w:left="707" w:hanging="0"/>
        <w:rPr>
          <w:rFonts w:ascii="times" w:hAnsi="times"/>
          <w:i/>
          <w:sz w:val="20"/>
        </w:rPr>
      </w:pPr>
      <w:r>
        <w:rPr>
          <w:rFonts w:ascii="times" w:hAnsi="times"/>
          <w:i/>
          <w:sz w:val="20"/>
        </w:rPr>
        <w:t xml:space="preserve">Prohibited Amendments </w:t>
      </w:r>
    </w:p>
    <w:p>
      <w:pPr>
        <w:pStyle w:val="TextBody"/>
        <w:rPr/>
      </w:pPr>
      <w:r>
        <w:rPr/>
        <w:t>        </w:t>
      </w:r>
      <w:r>
        <w:rPr>
          <w:rFonts w:ascii="times" w:hAnsi="times"/>
          <w:sz w:val="20"/>
        </w:rPr>
        <w:t xml:space="preserve">No amendment may be made that would: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enlarge the obligations of any shareholder without its consent, unless approved by at least a majority of the type or class of shareholder interests so affected; or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 </w:t>
      </w:r>
    </w:p>
    <w:p>
      <w:pPr>
        <w:pStyle w:val="TextBody"/>
        <w:rPr/>
      </w:pPr>
      <w:r>
        <w:rPr/>
        <w:t>        </w:t>
      </w:r>
      <w:r>
        <w:rPr>
          <w:rFonts w:ascii="times" w:hAnsi="times"/>
          <w:sz w:val="20"/>
        </w:rPr>
        <w:t xml:space="preserve">The provision of our partnership agreement preventing amendments having the effects described in clauses (1) or (2) above can be amended upon the approval of the holders of at least 90% of the outstanding shares. </w:t>
      </w:r>
    </w:p>
    <w:p>
      <w:pPr>
        <w:pStyle w:val="TextBody"/>
        <w:numPr>
          <w:ilvl w:val="0"/>
          <w:numId w:val="0"/>
        </w:numPr>
        <w:ind w:left="707" w:hanging="0"/>
        <w:rPr>
          <w:rFonts w:ascii="times" w:hAnsi="times"/>
          <w:i/>
          <w:sz w:val="20"/>
        </w:rPr>
      </w:pPr>
      <w:r>
        <w:rPr>
          <w:rFonts w:ascii="times" w:hAnsi="times"/>
          <w:i/>
          <w:sz w:val="20"/>
        </w:rPr>
        <w:t xml:space="preserve">No Shareholder Approval </w:t>
      </w:r>
    </w:p>
    <w:p>
      <w:pPr>
        <w:pStyle w:val="TextBody"/>
        <w:rPr/>
      </w:pPr>
      <w:r>
        <w:rPr/>
        <w:t>        </w:t>
      </w:r>
      <w:r>
        <w:rPr>
          <w:rFonts w:ascii="times" w:hAnsi="times"/>
          <w:sz w:val="20"/>
        </w:rPr>
        <w:t xml:space="preserve">Our general partner may generally make amendments to our partnership agreement without the approval of any shareholder or assignee to reflect: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any change in our name, the location of our principal place of business, our registered agent or its registered office;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admission, substitution, withdrawal or removal of partners in accordance with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that our general partner determines to be necessary or appropriate to qualify or continue the qualification of our partnership as a limited partnership or a partnership in which the limited partners have limited liability under the laws of any state;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 </w:t>
      </w:r>
    </w:p>
    <w:p>
      <w:pPr>
        <w:pStyle w:val="TextBody"/>
        <w:jc w:val="center"/>
        <w:rPr>
          <w:rFonts w:ascii="times" w:hAnsi="times"/>
          <w:sz w:val="20"/>
        </w:rPr>
      </w:pPr>
      <w:r>
        <w:rPr>
          <w:rFonts w:ascii="times" w:hAnsi="times"/>
          <w:sz w:val="20"/>
        </w:rPr>
        <w:t>11</w:t>
      </w:r>
    </w:p>
    <w:p>
      <w:pPr>
        <w:pStyle w:val="HorizontalLine"/>
        <w:pBdr>
          <w:bottom w:val="single" w:sz="20" w:space="0" w:color="808080"/>
        </w:pBdr>
        <w:rPr/>
      </w:pPr>
      <w:r>
        <w:rPr/>
      </w:r>
      <w:r>
        <w:br w:type="page"/>
      </w:r>
    </w:p>
    <w:p>
      <w:pPr>
        <w:pStyle w:val="TextBody"/>
        <w:rPr/>
      </w:pPr>
      <w:hyperlink w:anchor="bg44101a_main_toc">
        <w:bookmarkStart w:id="42" w:name="page_cg44101_1_12"/>
        <w:bookmarkEnd w:id="4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general partner determines to be necessary or appropriate for the authorization of additional partnership securities or rights to acquire partnership securities;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amendment expressly permitted in our partnership agreement to be made by our general partner acting alone; </w:t>
      </w:r>
    </w:p>
    <w:p>
      <w:pPr>
        <w:pStyle w:val="ListHeading"/>
        <w:numPr>
          <w:ilvl w:val="0"/>
          <w:numId w:val="0"/>
        </w:numPr>
        <w:spacing w:before="0" w:after="0"/>
        <w:ind w:left="707" w:right="0" w:hanging="0"/>
        <w:rPr>
          <w:rFonts w:ascii="times" w:hAnsi="times"/>
          <w:sz w:val="20"/>
        </w:rPr>
      </w:pPr>
      <w:r>
        <w:rPr>
          <w:rFonts w:ascii="times" w:hAnsi="times"/>
          <w:sz w:val="20"/>
        </w:rPr>
        <w:t>(7)</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 merger agreement that has been approved under the terms of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(8)</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general partner determines to be necessary or appropriate for the formation by us, or our investment in, any corporation, partnership or other entity, as otherwise permitted by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(9)</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in our fiscal year or taxable year and related changes; </w:t>
      </w:r>
    </w:p>
    <w:p>
      <w:pPr>
        <w:pStyle w:val="ListHeading"/>
        <w:numPr>
          <w:ilvl w:val="0"/>
          <w:numId w:val="0"/>
        </w:numPr>
        <w:spacing w:before="0" w:after="0"/>
        <w:ind w:left="707" w:right="0" w:hanging="0"/>
        <w:rPr>
          <w:rFonts w:ascii="times" w:hAnsi="times"/>
          <w:sz w:val="20"/>
        </w:rPr>
      </w:pPr>
      <w:r>
        <w:rPr>
          <w:rFonts w:ascii="times" w:hAnsi="times"/>
          <w:sz w:val="20"/>
        </w:rPr>
        <w:t>(10)</w:t>
      </w:r>
    </w:p>
    <w:p>
      <w:pPr>
        <w:pStyle w:val="ListContents"/>
        <w:numPr>
          <w:ilvl w:val="0"/>
          <w:numId w:val="0"/>
        </w:numPr>
        <w:spacing w:before="0" w:after="283"/>
        <w:ind w:left="1274" w:right="0" w:hanging="0"/>
        <w:rPr>
          <w:rFonts w:ascii="times" w:hAnsi="times"/>
          <w:sz w:val="20"/>
        </w:rPr>
      </w:pPr>
      <w:r>
        <w:rPr>
          <w:rFonts w:ascii="times" w:hAnsi="times"/>
          <w:sz w:val="20"/>
        </w:rPr>
        <w:t xml:space="preserve">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 </w:t>
      </w:r>
    </w:p>
    <w:p>
      <w:pPr>
        <w:pStyle w:val="ListHeading"/>
        <w:numPr>
          <w:ilvl w:val="0"/>
          <w:numId w:val="0"/>
        </w:numPr>
        <w:spacing w:before="0" w:after="0"/>
        <w:ind w:left="707" w:right="0" w:hanging="0"/>
        <w:rPr>
          <w:rFonts w:ascii="times" w:hAnsi="times"/>
          <w:sz w:val="20"/>
        </w:rPr>
      </w:pPr>
      <w:r>
        <w:rPr>
          <w:rFonts w:ascii="times" w:hAnsi="times"/>
          <w:sz w:val="20"/>
        </w:rPr>
        <w:t>(11)</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 </w:t>
      </w:r>
    </w:p>
    <w:p>
      <w:pPr>
        <w:pStyle w:val="ListHeading"/>
        <w:numPr>
          <w:ilvl w:val="0"/>
          <w:numId w:val="0"/>
        </w:numPr>
        <w:spacing w:before="0" w:after="0"/>
        <w:ind w:left="707" w:right="0" w:hanging="0"/>
        <w:rPr>
          <w:rFonts w:ascii="times" w:hAnsi="times"/>
          <w:sz w:val="20"/>
        </w:rPr>
      </w:pPr>
      <w:r>
        <w:rPr>
          <w:rFonts w:ascii="times" w:hAnsi="times"/>
          <w:sz w:val="20"/>
        </w:rPr>
        <w:t>(12)</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amendments substantially similar to any of the matters described in (1) through (11) above. </w:t>
      </w:r>
    </w:p>
    <w:p>
      <w:pPr>
        <w:pStyle w:val="TextBody"/>
        <w:rPr/>
      </w:pPr>
      <w:r>
        <w:rPr/>
        <w:t>        </w:t>
      </w:r>
      <w:r>
        <w:rPr>
          <w:rFonts w:ascii="times" w:hAnsi="times"/>
          <w:sz w:val="20"/>
        </w:rPr>
        <w:t xml:space="preserve">In addition, our general partner may make amendments to our partnership agreement without the approval of any shareholder or assignee if those amendments, in the discretion of our general partner: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do not adversely affect our shareholders (or any particular class of holders of partnership interests) in any material respect;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satisfy any requirements, conditions or guidelines contained in any opinion, directive, order, ruling or regulation of any federal or state agency or judicial authority or contained in any federal or state statute;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facilitate the trading of our shares or to comply with any rule, regulation, guideline or requirement of any securities exchange on which our shares are or will be listed for trading;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for any action taken by our general partner relating to splits or combinations of shares under the provisions of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implement certain governance procedures following the trigger date, including the staggering of our board of directors and the public election of directors; or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are required to effect the intent of the statements contained in this prospectus and in the provisions of our partnership agreement or as are otherwise contemplated by our partnership agreement. </w:t>
      </w:r>
    </w:p>
    <w:p>
      <w:pPr>
        <w:pStyle w:val="TextBody"/>
        <w:numPr>
          <w:ilvl w:val="0"/>
          <w:numId w:val="0"/>
        </w:numPr>
        <w:ind w:left="707" w:hanging="0"/>
        <w:rPr>
          <w:rFonts w:ascii="times" w:hAnsi="times"/>
          <w:i/>
          <w:sz w:val="20"/>
        </w:rPr>
      </w:pPr>
      <w:r>
        <w:rPr>
          <w:rFonts w:ascii="times" w:hAnsi="times"/>
          <w:i/>
          <w:sz w:val="20"/>
        </w:rPr>
        <w:t xml:space="preserve">Opinion of Counsel and Shareholder Approval </w:t>
      </w:r>
    </w:p>
    <w:p>
      <w:pPr>
        <w:pStyle w:val="TextBody"/>
        <w:rPr/>
      </w:pPr>
      <w:r>
        <w:rPr/>
        <w:t>        </w:t>
      </w:r>
      <w:r>
        <w:rPr>
          <w:rFonts w:ascii="times" w:hAnsi="times"/>
          <w:sz w:val="20"/>
        </w:rPr>
        <w:t xml:space="preserve">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w:t>
      </w:r>
    </w:p>
    <w:p>
      <w:pPr>
        <w:pStyle w:val="TextBody"/>
        <w:jc w:val="center"/>
        <w:rPr>
          <w:rFonts w:ascii="times" w:hAnsi="times"/>
          <w:sz w:val="20"/>
        </w:rPr>
      </w:pPr>
      <w:r>
        <w:rPr>
          <w:rFonts w:ascii="times" w:hAnsi="times"/>
          <w:sz w:val="20"/>
        </w:rPr>
        <w:t>12</w:t>
      </w:r>
    </w:p>
    <w:p>
      <w:pPr>
        <w:pStyle w:val="HorizontalLine"/>
        <w:pBdr>
          <w:bottom w:val="single" w:sz="20" w:space="0" w:color="808080"/>
        </w:pBdr>
        <w:rPr/>
      </w:pPr>
      <w:r>
        <w:rPr/>
      </w:r>
      <w:r>
        <w:br w:type="page"/>
      </w:r>
    </w:p>
    <w:p>
      <w:pPr>
        <w:pStyle w:val="TextBody"/>
        <w:rPr/>
      </w:pPr>
      <w:hyperlink w:anchor="bg44101a_main_toc">
        <w:bookmarkStart w:id="43" w:name="page_cg44101_1_13"/>
        <w:bookmarkEnd w:id="4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opinion where required, the approval of 90% of the outstanding shares is required for an amendment to become effective. </w:t>
      </w:r>
    </w:p>
    <w:p>
      <w:pPr>
        <w:pStyle w:val="TextBody"/>
        <w:rPr/>
      </w:pPr>
      <w:r>
        <w:rPr/>
        <w:t>        </w:t>
      </w:r>
      <w:r>
        <w:rPr>
          <w:rFonts w:ascii="times" w:hAnsi="times"/>
          <w:sz w:val="20"/>
        </w:rPr>
        <w:t xml:space="preserve">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 </w:t>
      </w:r>
    </w:p>
    <w:p>
      <w:pPr>
        <w:pStyle w:val="TextBody"/>
        <w:rPr>
          <w:rFonts w:ascii="times" w:hAnsi="times"/>
          <w:b/>
          <w:sz w:val="20"/>
        </w:rPr>
      </w:pPr>
      <w:r>
        <w:rPr>
          <w:rFonts w:ascii="times" w:hAnsi="times"/>
          <w:b/>
          <w:sz w:val="20"/>
        </w:rPr>
        <w:t xml:space="preserve">Merger, Sale or Other Disposition of Assets </w:t>
      </w:r>
    </w:p>
    <w:p>
      <w:pPr>
        <w:pStyle w:val="TextBody"/>
        <w:rPr/>
      </w:pPr>
      <w:r>
        <w:rPr/>
        <w:t>        </w:t>
      </w:r>
      <w:r>
        <w:rPr>
          <w:rFonts w:ascii="times" w:hAnsi="times"/>
          <w:sz w:val="20"/>
        </w:rPr>
        <w:t xml:space="preserve">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 </w:t>
      </w:r>
    </w:p>
    <w:p>
      <w:pPr>
        <w:pStyle w:val="TextBody"/>
        <w:rPr/>
      </w:pPr>
      <w:r>
        <w:rPr/>
        <w:t>        </w:t>
      </w:r>
      <w:r>
        <w:rPr>
          <w:rFonts w:ascii="times" w:hAnsi="times"/>
          <w:sz w:val="20"/>
        </w:rPr>
        <w:t xml:space="preserve">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 </w:t>
      </w:r>
    </w:p>
    <w:p>
      <w:pPr>
        <w:pStyle w:val="TextBody"/>
        <w:rPr/>
      </w:pPr>
      <w:r>
        <w:rPr/>
        <w:t>        </w:t>
      </w:r>
      <w:r>
        <w:rPr>
          <w:rFonts w:ascii="times" w:hAnsi="times"/>
          <w:sz w:val="20"/>
        </w:rPr>
        <w:t xml:space="preserve">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 </w:t>
      </w:r>
    </w:p>
    <w:p>
      <w:pPr>
        <w:pStyle w:val="TextBody"/>
        <w:rPr>
          <w:rFonts w:ascii="times" w:hAnsi="times"/>
          <w:b/>
          <w:sz w:val="20"/>
        </w:rPr>
      </w:pPr>
      <w:r>
        <w:rPr>
          <w:rFonts w:ascii="times" w:hAnsi="times"/>
          <w:b/>
          <w:sz w:val="20"/>
        </w:rPr>
        <w:t xml:space="preserve">Termination or Dissolution </w:t>
      </w:r>
    </w:p>
    <w:p>
      <w:pPr>
        <w:pStyle w:val="TextBody"/>
        <w:rPr/>
      </w:pPr>
      <w:r>
        <w:rPr/>
        <w:t>        </w:t>
      </w:r>
      <w:r>
        <w:rPr>
          <w:rFonts w:ascii="times" w:hAnsi="times"/>
          <w:sz w:val="20"/>
        </w:rPr>
        <w:t xml:space="preserve">We will continue as a limited partnership until terminated under our partnership agreement. We will dissolve upon: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election of our general partner to dissolve us, if approved by a majority of our outstanding shares;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being no holders of partnership interests, unless we are continued without dissolution in accordance with applicable Delaware law;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entry of a decree of judicial dissolution of us; or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 </w:t>
      </w:r>
    </w:p>
    <w:p>
      <w:pPr>
        <w:pStyle w:val="TextBody"/>
        <w:jc w:val="center"/>
        <w:rPr>
          <w:rFonts w:ascii="times" w:hAnsi="times"/>
          <w:sz w:val="20"/>
        </w:rPr>
      </w:pPr>
      <w:r>
        <w:rPr>
          <w:rFonts w:ascii="times" w:hAnsi="times"/>
          <w:sz w:val="20"/>
        </w:rPr>
        <w:t>13</w:t>
      </w:r>
    </w:p>
    <w:p>
      <w:pPr>
        <w:pStyle w:val="HorizontalLine"/>
        <w:pBdr>
          <w:bottom w:val="single" w:sz="20" w:space="0" w:color="808080"/>
        </w:pBdr>
        <w:rPr/>
      </w:pPr>
      <w:r>
        <w:rPr/>
      </w:r>
      <w:r>
        <w:br w:type="page"/>
      </w:r>
    </w:p>
    <w:p>
      <w:pPr>
        <w:pStyle w:val="TextBody"/>
        <w:rPr/>
      </w:pPr>
      <w:hyperlink w:anchor="bg44101a_main_toc">
        <w:bookmarkStart w:id="44" w:name="page_cg44101_1_14"/>
        <w:bookmarkEnd w:id="44"/>
        <w:r>
          <w:rPr>
            <w:rStyle w:val="InternetLink"/>
            <w:rFonts w:ascii="times" w:hAnsi="times"/>
            <w:sz w:val="20"/>
          </w:rPr>
          <w:t>Table of Contents</w:t>
        </w:r>
      </w:hyperlink>
    </w:p>
    <w:p>
      <w:pPr>
        <w:pStyle w:val="TextBody"/>
        <w:rPr/>
      </w:pPr>
      <w:r>
        <w:rPr/>
        <w:t>        </w:t>
      </w:r>
      <w:r>
        <w:rPr>
          <w:rFonts w:ascii="times" w:hAnsi="times"/>
          <w:sz w:val="20"/>
        </w:rPr>
        <w:t xml:space="preserve">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 </w:t>
      </w:r>
    </w:p>
    <w:p>
      <w:pPr>
        <w:pStyle w:val="TextBody"/>
        <w:rPr>
          <w:rFonts w:ascii="times" w:hAnsi="times"/>
          <w:b/>
          <w:sz w:val="20"/>
        </w:rPr>
      </w:pPr>
      <w:r>
        <w:rPr>
          <w:rFonts w:ascii="times" w:hAnsi="times"/>
          <w:b/>
          <w:sz w:val="20"/>
        </w:rPr>
        <w:t xml:space="preserve">Liquidation and Distribution of Proceeds </w:t>
      </w:r>
    </w:p>
    <w:p>
      <w:pPr>
        <w:pStyle w:val="TextBody"/>
        <w:rPr/>
      </w:pPr>
      <w:r>
        <w:rPr/>
        <w:t>        </w:t>
      </w:r>
      <w:r>
        <w:rPr>
          <w:rFonts w:ascii="times" w:hAnsi="times"/>
          <w:sz w:val="20"/>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first</w:t>
      </w:r>
      <w:r>
        <w:rPr>
          <w:rFonts w:ascii="times" w:hAnsi="times"/>
          <w:sz w:val="20"/>
        </w:rPr>
        <w:t xml:space="preserve">, towards the payment of all of our creditors and the settlement of or creation of a reserve for contingent liabilities;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then</w:t>
      </w:r>
      <w:r>
        <w:rPr>
          <w:rFonts w:ascii="times" w:hAnsi="times"/>
          <w:sz w:val="20"/>
        </w:rPr>
        <w:t xml:space="preserve">, to all partners in accordance with the positive balance in the respective capital accounts. </w:t>
      </w:r>
    </w:p>
    <w:p>
      <w:pPr>
        <w:pStyle w:val="TextBody"/>
        <w:rPr/>
      </w:pPr>
      <w:r>
        <w:rPr/>
        <w:t>        </w:t>
      </w:r>
      <w:r>
        <w:rPr>
          <w:rFonts w:ascii="times" w:hAnsi="times"/>
          <w:sz w:val="20"/>
        </w:rPr>
        <w:t xml:space="preserve">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 </w:t>
      </w:r>
    </w:p>
    <w:p>
      <w:pPr>
        <w:pStyle w:val="TextBody"/>
        <w:rPr>
          <w:rFonts w:ascii="times" w:hAnsi="times"/>
          <w:b/>
          <w:sz w:val="20"/>
        </w:rPr>
      </w:pPr>
      <w:r>
        <w:rPr>
          <w:rFonts w:ascii="times" w:hAnsi="times"/>
          <w:b/>
          <w:sz w:val="20"/>
        </w:rPr>
        <w:t xml:space="preserve">Withdrawal or Removal of the General Partner </w:t>
      </w:r>
    </w:p>
    <w:p>
      <w:pPr>
        <w:pStyle w:val="TextBody"/>
        <w:rPr/>
      </w:pPr>
      <w:r>
        <w:rPr/>
        <w:t>        </w:t>
      </w:r>
      <w:r>
        <w:rPr>
          <w:rFonts w:ascii="times" w:hAnsi="times"/>
          <w:sz w:val="20"/>
        </w:rPr>
        <w:t xml:space="preserve">Our general partner may withdraw as general partner in compliance with our partnership agreement after giving 90 days' written notice to our shareholders, and that withdrawal will not constitute a violation of our partnership agreement. </w:t>
      </w:r>
    </w:p>
    <w:p>
      <w:pPr>
        <w:pStyle w:val="TextBody"/>
        <w:rPr/>
      </w:pPr>
      <w:r>
        <w:rPr/>
        <w:t>        </w:t>
      </w:r>
      <w:r>
        <w:rPr>
          <w:rFonts w:ascii="times" w:hAnsi="times"/>
          <w:sz w:val="20"/>
        </w:rPr>
        <w:t xml:space="preserve">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 </w:t>
      </w:r>
    </w:p>
    <w:p>
      <w:pPr>
        <w:pStyle w:val="TextBody"/>
        <w:rPr/>
      </w:pPr>
      <w:r>
        <w:rPr/>
        <w:t>        </w:t>
      </w:r>
      <w:r>
        <w:rPr>
          <w:rFonts w:ascii="times" w:hAnsi="times"/>
          <w:sz w:val="20"/>
        </w:rPr>
        <w:t>Our general partner may not be removed unless that removal is approved by the vote of the holders of 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of our outstanding shares by any person or group would give such persons the practical ability to prevent our general partner's removal. The Legacy Owners currently own substantially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xml:space="preserve">% of our outstanding shares. </w:t>
      </w:r>
    </w:p>
    <w:p>
      <w:pPr>
        <w:pStyle w:val="TextBody"/>
        <w:rPr/>
      </w:pPr>
      <w:r>
        <w:rPr/>
        <w:t>        </w:t>
      </w:r>
      <w:r>
        <w:rPr>
          <w:rFonts w:ascii="times" w:hAnsi="times"/>
          <w:sz w:val="20"/>
        </w:rPr>
        <w:t xml:space="preserve">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 </w:t>
      </w:r>
    </w:p>
    <w:p>
      <w:pPr>
        <w:pStyle w:val="TextBody"/>
        <w:rPr>
          <w:rFonts w:ascii="times" w:hAnsi="times"/>
          <w:b/>
          <w:sz w:val="20"/>
        </w:rPr>
      </w:pPr>
      <w:r>
        <w:rPr>
          <w:rFonts w:ascii="times" w:hAnsi="times"/>
          <w:b/>
          <w:sz w:val="20"/>
        </w:rPr>
        <w:t xml:space="preserve">Transfer of General Partner Interest </w:t>
      </w:r>
    </w:p>
    <w:p>
      <w:pPr>
        <w:pStyle w:val="TextBody"/>
        <w:rPr/>
      </w:pPr>
      <w:r>
        <w:rPr/>
        <w:t>        </w:t>
      </w:r>
      <w:r>
        <w:rPr>
          <w:rFonts w:ascii="times" w:hAnsi="times"/>
          <w:sz w:val="20"/>
        </w:rPr>
        <w:t xml:space="preserve">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 </w:t>
      </w:r>
    </w:p>
    <w:p>
      <w:pPr>
        <w:pStyle w:val="TextBody"/>
        <w:jc w:val="center"/>
        <w:rPr>
          <w:rFonts w:ascii="times" w:hAnsi="times"/>
          <w:sz w:val="20"/>
        </w:rPr>
      </w:pPr>
      <w:r>
        <w:rPr>
          <w:rFonts w:ascii="times" w:hAnsi="times"/>
          <w:sz w:val="20"/>
        </w:rPr>
        <w:t>14</w:t>
      </w:r>
    </w:p>
    <w:p>
      <w:pPr>
        <w:pStyle w:val="HorizontalLine"/>
        <w:pBdr>
          <w:bottom w:val="single" w:sz="20" w:space="0" w:color="808080"/>
        </w:pBdr>
        <w:rPr/>
      </w:pPr>
      <w:r>
        <w:rPr/>
      </w:r>
      <w:r>
        <w:br w:type="page"/>
      </w:r>
    </w:p>
    <w:p>
      <w:pPr>
        <w:pStyle w:val="TextBody"/>
        <w:rPr/>
      </w:pPr>
      <w:hyperlink w:anchor="bg44101a_main_toc">
        <w:bookmarkStart w:id="45" w:name="page_ci44101_1_15"/>
        <w:bookmarkEnd w:id="45"/>
        <w:r>
          <w:rPr>
            <w:rStyle w:val="InternetLink"/>
            <w:rFonts w:ascii="times" w:hAnsi="times"/>
            <w:sz w:val="20"/>
          </w:rPr>
          <w:t>Table of Contents</w:t>
        </w:r>
      </w:hyperlink>
      <w:r>
        <w:rPr>
          <w:rFonts w:ascii="times" w:hAnsi="times"/>
          <w:sz w:val="20"/>
        </w:rPr>
        <w:t xml:space="preserve"> </w:t>
      </w:r>
    </w:p>
    <w:p>
      <w:pPr>
        <w:pStyle w:val="TextBody"/>
        <w:rPr>
          <w:rFonts w:ascii="times" w:hAnsi="times"/>
          <w:b/>
          <w:sz w:val="20"/>
        </w:rPr>
      </w:pPr>
      <w:r>
        <w:rPr>
          <w:rFonts w:ascii="times" w:hAnsi="times"/>
          <w:b/>
          <w:sz w:val="20"/>
        </w:rPr>
        <w:t xml:space="preserve">Change of Management Provision </w:t>
      </w:r>
    </w:p>
    <w:p>
      <w:pPr>
        <w:pStyle w:val="TextBody"/>
        <w:rPr/>
      </w:pPr>
      <w:r>
        <w:rPr/>
        <w:t>        </w:t>
      </w:r>
      <w:r>
        <w:rPr>
          <w:rFonts w:ascii="times" w:hAnsi="times"/>
          <w:sz w:val="20"/>
        </w:rPr>
        <w:t xml:space="preserve">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 </w:t>
      </w:r>
    </w:p>
    <w:p>
      <w:pPr>
        <w:pStyle w:val="TextBody"/>
        <w:rPr>
          <w:rFonts w:ascii="times" w:hAnsi="times"/>
          <w:b/>
          <w:sz w:val="20"/>
        </w:rPr>
      </w:pPr>
      <w:r>
        <w:rPr>
          <w:rFonts w:ascii="times" w:hAnsi="times"/>
          <w:b/>
          <w:sz w:val="20"/>
        </w:rPr>
        <w:t xml:space="preserve">Limited Call Right </w:t>
      </w:r>
    </w:p>
    <w:p>
      <w:pPr>
        <w:pStyle w:val="TextBody"/>
        <w:rPr/>
      </w:pPr>
      <w:r>
        <w:rPr/>
        <w:t>        </w:t>
      </w:r>
      <w:r>
        <w:rPr>
          <w:rFonts w:ascii="times" w:hAnsi="times"/>
          <w:sz w:val="20"/>
        </w:rPr>
        <w:t xml:space="preserve">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 </w:t>
      </w:r>
    </w:p>
    <w:p>
      <w:pPr>
        <w:pStyle w:val="TextBody"/>
        <w:rPr/>
      </w:pPr>
      <w:r>
        <w:rPr/>
        <w:t>        </w:t>
      </w:r>
      <w:r>
        <w:rPr>
          <w:rFonts w:ascii="times" w:hAnsi="times"/>
          <w:sz w:val="20"/>
        </w:rPr>
        <w:t xml:space="preserve">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 </w:t>
      </w:r>
    </w:p>
    <w:p>
      <w:pPr>
        <w:pStyle w:val="TextBody"/>
        <w:rPr>
          <w:rFonts w:ascii="times" w:hAnsi="times"/>
          <w:b/>
          <w:sz w:val="20"/>
        </w:rPr>
      </w:pPr>
      <w:r>
        <w:rPr>
          <w:rFonts w:ascii="times" w:hAnsi="times"/>
          <w:b/>
          <w:sz w:val="20"/>
        </w:rPr>
        <w:t xml:space="preserve">Meetings; Voting </w:t>
      </w:r>
    </w:p>
    <w:p>
      <w:pPr>
        <w:pStyle w:val="TextBody"/>
        <w:rPr/>
      </w:pPr>
      <w:r>
        <w:rPr/>
        <w:t>        </w:t>
      </w:r>
      <w:r>
        <w:rPr>
          <w:rFonts w:ascii="times" w:hAnsi="times"/>
          <w:sz w:val="20"/>
        </w:rPr>
        <w:t xml:space="preserve">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 </w:t>
      </w:r>
    </w:p>
    <w:p>
      <w:pPr>
        <w:pStyle w:val="TextBody"/>
        <w:rPr/>
      </w:pPr>
      <w:r>
        <w:rPr/>
        <w:t>        </w:t>
      </w:r>
      <w:r>
        <w:rPr>
          <w:rFonts w:ascii="times" w:hAnsi="times"/>
          <w:sz w:val="20"/>
        </w:rPr>
        <w:t xml:space="preserve">Our general partner does not anticipate that any meeting of shareholders will be called in the foreseeable future.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unless any action by the shareholders requires approval by holders of a greater percentage of the shares, in which case the quorum will be the greater percentage. </w:t>
      </w:r>
    </w:p>
    <w:p>
      <w:pPr>
        <w:pStyle w:val="TextBody"/>
        <w:rPr/>
      </w:pPr>
      <w:r>
        <w:rPr/>
        <w:t>        </w:t>
      </w:r>
      <w:r>
        <w:rPr>
          <w:rFonts w:ascii="times" w:hAnsi="times"/>
          <w:sz w:val="20"/>
        </w:rPr>
        <w:t xml:space="preserve">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w:t>
      </w:r>
    </w:p>
    <w:p>
      <w:pPr>
        <w:pStyle w:val="TextBody"/>
        <w:jc w:val="center"/>
        <w:rPr>
          <w:rFonts w:ascii="times" w:hAnsi="times"/>
          <w:sz w:val="20"/>
        </w:rPr>
      </w:pPr>
      <w:r>
        <w:rPr>
          <w:rFonts w:ascii="times" w:hAnsi="times"/>
          <w:sz w:val="20"/>
        </w:rPr>
        <w:t>15</w:t>
      </w:r>
    </w:p>
    <w:p>
      <w:pPr>
        <w:pStyle w:val="HorizontalLine"/>
        <w:pBdr>
          <w:bottom w:val="single" w:sz="20" w:space="0" w:color="808080"/>
        </w:pBdr>
        <w:rPr/>
      </w:pPr>
      <w:r>
        <w:rPr/>
      </w:r>
      <w:r>
        <w:br w:type="page"/>
      </w:r>
    </w:p>
    <w:p>
      <w:pPr>
        <w:pStyle w:val="TextBody"/>
        <w:rPr/>
      </w:pPr>
      <w:hyperlink w:anchor="bg44101a_main_toc">
        <w:bookmarkStart w:id="46" w:name="page_ci44101_1_16"/>
        <w:bookmarkEnd w:id="4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 </w:t>
      </w:r>
    </w:p>
    <w:p>
      <w:pPr>
        <w:pStyle w:val="TextBody"/>
        <w:rPr/>
      </w:pPr>
      <w:r>
        <w:rPr/>
        <w:t>        </w:t>
      </w:r>
      <w:r>
        <w:rPr>
          <w:rFonts w:ascii="times" w:hAnsi="times"/>
          <w:sz w:val="20"/>
        </w:rPr>
        <w:t xml:space="preserve">Any notice, demand, request, report or proxy material required or permitted to be given or made to record holders of shares under our partnership agreement will be delivered to the record holder by us or by the transfer agent. </w:t>
      </w:r>
    </w:p>
    <w:p>
      <w:pPr>
        <w:pStyle w:val="TextBody"/>
        <w:rPr>
          <w:rFonts w:ascii="times" w:hAnsi="times"/>
          <w:b/>
          <w:sz w:val="20"/>
        </w:rPr>
      </w:pPr>
      <w:r>
        <w:rPr>
          <w:rFonts w:ascii="times" w:hAnsi="times"/>
          <w:b/>
          <w:sz w:val="20"/>
        </w:rPr>
        <w:t xml:space="preserve">Public Election of Directors Following Trigger Date </w:t>
      </w:r>
    </w:p>
    <w:p>
      <w:pPr>
        <w:pStyle w:val="TextBody"/>
        <w:rPr/>
      </w:pPr>
      <w:r>
        <w:rPr/>
        <w:t>        </w:t>
      </w:r>
      <w:r>
        <w:rPr>
          <w:rFonts w:ascii="times" w:hAnsi="times"/>
          <w:sz w:val="20"/>
        </w:rPr>
        <w:t xml:space="preserve">Commencing no sooner than 180 days after and no later than the end of the calendar year (as determined by our general partner's board of directors) following the calendar year in which the date that overall direct and indirect economic interest of the Legacy Owners and their permitted transferees in AAP falls below 40% (calculated as described below), which we refer to as the "trigger date," our general partner's board of directors will be divided into three classes of directors such that each class will be comprised of one designated director and one independent director.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 As provided in our general partner's limited liability company agreement, the CEO of our general partner is an automatic member (and Chairman) of our general partner's board of directors and therefore will not be included in a class. Each class of directors will serve a three year term. </w:t>
      </w:r>
    </w:p>
    <w:p>
      <w:pPr>
        <w:pStyle w:val="TextBody"/>
        <w:rPr/>
      </w:pPr>
      <w:r>
        <w:rPr/>
        <w:t>        </w:t>
      </w:r>
      <w:r>
        <w:rPr>
          <w:rFonts w:ascii="times" w:hAnsi="times"/>
          <w:sz w:val="20"/>
        </w:rPr>
        <w:t xml:space="preserve">After the trigger date and once our general partner's board of directors has been divided into classes and staggered as described above, our amended and restated partnership agreement provides that, prior to the expiration of the term of each class of directors (at such time as is determined by our general partner),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and Class B shares, together as a single class, will constitute a quorum. </w:t>
      </w:r>
    </w:p>
    <w:p>
      <w:pPr>
        <w:pStyle w:val="TextBody"/>
        <w:rPr/>
      </w:pPr>
      <w:r>
        <w:rPr/>
        <w:t>        </w:t>
      </w:r>
      <w:r>
        <w:rPr>
          <w:rFonts w:ascii="times" w:hAnsi="times"/>
          <w:sz w:val="20"/>
        </w:rPr>
        <w:t xml:space="preserve">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that owns of record at least 10% of the combined Class A and Class B shares following the trigger date,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amended and restated partnership agreement. </w:t>
      </w:r>
    </w:p>
    <w:p>
      <w:pPr>
        <w:pStyle w:val="TextBody"/>
        <w:jc w:val="center"/>
        <w:rPr>
          <w:rFonts w:ascii="times" w:hAnsi="times"/>
          <w:sz w:val="20"/>
        </w:rPr>
      </w:pPr>
      <w:r>
        <w:rPr>
          <w:rFonts w:ascii="times" w:hAnsi="times"/>
          <w:sz w:val="20"/>
        </w:rPr>
        <w:t>16</w:t>
      </w:r>
    </w:p>
    <w:p>
      <w:pPr>
        <w:pStyle w:val="HorizontalLine"/>
        <w:pBdr>
          <w:bottom w:val="single" w:sz="20" w:space="0" w:color="808080"/>
        </w:pBdr>
        <w:rPr/>
      </w:pPr>
      <w:r>
        <w:rPr/>
      </w:r>
      <w:r>
        <w:br w:type="page"/>
      </w:r>
    </w:p>
    <w:p>
      <w:pPr>
        <w:pStyle w:val="TextBody"/>
        <w:rPr/>
      </w:pPr>
      <w:hyperlink w:anchor="bg44101a_main_toc">
        <w:bookmarkStart w:id="47" w:name="page_ci44101_1_17"/>
        <w:bookmarkEnd w:id="47"/>
        <w:r>
          <w:rPr>
            <w:rStyle w:val="InternetLink"/>
            <w:rFonts w:ascii="times" w:hAnsi="times"/>
            <w:sz w:val="20"/>
          </w:rPr>
          <w:t>Table of Contents</w:t>
        </w:r>
      </w:hyperlink>
    </w:p>
    <w:p>
      <w:pPr>
        <w:pStyle w:val="TextBody"/>
        <w:rPr/>
      </w:pPr>
      <w:r>
        <w:rPr/>
        <w:t>        </w:t>
      </w:r>
      <w:r>
        <w:rPr>
          <w:rFonts w:ascii="times" w:hAnsi="times"/>
          <w:sz w:val="20"/>
        </w:rPr>
        <w:t xml:space="preserve">In addition to the provisions described above and in our amended and restated partnership agreement, a shareholder must also comply with all applicable requirements of the Exchange Act and the rules and regulations thereunder; provided, however, that any references in our amended and restated partnership agreement to the Exchange Act or the rules promulgated thereunder are not intended to and do not limit any requirements applicable to nominations pursuant to our amended and restated partnership agreement, and compliance with our amended and restated partnership agreement is the exclusive means for a shareholder to make nominations. </w:t>
      </w:r>
    </w:p>
    <w:p>
      <w:pPr>
        <w:pStyle w:val="TextBody"/>
        <w:rPr/>
      </w:pPr>
      <w:r>
        <w:rPr/>
        <w:t>        </w:t>
      </w:r>
      <w:r>
        <w:rPr>
          <w:rFonts w:ascii="times" w:hAnsi="times"/>
          <w:sz w:val="20"/>
        </w:rPr>
        <w:t xml:space="preserve">The elected directors will be elected by a plurality of the votes cast, and the designating parties will be entitled to vote in any election of elected directors. </w:t>
      </w:r>
    </w:p>
    <w:p>
      <w:pPr>
        <w:pStyle w:val="TextBody"/>
        <w:rPr/>
      </w:pPr>
      <w:r>
        <w:rPr/>
        <w:t>        </w:t>
      </w:r>
      <w:r>
        <w:rPr>
          <w:rFonts w:ascii="times" w:hAnsi="times"/>
          <w:sz w:val="20"/>
        </w:rPr>
        <w:t xml:space="preserve">No more than one director subject to designation by the designating parties would be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 </w:t>
      </w:r>
    </w:p>
    <w:p>
      <w:pPr>
        <w:pStyle w:val="TextBody"/>
        <w:rPr/>
      </w:pPr>
      <w:r>
        <w:rPr/>
        <w:t>        </w:t>
      </w:r>
      <w:r>
        <w:rPr>
          <w:rFonts w:ascii="times" w:hAnsi="times"/>
          <w:sz w:val="20"/>
        </w:rPr>
        <w:t xml:space="preserve">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will become subject to election by our shareholders. </w:t>
      </w:r>
    </w:p>
    <w:p>
      <w:pPr>
        <w:pStyle w:val="TextBody"/>
        <w:rPr/>
      </w:pPr>
      <w:r>
        <w:rPr/>
        <w:t>        </w:t>
      </w:r>
      <w:r>
        <w:rPr>
          <w:rFonts w:ascii="times" w:hAnsi="times"/>
          <w:sz w:val="20"/>
        </w:rPr>
        <w:t xml:space="preserve">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 </w:t>
      </w:r>
    </w:p>
    <w:p>
      <w:pPr>
        <w:pStyle w:val="TextBody"/>
        <w:rPr>
          <w:rFonts w:ascii="times" w:hAnsi="times"/>
          <w:b/>
          <w:sz w:val="20"/>
        </w:rPr>
      </w:pPr>
      <w:r>
        <w:rPr>
          <w:rFonts w:ascii="times" w:hAnsi="times"/>
          <w:b/>
          <w:sz w:val="20"/>
        </w:rPr>
        <w:t xml:space="preserve">Status as Limited Partner </w:t>
      </w:r>
    </w:p>
    <w:p>
      <w:pPr>
        <w:pStyle w:val="TextBody"/>
        <w:rPr/>
      </w:pPr>
      <w:r>
        <w:rPr/>
        <w:t>        </w:t>
      </w:r>
      <w:r>
        <w:rPr>
          <w:rFonts w:ascii="times" w:hAnsi="times"/>
          <w:sz w:val="20"/>
        </w:rPr>
        <w:t xml:space="preserve">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 </w:t>
      </w:r>
    </w:p>
    <w:p>
      <w:pPr>
        <w:pStyle w:val="TextBody"/>
        <w:rPr>
          <w:rFonts w:ascii="times" w:hAnsi="times"/>
          <w:b/>
          <w:sz w:val="20"/>
        </w:rPr>
      </w:pPr>
      <w:r>
        <w:rPr>
          <w:rFonts w:ascii="times" w:hAnsi="times"/>
          <w:b/>
          <w:sz w:val="20"/>
        </w:rPr>
        <w:t xml:space="preserve">Non-Citizen Assignees; Redemption </w:t>
      </w:r>
    </w:p>
    <w:p>
      <w:pPr>
        <w:pStyle w:val="TextBody"/>
        <w:rPr/>
      </w:pPr>
      <w:r>
        <w:rPr/>
        <w:t>        </w:t>
      </w:r>
      <w:r>
        <w:rPr>
          <w:rFonts w:ascii="times" w:hAnsi="times"/>
          <w:sz w:val="20"/>
        </w:rPr>
        <w:t xml:space="preserve">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w:t>
      </w:r>
    </w:p>
    <w:p>
      <w:pPr>
        <w:pStyle w:val="TextBody"/>
        <w:jc w:val="center"/>
        <w:rPr>
          <w:rFonts w:ascii="times" w:hAnsi="times"/>
          <w:sz w:val="20"/>
        </w:rPr>
      </w:pPr>
      <w:r>
        <w:rPr>
          <w:rFonts w:ascii="times" w:hAnsi="times"/>
          <w:sz w:val="20"/>
        </w:rPr>
        <w:t>17</w:t>
      </w:r>
    </w:p>
    <w:p>
      <w:pPr>
        <w:pStyle w:val="HorizontalLine"/>
        <w:pBdr>
          <w:bottom w:val="single" w:sz="20" w:space="0" w:color="808080"/>
        </w:pBdr>
        <w:rPr/>
      </w:pPr>
      <w:r>
        <w:rPr/>
      </w:r>
      <w:r>
        <w:br w:type="page"/>
      </w:r>
    </w:p>
    <w:p>
      <w:pPr>
        <w:pStyle w:val="TextBody"/>
        <w:rPr/>
      </w:pPr>
      <w:hyperlink w:anchor="bg44101a_main_toc">
        <w:bookmarkStart w:id="48" w:name="page_ci44101_1_18"/>
        <w:bookmarkEnd w:id="4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that is not a substituted limited partner, a non-citizen assignee does not have the right to direct the voting of his shares and may not receive distributions in kind upon our liquidation. </w:t>
      </w:r>
    </w:p>
    <w:p>
      <w:pPr>
        <w:pStyle w:val="TextBody"/>
        <w:rPr>
          <w:rFonts w:ascii="times" w:hAnsi="times"/>
          <w:b/>
          <w:sz w:val="20"/>
        </w:rPr>
      </w:pPr>
      <w:r>
        <w:rPr>
          <w:rFonts w:ascii="times" w:hAnsi="times"/>
          <w:b/>
          <w:sz w:val="20"/>
        </w:rPr>
        <w:t xml:space="preserve">Indemnification </w:t>
      </w:r>
    </w:p>
    <w:p>
      <w:pPr>
        <w:pStyle w:val="TextBody"/>
        <w:rPr/>
      </w:pPr>
      <w:r>
        <w:rPr/>
        <w:t>        </w:t>
      </w:r>
      <w:r>
        <w:rPr>
          <w:rFonts w:ascii="times" w:hAnsi="times"/>
          <w:sz w:val="20"/>
        </w:rPr>
        <w:t>Under our partnership agreement, in most circumstances, we will indemnify the following persons, to the fullest extent permitted by law, from and against all losses, claims, damages or similar events: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departing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Qualifying Interest Holders (as defined in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an affiliate of our general partner, any departing general partner, the Legacy Owners or any Qualifying Interest Holder;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 managing member, manager, general partner, director, officer, fiduciary, agent or trustee of our general partner or any departing general partner or any affiliate of our general partner, any departing general partner or 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designated by our general partner. </w:t>
      </w:r>
    </w:p>
    <w:p>
      <w:pPr>
        <w:pStyle w:val="TextBody"/>
        <w:rPr/>
      </w:pPr>
      <w:r>
        <w:rPr/>
        <w:t>        </w:t>
      </w:r>
      <w:r>
        <w:rPr>
          <w:rFonts w:ascii="times" w:hAnsi="times"/>
          <w:sz w:val="20"/>
        </w:rPr>
        <w:t xml:space="preserve">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 </w:t>
      </w:r>
    </w:p>
    <w:p>
      <w:pPr>
        <w:pStyle w:val="TextBody"/>
        <w:rPr>
          <w:rFonts w:ascii="times" w:hAnsi="times"/>
          <w:b/>
          <w:sz w:val="20"/>
        </w:rPr>
      </w:pPr>
      <w:r>
        <w:rPr>
          <w:rFonts w:ascii="times" w:hAnsi="times"/>
          <w:b/>
          <w:sz w:val="20"/>
        </w:rPr>
        <w:t xml:space="preserve">Reimbursement of Expenses </w:t>
      </w:r>
    </w:p>
    <w:p>
      <w:pPr>
        <w:pStyle w:val="TextBody"/>
        <w:rPr/>
      </w:pPr>
      <w:r>
        <w:rPr/>
        <w:t>        </w:t>
      </w:r>
      <w:r>
        <w:rPr>
          <w:rFonts w:ascii="times" w:hAnsi="times"/>
          <w:sz w:val="20"/>
        </w:rPr>
        <w:t xml:space="preserve">In connection with our IPO, we entered into an administrative agreement with our general partner, AAP, PAA, PAA GP and GP LLC, which requires AAP to reimburse our general partner for all direct and indirect expenses it incurs or payments it makes on our behalf and all other expenses allocable to us or otherwise incurred by our general partner in connection with operating our or its business. These expenses include any amounts paid to persons who perform services for us or on our behalf and expenses allocated to our general partner by its affiliates. Our general partner is entitled to determine the expenses that are allocable to us. In any event, these expenses will include any costs to the general partner of maintaining its existence and good standing in whatever jurisdiction it deems advisable. There is no limit on the amount of fees and expenses AAP may be required to pay to affiliates of our general partner on our behalf pursuant to the administrative agreement. </w:t>
      </w:r>
    </w:p>
    <w:p>
      <w:pPr>
        <w:pStyle w:val="TextBody"/>
        <w:rPr>
          <w:rFonts w:ascii="times" w:hAnsi="times"/>
          <w:b/>
          <w:sz w:val="20"/>
        </w:rPr>
      </w:pPr>
      <w:r>
        <w:rPr>
          <w:rFonts w:ascii="times" w:hAnsi="times"/>
          <w:b/>
          <w:sz w:val="20"/>
        </w:rPr>
        <w:t xml:space="preserve">Books and Reports </w:t>
      </w:r>
    </w:p>
    <w:p>
      <w:pPr>
        <w:pStyle w:val="TextBody"/>
        <w:rPr/>
      </w:pPr>
      <w:r>
        <w:rPr/>
        <w:t>        </w:t>
      </w:r>
      <w:r>
        <w:rPr>
          <w:rFonts w:ascii="times" w:hAnsi="times"/>
          <w:sz w:val="20"/>
        </w:rPr>
        <w:t xml:space="preserve">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 </w:t>
      </w:r>
    </w:p>
    <w:p>
      <w:pPr>
        <w:pStyle w:val="TextBody"/>
        <w:jc w:val="center"/>
        <w:rPr>
          <w:rFonts w:ascii="times" w:hAnsi="times"/>
          <w:sz w:val="20"/>
        </w:rPr>
      </w:pPr>
      <w:r>
        <w:rPr>
          <w:rFonts w:ascii="times" w:hAnsi="times"/>
          <w:sz w:val="20"/>
        </w:rPr>
        <w:t>18</w:t>
      </w:r>
    </w:p>
    <w:p>
      <w:pPr>
        <w:pStyle w:val="HorizontalLine"/>
        <w:pBdr>
          <w:bottom w:val="single" w:sz="20" w:space="0" w:color="808080"/>
        </w:pBdr>
        <w:rPr/>
      </w:pPr>
      <w:r>
        <w:rPr/>
      </w:r>
      <w:r>
        <w:br w:type="page"/>
      </w:r>
    </w:p>
    <w:p>
      <w:pPr>
        <w:pStyle w:val="TextBody"/>
        <w:rPr/>
      </w:pPr>
      <w:hyperlink w:anchor="bg44101a_main_toc">
        <w:bookmarkStart w:id="49" w:name="page_ci44101_1_19"/>
        <w:bookmarkEnd w:id="49"/>
        <w:r>
          <w:rPr>
            <w:rStyle w:val="InternetLink"/>
            <w:rFonts w:ascii="times" w:hAnsi="times"/>
            <w:sz w:val="20"/>
          </w:rPr>
          <w:t>Table of Contents</w:t>
        </w:r>
      </w:hyperlink>
    </w:p>
    <w:p>
      <w:pPr>
        <w:pStyle w:val="TextBody"/>
        <w:rPr/>
      </w:pPr>
      <w:r>
        <w:rPr/>
        <w:t>        </w:t>
      </w:r>
      <w:r>
        <w:rPr>
          <w:rFonts w:ascii="times" w:hAnsi="times"/>
          <w:sz w:val="20"/>
        </w:rPr>
        <w:t xml:space="preserve">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 </w:t>
      </w:r>
    </w:p>
    <w:p>
      <w:pPr>
        <w:pStyle w:val="TextBody"/>
        <w:rPr>
          <w:rFonts w:ascii="times" w:hAnsi="times"/>
          <w:b/>
          <w:sz w:val="20"/>
        </w:rPr>
      </w:pPr>
      <w:r>
        <w:rPr>
          <w:rFonts w:ascii="times" w:hAnsi="times"/>
          <w:b/>
          <w:sz w:val="20"/>
        </w:rPr>
        <w:t xml:space="preserve">Right to Inspect Our Books and Records </w:t>
      </w:r>
    </w:p>
    <w:p>
      <w:pPr>
        <w:pStyle w:val="TextBody"/>
        <w:rPr/>
      </w:pPr>
      <w:r>
        <w:rPr/>
        <w:t>        </w:t>
      </w:r>
      <w:r>
        <w:rPr>
          <w:rFonts w:ascii="times" w:hAnsi="times"/>
          <w:sz w:val="20"/>
        </w:rPr>
        <w:t>Our partnership agreement provides that a limited partner can, for a purpose reasonably related to his interest as a limited partner, upon reasonable written demand and at his own expense, have furnished to him:</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current list of the name and last known address of each record holder;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copies of our partnership agreement, our certificate of limited partnership of the partnership, related amendments and powers of attorney under which they have been executed. </w:t>
      </w:r>
    </w:p>
    <w:p>
      <w:pPr>
        <w:pStyle w:val="TextBody"/>
        <w:rPr/>
      </w:pPr>
      <w:r>
        <w:rPr/>
        <w:t>        </w:t>
      </w:r>
      <w:r>
        <w:rPr>
          <w:rFonts w:ascii="times" w:hAnsi="times"/>
          <w:sz w:val="20"/>
        </w:rPr>
        <w:t xml:space="preserve">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 </w:t>
      </w:r>
    </w:p>
    <w:p>
      <w:pPr>
        <w:pStyle w:val="TextBody"/>
        <w:rPr/>
      </w:pPr>
      <w:r>
        <w:rPr/>
        <w:t>        </w:t>
      </w:r>
      <w:r>
        <w:rPr>
          <w:rFonts w:ascii="times" w:hAnsi="times"/>
          <w:sz w:val="20"/>
        </w:rPr>
        <w:t xml:space="preserve">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 </w:t>
      </w:r>
    </w:p>
    <w:p>
      <w:pPr>
        <w:pStyle w:val="TextBody"/>
        <w:jc w:val="center"/>
        <w:rPr>
          <w:rFonts w:ascii="times" w:hAnsi="times"/>
          <w:sz w:val="20"/>
        </w:rPr>
      </w:pPr>
      <w:r>
        <w:rPr>
          <w:rFonts w:ascii="times" w:hAnsi="times"/>
          <w:sz w:val="20"/>
        </w:rPr>
        <w:t>19</w:t>
      </w:r>
    </w:p>
    <w:p>
      <w:pPr>
        <w:pStyle w:val="HorizontalLine"/>
        <w:pBdr>
          <w:bottom w:val="single" w:sz="20" w:space="0" w:color="808080"/>
        </w:pBdr>
        <w:rPr/>
      </w:pPr>
      <w:r>
        <w:rPr/>
      </w:r>
      <w:r>
        <w:br w:type="page"/>
      </w:r>
    </w:p>
    <w:p>
      <w:pPr>
        <w:pStyle w:val="TextBody"/>
        <w:rPr/>
      </w:pPr>
      <w:hyperlink w:anchor="bg44101a_main_toc">
        <w:bookmarkStart w:id="50" w:name="page_ck44101_1_20"/>
        <w:bookmarkEnd w:id="5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1" w:name="toc_ck44101_1"/>
      <w:bookmarkStart w:id="52" w:name="ck44101_description_of_our_shares"/>
      <w:bookmarkEnd w:id="51"/>
      <w:bookmarkEnd w:id="52"/>
      <w:r>
        <w:rPr>
          <w:rFonts w:ascii="times" w:hAnsi="times"/>
          <w:sz w:val="20"/>
        </w:rPr>
        <w:br/>
      </w:r>
      <w:r>
        <w:rPr>
          <w:rFonts w:ascii="times" w:hAnsi="times"/>
          <w:b/>
          <w:sz w:val="20"/>
        </w:rPr>
        <w:t xml:space="preserve">DESCRIPTION OF OUR SHARES </w:t>
      </w:r>
    </w:p>
    <w:p>
      <w:pPr>
        <w:pStyle w:val="TextBody"/>
        <w:rPr>
          <w:rFonts w:ascii="times" w:hAnsi="times"/>
          <w:b/>
          <w:sz w:val="20"/>
        </w:rPr>
      </w:pPr>
      <w:r>
        <w:rPr>
          <w:rFonts w:ascii="times" w:hAnsi="times"/>
          <w:b/>
          <w:sz w:val="20"/>
        </w:rPr>
        <w:t xml:space="preserve">Our Share Structure </w:t>
      </w:r>
    </w:p>
    <w:p>
      <w:pPr>
        <w:pStyle w:val="TextBody"/>
        <w:rPr/>
      </w:pPr>
      <w:r>
        <w:rPr/>
        <w:t>        </w:t>
      </w:r>
      <w:r>
        <w:rPr>
          <w:rFonts w:ascii="times" w:hAnsi="times"/>
          <w:sz w:val="20"/>
        </w:rPr>
        <w:t xml:space="preserve">Our partnership agreement provides for two classes of shares, Class A shares and Class B shares, both representing limited partner interests in us. The holders of our Class A and Class B shares are entitled to exercise the rights or privileges available to limited partners under our partnership agreement, but only holders of our Class A shares are entitled to participate in our distributions.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 </w:t>
      </w:r>
    </w:p>
    <w:p>
      <w:pPr>
        <w:pStyle w:val="TextBody"/>
        <w:rPr/>
      </w:pPr>
      <w:r>
        <w:rPr/>
        <w:t>        </w:t>
      </w:r>
      <w:r>
        <w:rPr>
          <w:rFonts w:ascii="times" w:hAnsi="times"/>
          <w:sz w:val="20"/>
        </w:rPr>
        <w:t xml:space="preserve">Our Class A shares are listed on the NYSE under the symbol "PAGP"; we do not intend to list the Class B shares on any stock exchange. All of our Class B shares are owned by the Legacy Owners or their permitted transferees. </w:t>
      </w:r>
    </w:p>
    <w:p>
      <w:pPr>
        <w:pStyle w:val="TextBody"/>
        <w:rPr>
          <w:rFonts w:ascii="times" w:hAnsi="times"/>
          <w:b/>
          <w:sz w:val="20"/>
        </w:rPr>
      </w:pPr>
      <w:r>
        <w:rPr>
          <w:rFonts w:ascii="times" w:hAnsi="times"/>
          <w:b/>
          <w:sz w:val="20"/>
        </w:rPr>
        <w:t xml:space="preserve">Exchange Right </w:t>
      </w:r>
    </w:p>
    <w:p>
      <w:pPr>
        <w:pStyle w:val="TextBody"/>
        <w:rPr/>
      </w:pPr>
      <w:r>
        <w:rPr/>
        <w:t>        </w:t>
      </w:r>
      <w:r>
        <w:rPr>
          <w:rFonts w:ascii="times" w:hAnsi="times"/>
          <w:sz w:val="20"/>
        </w:rPr>
        <w:t xml:space="preserve">The Legacy Owners and any permitted transferees of their AAP units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and general partner units are transferred by the exercising party to us. </w:t>
      </w:r>
    </w:p>
    <w:p>
      <w:pPr>
        <w:pStyle w:val="TextBody"/>
        <w:rPr/>
      </w:pPr>
      <w:r>
        <w:rPr/>
        <w:t>        </w:t>
      </w:r>
      <w:r>
        <w:rPr>
          <w:rFonts w:ascii="times" w:hAnsi="times"/>
          <w:sz w:val="20"/>
        </w:rPr>
        <w:t xml:space="preserve">For purposes of any transfer or exchange of AAP units owned by the Legacy Owners, the AAP partnership agreement, our general partner's limited liability company agreement and our partnership agreement contain provisions linking each such AAP unit with one of our Class B shares and a general partner unit. Our Class B shares and general partner units cannot be transferred without transferring an equal number of AAP units and vice versa. </w:t>
      </w:r>
    </w:p>
    <w:p>
      <w:pPr>
        <w:pStyle w:val="TextBody"/>
        <w:rPr/>
      </w:pPr>
      <w:r>
        <w:rPr/>
        <w:t>        </w:t>
      </w:r>
      <w:r>
        <w:rPr>
          <w:rFonts w:ascii="times" w:hAnsi="times"/>
          <w:sz w:val="20"/>
        </w:rPr>
        <w:t xml:space="preserve">Additionally, if the Class A shares are publicly traded at any time after December 31, 2015, a holder of vested AAP management units will be entitled to convert his or her AAP management units into AAP units and a like number of Class B shares based on a conversion ratio calculated in accordance with the AAP limited partnership agreement (which conversion ratio will not be more than one-to-one and was approximately 0.925 AAP units for each AAP management unit as of the date of the distribution that was paid with respect to the third quarter of 2014).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w:t>
      </w:r>
    </w:p>
    <w:p>
      <w:pPr>
        <w:pStyle w:val="TextBody"/>
        <w:rPr/>
      </w:pPr>
      <w:r>
        <w:rPr/>
        <w:t>        </w:t>
      </w:r>
      <w:r>
        <w:rPr>
          <w:rFonts w:ascii="times" w:hAnsi="times"/>
          <w:sz w:val="20"/>
        </w:rPr>
        <w:t xml:space="preserve">The above mechanisms are subject to customary conversion rate adjustments for equity splits, equity dividends and reclassifications. </w:t>
      </w:r>
    </w:p>
    <w:p>
      <w:pPr>
        <w:pStyle w:val="TextBody"/>
        <w:rPr>
          <w:rFonts w:ascii="times" w:hAnsi="times"/>
          <w:b/>
          <w:sz w:val="20"/>
        </w:rPr>
      </w:pPr>
      <w:r>
        <w:rPr>
          <w:rFonts w:ascii="times" w:hAnsi="times"/>
          <w:b/>
          <w:sz w:val="20"/>
        </w:rPr>
        <w:t xml:space="preserve">Transfer of Class A Shares and Class B Shares </w:t>
      </w:r>
    </w:p>
    <w:p>
      <w:pPr>
        <w:pStyle w:val="TextBody"/>
        <w:rPr/>
      </w:pPr>
      <w:r>
        <w:rPr/>
        <w:t>        </w:t>
      </w:r>
      <w:r>
        <w:rPr>
          <w:rFonts w:ascii="times" w:hAnsi="times"/>
          <w:sz w:val="20"/>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represents that the transferee has the capacity, power and authority to become bound by our partnership agreement; </w:t>
      </w:r>
    </w:p>
    <w:p>
      <w:pPr>
        <w:pStyle w:val="TextBody"/>
        <w:jc w:val="center"/>
        <w:rPr>
          <w:rFonts w:ascii="times" w:hAnsi="times"/>
          <w:sz w:val="20"/>
        </w:rPr>
      </w:pPr>
      <w:r>
        <w:rPr>
          <w:rFonts w:ascii="times" w:hAnsi="times"/>
          <w:sz w:val="20"/>
        </w:rPr>
        <w:t>20</w:t>
      </w:r>
    </w:p>
    <w:p>
      <w:pPr>
        <w:pStyle w:val="HorizontalLine"/>
        <w:pBdr>
          <w:bottom w:val="single" w:sz="20" w:space="0" w:color="808080"/>
        </w:pBdr>
        <w:rPr/>
      </w:pPr>
      <w:r>
        <w:rPr/>
      </w:r>
      <w:r>
        <w:br w:type="page"/>
      </w:r>
    </w:p>
    <w:p>
      <w:pPr>
        <w:pStyle w:val="TextBody"/>
        <w:rPr/>
      </w:pPr>
      <w:hyperlink w:anchor="bg44101a_main_toc">
        <w:bookmarkStart w:id="53" w:name="page_ck44101_1_21"/>
        <w:bookmarkEnd w:id="53"/>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automatically agrees to be bound by the terms and conditions of, and is deemed to have executed, our partnership agreement;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gives the consents and approvals contained in our partnership agreement. </w:t>
      </w:r>
    </w:p>
    <w:p>
      <w:pPr>
        <w:pStyle w:val="TextBody"/>
        <w:rPr/>
      </w:pPr>
      <w:r>
        <w:rPr/>
        <w:t>        </w:t>
      </w:r>
      <w:r>
        <w:rPr>
          <w:rFonts w:ascii="times" w:hAnsi="times"/>
          <w:sz w:val="20"/>
        </w:rPr>
        <w:t xml:space="preserve">A transferee will become a substituted limited partner for the transferred shares automatically upon the recording of the transfer on our books and records. Our general partner will cause any transfers to be recorded on our books and records no less frequently than quarterly. </w:t>
      </w:r>
    </w:p>
    <w:p>
      <w:pPr>
        <w:pStyle w:val="TextBody"/>
        <w:rPr/>
      </w:pPr>
      <w:r>
        <w:rPr/>
        <w:t>        </w:t>
      </w:r>
      <w:r>
        <w:rPr>
          <w:rFonts w:ascii="times" w:hAnsi="times"/>
          <w:sz w:val="20"/>
        </w:rPr>
        <w:t xml:space="preserve">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 </w:t>
      </w:r>
    </w:p>
    <w:p>
      <w:pPr>
        <w:pStyle w:val="TextBody"/>
        <w:rPr/>
      </w:pPr>
      <w:r>
        <w:rPr/>
        <w:t>        </w:t>
      </w:r>
      <w:r>
        <w:rPr>
          <w:rFonts w:ascii="times" w:hAnsi="times"/>
          <w:sz w:val="20"/>
        </w:rPr>
        <w:t xml:space="preserve">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 </w:t>
      </w:r>
    </w:p>
    <w:p>
      <w:pPr>
        <w:pStyle w:val="TextBody"/>
        <w:rPr/>
      </w:pPr>
      <w:r>
        <w:rPr/>
        <w:t>        </w:t>
      </w:r>
      <w:r>
        <w:rPr>
          <w:rFonts w:ascii="times" w:hAnsi="times"/>
          <w:sz w:val="20"/>
        </w:rPr>
        <w:t xml:space="preserve">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 </w:t>
      </w:r>
    </w:p>
    <w:p>
      <w:pPr>
        <w:pStyle w:val="TextBody"/>
        <w:rPr/>
      </w:pPr>
      <w:r>
        <w:rPr/>
        <w:t>        </w:t>
      </w:r>
      <w:r>
        <w:rPr>
          <w:rFonts w:ascii="times" w:hAnsi="times"/>
          <w:sz w:val="20"/>
        </w:rPr>
        <w:t xml:space="preserve">For purposes of any transfer or exchange of AAP units and our Class B shares, the AAP partnership agreement, our general partner's limited liability company agreement and our partnership agreement contain provisions linking each AAP unit with one of our Class B shares and a general partner unit. Please read "Exchange Right" above. </w:t>
      </w:r>
    </w:p>
    <w:p>
      <w:pPr>
        <w:pStyle w:val="TextBody"/>
        <w:rPr>
          <w:rFonts w:ascii="times" w:hAnsi="times"/>
          <w:b/>
          <w:sz w:val="20"/>
        </w:rPr>
      </w:pPr>
      <w:r>
        <w:rPr>
          <w:rFonts w:ascii="times" w:hAnsi="times"/>
          <w:b/>
          <w:sz w:val="20"/>
        </w:rPr>
        <w:t xml:space="preserve">Transfer Agent and Registrar </w:t>
      </w:r>
    </w:p>
    <w:p>
      <w:pPr>
        <w:pStyle w:val="TextBody"/>
        <w:numPr>
          <w:ilvl w:val="0"/>
          <w:numId w:val="0"/>
        </w:numPr>
        <w:ind w:left="707" w:hanging="0"/>
        <w:rPr>
          <w:rFonts w:ascii="times" w:hAnsi="times"/>
          <w:i/>
          <w:sz w:val="20"/>
        </w:rPr>
      </w:pPr>
      <w:r>
        <w:rPr>
          <w:rFonts w:ascii="times" w:hAnsi="times"/>
          <w:i/>
          <w:sz w:val="20"/>
        </w:rPr>
        <w:t xml:space="preserve">Duties </w:t>
      </w:r>
    </w:p>
    <w:p>
      <w:pPr>
        <w:pStyle w:val="TextBody"/>
        <w:rPr/>
      </w:pPr>
      <w:r>
        <w:rPr/>
        <w:t>        </w:t>
      </w:r>
      <w:r>
        <w:rPr>
          <w:rFonts w:ascii="times" w:hAnsi="times"/>
          <w:sz w:val="20"/>
        </w:rPr>
        <w:t>American Stock Transfer and Trust Company serves as registrar and transfer agent for our Class A shares. We will pay all fees charged by the transfer agent for transfers of our shares except the following fees that will be paid by shareholders: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surety bond premiums to replace lost or stolen certificates, taxes and other governmental charges;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special charges for services requested by a holder of a share;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similar fees or charges. </w:t>
      </w:r>
    </w:p>
    <w:p>
      <w:pPr>
        <w:pStyle w:val="TextBody"/>
        <w:rPr/>
      </w:pPr>
      <w:r>
        <w:rPr/>
        <w:t>        </w:t>
      </w:r>
      <w:r>
        <w:rPr>
          <w:rFonts w:ascii="times" w:hAnsi="times"/>
          <w:sz w:val="20"/>
        </w:rPr>
        <w:t xml:space="preserve">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 </w:t>
      </w:r>
    </w:p>
    <w:p>
      <w:pPr>
        <w:pStyle w:val="TextBody"/>
        <w:numPr>
          <w:ilvl w:val="0"/>
          <w:numId w:val="0"/>
        </w:numPr>
        <w:ind w:left="707" w:hanging="0"/>
        <w:rPr>
          <w:rFonts w:ascii="times" w:hAnsi="times"/>
          <w:i/>
          <w:sz w:val="20"/>
        </w:rPr>
      </w:pPr>
      <w:r>
        <w:rPr>
          <w:rFonts w:ascii="times" w:hAnsi="times"/>
          <w:i/>
          <w:sz w:val="20"/>
        </w:rPr>
        <w:t xml:space="preserve">Resignation or Removal </w:t>
      </w:r>
    </w:p>
    <w:p>
      <w:pPr>
        <w:pStyle w:val="TextBody"/>
        <w:rPr/>
      </w:pPr>
      <w:r>
        <w:rPr/>
        <w:t>        </w:t>
      </w:r>
      <w:r>
        <w:rPr>
          <w:rFonts w:ascii="times" w:hAnsi="times"/>
          <w:sz w:val="20"/>
        </w:rPr>
        <w:t xml:space="preserve">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 </w:t>
      </w:r>
    </w:p>
    <w:p>
      <w:pPr>
        <w:pStyle w:val="TextBody"/>
        <w:jc w:val="center"/>
        <w:rPr>
          <w:rFonts w:ascii="times" w:hAnsi="times"/>
          <w:sz w:val="20"/>
        </w:rPr>
      </w:pPr>
      <w:r>
        <w:rPr>
          <w:rFonts w:ascii="times" w:hAnsi="times"/>
          <w:sz w:val="20"/>
        </w:rPr>
        <w:t>21</w:t>
      </w:r>
    </w:p>
    <w:p>
      <w:pPr>
        <w:pStyle w:val="HorizontalLine"/>
        <w:pBdr>
          <w:bottom w:val="single" w:sz="20" w:space="0" w:color="808080"/>
        </w:pBdr>
        <w:rPr/>
      </w:pPr>
      <w:r>
        <w:rPr/>
      </w:r>
      <w:r>
        <w:br w:type="page"/>
      </w:r>
    </w:p>
    <w:p>
      <w:pPr>
        <w:pStyle w:val="TextBody"/>
        <w:rPr/>
      </w:pPr>
      <w:hyperlink w:anchor="bg44101a_main_toc">
        <w:bookmarkStart w:id="54" w:name="page_ck44101_1_22"/>
        <w:bookmarkEnd w:id="54"/>
        <w:r>
          <w:rPr>
            <w:rStyle w:val="InternetLink"/>
            <w:rFonts w:ascii="times" w:hAnsi="times"/>
            <w:sz w:val="20"/>
          </w:rPr>
          <w:t>Table of Contents</w:t>
        </w:r>
      </w:hyperlink>
    </w:p>
    <w:p>
      <w:pPr>
        <w:pStyle w:val="TextBody"/>
        <w:jc w:val="center"/>
        <w:rPr>
          <w:rFonts w:ascii="times" w:hAnsi="times"/>
        </w:rPr>
      </w:pPr>
      <w:bookmarkStart w:id="55" w:name="toc_ck44101_2"/>
      <w:bookmarkStart w:id="56" w:name="ck44101_material_u.s._federal_income_tax"/>
      <w:bookmarkEnd w:id="55"/>
      <w:bookmarkEnd w:id="56"/>
      <w:r>
        <w:rPr>
          <w:rFonts w:ascii="times" w:hAnsi="times"/>
          <w:sz w:val="20"/>
        </w:rPr>
        <w:br/>
      </w:r>
      <w:r>
        <w:rPr>
          <w:rFonts w:ascii="times" w:hAnsi="times"/>
          <w:b/>
          <w:sz w:val="20"/>
        </w:rPr>
        <w:t xml:space="preserve">MATERIAL U.S. FEDERAL INCOME TAX CONSEQUENCES </w:t>
      </w:r>
    </w:p>
    <w:p>
      <w:pPr>
        <w:pStyle w:val="TextBody"/>
        <w:rPr/>
      </w:pPr>
      <w:r>
        <w:rPr/>
        <w:t>        </w:t>
      </w:r>
      <w:r>
        <w:rPr>
          <w:rFonts w:ascii="times" w:hAnsi="times"/>
          <w:sz w:val="20"/>
        </w:rPr>
        <w:t xml:space="preserve">The following is a summary of the material U.S. federal income tax consequences,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will agree with such statements and conclusions. </w:t>
      </w:r>
    </w:p>
    <w:p>
      <w:pPr>
        <w:pStyle w:val="TextBody"/>
        <w:rPr/>
      </w:pPr>
      <w:r>
        <w:rPr/>
        <w:t>        </w:t>
      </w:r>
      <w:r>
        <w:rPr>
          <w:rFonts w:ascii="times" w:hAnsi="times"/>
          <w:sz w:val="20"/>
        </w:rPr>
        <w:t>Legal conclusions contained in this section, unless otherwise noted, are the opinion of Vinson &amp; Elkins L.L.P. 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such as (without limitation):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banks, insurance companies or other financial institutions;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tax-exempt or governmental organizations;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dealers in securities or foreign currencies;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traders in securities that use the mark-to-market method of accounting for U.S. federal income tax purposes;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"controlled foreign corporations," "passive foreign investment companies" and corporations that accumulate earnings to avoid U.S. federal income tax;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subject to the alternative minimum tax;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partnerships or other pass-through entities for U.S. federal income tax purposes or holders of interests therein;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or are deemed to sell our Class A shares under the constructive sale provisions of the Code;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acquired our Class A shares through the exercise of employee stock options or otherwise as compensation or through a tax-qualified retirement plan;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former citizens or long-term residents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real estate investment trusts or regulated investment companies;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our Class A shares as part of a straddle, appreciated financial position, synthetic security, hedge, conversion transaction or other integrated investment or risk reduction transaction;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in excess of 5% of our Class A shares. </w:t>
      </w:r>
    </w:p>
    <w:p>
      <w:pPr>
        <w:pStyle w:val="TextBody"/>
        <w:rPr/>
      </w:pPr>
      <w:r>
        <w:rPr/>
        <w:t>        </w:t>
      </w:r>
      <w:r>
        <w:rPr>
          <w:rFonts w:ascii="times" w:hAnsi="times"/>
          <w:sz w:val="20"/>
        </w:rPr>
        <w:t xml:space="preserve">If a partnership (or an entity treated as a partnership for U.S. federal income tax purposes) holds our Class A shares, the tax treatment of a partner in the partnership generally will depend upon the status of the partner and upon the activities of the partnership. Accordingly, we urge partners of a partnership (including an entity treated as a partnership for U.S. federal income tax purposes) investing in our Class A shares to consult their tax advisors regarding the U.S. federal income tax considerations of the purchase, ownership and disposition of our Class A shares by such partnership. </w:t>
      </w:r>
    </w:p>
    <w:p>
      <w:pPr>
        <w:pStyle w:val="TextBody"/>
        <w:jc w:val="center"/>
        <w:rPr>
          <w:rFonts w:ascii="times" w:hAnsi="times"/>
          <w:sz w:val="20"/>
        </w:rPr>
      </w:pPr>
      <w:r>
        <w:rPr>
          <w:rFonts w:ascii="times" w:hAnsi="times"/>
          <w:sz w:val="20"/>
        </w:rPr>
        <w:t>22</w:t>
      </w:r>
    </w:p>
    <w:p>
      <w:pPr>
        <w:pStyle w:val="HorizontalLine"/>
        <w:pBdr>
          <w:bottom w:val="single" w:sz="20" w:space="0" w:color="808080"/>
        </w:pBdr>
        <w:rPr/>
      </w:pPr>
      <w:r>
        <w:rPr/>
      </w:r>
      <w:r>
        <w:br w:type="page"/>
      </w:r>
    </w:p>
    <w:p>
      <w:pPr>
        <w:pStyle w:val="TextBody"/>
        <w:rPr/>
      </w:pPr>
      <w:hyperlink w:anchor="bg44101a_main_toc">
        <w:bookmarkStart w:id="57" w:name="page_ck44101_1_23"/>
        <w:bookmarkEnd w:id="57"/>
        <w:r>
          <w:rPr>
            <w:rStyle w:val="InternetLink"/>
            <w:rFonts w:ascii="times" w:hAnsi="times"/>
            <w:sz w:val="20"/>
          </w:rPr>
          <w:t>Table of Contents</w:t>
        </w:r>
      </w:hyperlink>
    </w:p>
    <w:p>
      <w:pPr>
        <w:pStyle w:val="TextBody"/>
        <w:rPr/>
      </w:pPr>
      <w:r>
        <w:rPr/>
        <w:t>        </w:t>
      </w:r>
      <w:r>
        <w:rPr>
          <w:rFonts w:ascii="times" w:hAnsi="times"/>
          <w:b/>
          <w:sz w:val="20"/>
        </w:rPr>
        <w:t>YOU ARE ENCOURAGED TO CONSULT YOUR TAX ADVISOR WITH RESPECT TO THE APPLICATION OF THE U.S. FEDERAL INCOME AND ESTATE TAX LAWS TO YOUR PARTICULAR SITUATION, AS WELL AS ANY TAX CONSEQUENCES OF THE PURCHASE, OWNERSHIP AND DISPOSITION OF OUR CLASS A SHARES ARISING UNDER THE U.S. FEDERAL GIFT TAX LAWS OR UNDER THE LAWS OF ANY STATE, LOCAL, NON-U.S. OR OTHER TAXING JURISDICTION OR UNDER ANY APPLICABLE TAX TREATY.</w:t>
      </w:r>
    </w:p>
    <w:p>
      <w:pPr>
        <w:pStyle w:val="TextBody"/>
        <w:rPr>
          <w:rFonts w:ascii="times" w:hAnsi="times"/>
          <w:b/>
          <w:sz w:val="20"/>
        </w:rPr>
      </w:pPr>
      <w:r>
        <w:rPr>
          <w:rFonts w:ascii="times" w:hAnsi="times"/>
          <w:b/>
          <w:sz w:val="20"/>
        </w:rPr>
        <w:t xml:space="preserve">Corporate Status </w:t>
      </w:r>
    </w:p>
    <w:p>
      <w:pPr>
        <w:pStyle w:val="TextBody"/>
        <w:rPr/>
      </w:pPr>
      <w:r>
        <w:rPr/>
        <w:t>        </w:t>
      </w:r>
      <w:r>
        <w:rPr>
          <w:rFonts w:ascii="times" w:hAnsi="times"/>
          <w:sz w:val="20"/>
        </w:rPr>
        <w:t xml:space="preserve">Although we are a Delaware limited partnership, we have elected to be treated as a corporation for U.S. federal income tax purposes. As a result, we are subject to tax as a corporation and distributions on the Class A shares will be treated as distributions on corporate stock for federal income tax purposes. No Schedule K-1 will be issued with respect to the Class A shares, but instead holders of Class A shares will receive a Form 1099 from us with respect to distributions received on the Class A shares. </w:t>
      </w:r>
    </w:p>
    <w:p>
      <w:pPr>
        <w:pStyle w:val="TextBody"/>
        <w:rPr>
          <w:rFonts w:ascii="times" w:hAnsi="times"/>
          <w:b/>
          <w:sz w:val="20"/>
        </w:rPr>
      </w:pPr>
      <w:r>
        <w:rPr>
          <w:rFonts w:ascii="times" w:hAnsi="times"/>
          <w:b/>
          <w:sz w:val="20"/>
        </w:rPr>
        <w:t xml:space="preserve">Consequences to U.S. Holders </w:t>
      </w:r>
    </w:p>
    <w:p>
      <w:pPr>
        <w:pStyle w:val="TextBody"/>
        <w:rPr/>
      </w:pPr>
      <w:r>
        <w:rPr/>
        <w:t>        </w:t>
      </w:r>
      <w:r>
        <w:rPr>
          <w:rFonts w:ascii="times" w:hAnsi="times"/>
          <w:sz w:val="20"/>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individual citizen or resident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corporation, or other entity taxable as a corporation for U.S. federal income tax purposes, that was created or organized in or under the laws of the United States, any state thereof or the District of Columbia;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estate whose income is subject to U.S. federal income tax regardless of its source;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trust if (i) a U.S. court can exercise primary supervision over the trust's administration and one or more United States persons are authorized to control all substantial decisions of the trust or (ii) certain circumstances apply and the trust has validly elected to be treated as a United States person. </w:t>
      </w:r>
    </w:p>
    <w:p>
      <w:pPr>
        <w:pStyle w:val="TextBody"/>
        <w:numPr>
          <w:ilvl w:val="0"/>
          <w:numId w:val="0"/>
        </w:numPr>
        <w:ind w:left="707" w:hanging="0"/>
        <w:rPr>
          <w:rFonts w:ascii="times" w:hAnsi="times"/>
          <w:i/>
          <w:sz w:val="20"/>
        </w:rPr>
      </w:pPr>
      <w:r>
        <w:rPr>
          <w:rFonts w:ascii="times" w:hAnsi="times"/>
          <w:i/>
          <w:sz w:val="20"/>
        </w:rPr>
        <w:t xml:space="preserve">Distributions </w:t>
      </w:r>
    </w:p>
    <w:p>
      <w:pPr>
        <w:pStyle w:val="TextBody"/>
        <w:rPr/>
      </w:pPr>
      <w:r>
        <w:rPr/>
        <w:t>        </w:t>
      </w:r>
      <w:r>
        <w:rPr>
          <w:rFonts w:ascii="times" w:hAnsi="times"/>
          <w:sz w:val="20"/>
        </w:rPr>
        <w:t xml:space="preserve">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Such gain will be long-term capital gain provided that the U.S. holder has held such Class A shares for more than one year as of the time of the distribution. Non-corporate holders that receive distributions on our Class A shares that are treated as dividends for U.S. federal income tax purposes generally will be subject to U.S. federal income tax at a maximum tax rate of 20% on such dividends provided certain holding period requirements are met. </w:t>
      </w:r>
    </w:p>
    <w:p>
      <w:pPr>
        <w:pStyle w:val="TextBody"/>
        <w:rPr/>
      </w:pPr>
      <w:r>
        <w:rPr/>
        <w:t>        </w:t>
      </w:r>
      <w:r>
        <w:rPr>
          <w:rFonts w:ascii="times" w:hAnsi="times"/>
          <w:sz w:val="20"/>
        </w:rPr>
        <w:t xml:space="preserve">Both AAP and PAA have made elections permitted by Section 754 of the Code. As a result, our acquisition of AAP units in connection with our IPO and in connection with exchanges by the Legacy Owners and their permitted transferees of their AAP units and Class B shares for Class A shares since the IPO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w:t>
      </w:r>
    </w:p>
    <w:p>
      <w:pPr>
        <w:pStyle w:val="TextBody"/>
        <w:jc w:val="center"/>
        <w:rPr>
          <w:rFonts w:ascii="times" w:hAnsi="times"/>
          <w:sz w:val="20"/>
        </w:rPr>
      </w:pPr>
      <w:r>
        <w:rPr>
          <w:rFonts w:ascii="times" w:hAnsi="times"/>
          <w:sz w:val="20"/>
        </w:rPr>
        <w:t>23</w:t>
      </w:r>
    </w:p>
    <w:p>
      <w:pPr>
        <w:pStyle w:val="HorizontalLine"/>
        <w:pBdr>
          <w:bottom w:val="single" w:sz="20" w:space="0" w:color="808080"/>
        </w:pBdr>
        <w:rPr/>
      </w:pPr>
      <w:r>
        <w:rPr/>
      </w:r>
      <w:r>
        <w:br w:type="page"/>
      </w:r>
    </w:p>
    <w:p>
      <w:pPr>
        <w:pStyle w:val="TextBody"/>
        <w:rPr/>
      </w:pPr>
      <w:hyperlink w:anchor="bg44101a_main_toc">
        <w:bookmarkStart w:id="58" w:name="page_ck44101_1_24"/>
        <w:bookmarkEnd w:id="5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addition, future exchanges of AAP units and Class B shares in us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 </w:t>
      </w:r>
    </w:p>
    <w:p>
      <w:pPr>
        <w:pStyle w:val="TextBody"/>
        <w:rPr/>
      </w:pPr>
      <w:r>
        <w:rPr/>
        <w:t>        </w:t>
      </w:r>
      <w:r>
        <w:rPr>
          <w:rFonts w:ascii="times" w:hAnsi="times"/>
          <w:sz w:val="20"/>
        </w:rPr>
        <w:t xml:space="preserve">We do not expect to have any earnings and profits for an extended period of time, which we estimate will include, at a minimum, each of the periods ending December 31, 2014, 2015, 2016 and 2017,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 </w:t>
      </w:r>
    </w:p>
    <w:p>
      <w:pPr>
        <w:pStyle w:val="TextBody"/>
        <w:rPr/>
      </w:pPr>
      <w:r>
        <w:rPr/>
        <w:t>        </w:t>
      </w:r>
      <w:r>
        <w:rPr>
          <w:rFonts w:ascii="times" w:hAnsi="times"/>
          <w:sz w:val="20"/>
        </w:rPr>
        <w:t xml:space="preserve">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 </w:t>
      </w:r>
    </w:p>
    <w:p>
      <w:pPr>
        <w:pStyle w:val="TextBody"/>
        <w:numPr>
          <w:ilvl w:val="0"/>
          <w:numId w:val="0"/>
        </w:numPr>
        <w:ind w:left="707" w:hanging="0"/>
        <w:rPr>
          <w:rFonts w:ascii="times" w:hAnsi="times"/>
          <w:i/>
          <w:sz w:val="20"/>
        </w:rPr>
      </w:pPr>
      <w:r>
        <w:rPr>
          <w:rFonts w:ascii="times" w:hAnsi="times"/>
          <w:i/>
          <w:sz w:val="20"/>
        </w:rPr>
        <w:t xml:space="preserve">Gain on Disposition of Class A Shares </w:t>
      </w:r>
    </w:p>
    <w:p>
      <w:pPr>
        <w:pStyle w:val="TextBody"/>
        <w:rPr/>
      </w:pPr>
      <w:r>
        <w:rPr/>
        <w:t>        </w:t>
      </w:r>
      <w:r>
        <w:rPr>
          <w:rFonts w:ascii="times" w:hAnsi="times"/>
          <w:sz w:val="20"/>
        </w:rPr>
        <w:t xml:space="preserve">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 </w:t>
      </w:r>
    </w:p>
    <w:p>
      <w:pPr>
        <w:pStyle w:val="TextBody"/>
        <w:numPr>
          <w:ilvl w:val="0"/>
          <w:numId w:val="0"/>
        </w:numPr>
        <w:ind w:left="707" w:hanging="0"/>
        <w:rPr>
          <w:rFonts w:ascii="times" w:hAnsi="times"/>
          <w:i/>
          <w:sz w:val="20"/>
        </w:rPr>
      </w:pPr>
      <w:r>
        <w:rPr>
          <w:rFonts w:ascii="times" w:hAnsi="times"/>
          <w:i/>
          <w:sz w:val="20"/>
        </w:rPr>
        <w:t xml:space="preserve">Backup Withholding and Information Reporting </w:t>
      </w:r>
    </w:p>
    <w:p>
      <w:pPr>
        <w:pStyle w:val="TextBody"/>
        <w:rPr/>
      </w:pPr>
      <w:r>
        <w:rPr/>
        <w:t>        </w:t>
      </w:r>
      <w:r>
        <w:rPr>
          <w:rFonts w:ascii="times" w:hAnsi="times"/>
          <w:sz w:val="20"/>
        </w:rPr>
        <w:t xml:space="preserve">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 </w:t>
      </w:r>
    </w:p>
    <w:p>
      <w:pPr>
        <w:pStyle w:val="TextBody"/>
        <w:rPr/>
      </w:pPr>
      <w:r>
        <w:rPr/>
        <w:t>        </w:t>
      </w:r>
      <w:r>
        <w:rPr>
          <w:rFonts w:ascii="times" w:hAnsi="times"/>
          <w:sz w:val="20"/>
        </w:rPr>
        <w:t xml:space="preserve">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 </w:t>
      </w:r>
    </w:p>
    <w:p>
      <w:pPr>
        <w:pStyle w:val="TextBody"/>
        <w:numPr>
          <w:ilvl w:val="0"/>
          <w:numId w:val="0"/>
        </w:numPr>
        <w:ind w:left="707" w:hanging="0"/>
        <w:rPr>
          <w:rFonts w:ascii="times" w:hAnsi="times"/>
          <w:i/>
          <w:sz w:val="20"/>
        </w:rPr>
      </w:pPr>
      <w:r>
        <w:rPr>
          <w:rFonts w:ascii="times" w:hAnsi="times"/>
          <w:i/>
          <w:sz w:val="20"/>
        </w:rPr>
        <w:t xml:space="preserve">3.8% Tax On Unearned Income </w:t>
      </w:r>
    </w:p>
    <w:p>
      <w:pPr>
        <w:pStyle w:val="TextBody"/>
        <w:rPr/>
      </w:pPr>
      <w:r>
        <w:rPr/>
        <w:t>        </w:t>
      </w:r>
      <w:r>
        <w:rPr>
          <w:rFonts w:ascii="times" w:hAnsi="times"/>
          <w:sz w:val="20"/>
        </w:rPr>
        <w:t xml:space="preserve">Certain U.S. holders that are individuals, trusts or estates will be subject to an additional 3.8% Medicare tax on unearned income, which generally will include dividends received and gain recognized with respect to our Class A shares. For individual U.S. holders, the additional Medicare tax applies to the lesser of (i) "net investment income," or (ii) the excess of "modified adjusted gross income" over </w:t>
      </w:r>
    </w:p>
    <w:p>
      <w:pPr>
        <w:pStyle w:val="TextBody"/>
        <w:jc w:val="center"/>
        <w:rPr>
          <w:rFonts w:ascii="times" w:hAnsi="times"/>
          <w:sz w:val="20"/>
        </w:rPr>
      </w:pPr>
      <w:r>
        <w:rPr>
          <w:rFonts w:ascii="times" w:hAnsi="times"/>
          <w:sz w:val="20"/>
        </w:rPr>
        <w:t>24</w:t>
      </w:r>
    </w:p>
    <w:p>
      <w:pPr>
        <w:pStyle w:val="HorizontalLine"/>
        <w:pBdr>
          <w:bottom w:val="single" w:sz="20" w:space="0" w:color="808080"/>
        </w:pBdr>
        <w:rPr/>
      </w:pPr>
      <w:r>
        <w:rPr/>
      </w:r>
      <w:r>
        <w:br w:type="page"/>
      </w:r>
    </w:p>
    <w:p>
      <w:pPr>
        <w:pStyle w:val="TextBody"/>
        <w:rPr/>
      </w:pPr>
      <w:hyperlink w:anchor="bg44101a_main_toc">
        <w:bookmarkStart w:id="59" w:name="page_ck44101_1_25"/>
        <w:bookmarkEnd w:id="5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$200,000 ($250,000 if married and filing jointly or $125,000 if married and filing separately). "Net investment income" generally equals a U.S. holder's gross investment income reduced by the deductions that are allocable to such income. Investment income generally includes passive income such as interest, dividends, annuities, royalties, rents and capital gains. U.S. holders are urged to consult their own tax advisors regarding the application of this additional Medicare tax to their particular circumstances. </w:t>
      </w:r>
    </w:p>
    <w:p>
      <w:pPr>
        <w:pStyle w:val="TextBody"/>
        <w:rPr>
          <w:rFonts w:ascii="times" w:hAnsi="times"/>
          <w:b/>
          <w:sz w:val="20"/>
        </w:rPr>
      </w:pPr>
      <w:r>
        <w:rPr>
          <w:rFonts w:ascii="times" w:hAnsi="times"/>
          <w:b/>
          <w:sz w:val="20"/>
        </w:rPr>
        <w:t xml:space="preserve">Consequences to Non-U.S. Holders </w:t>
      </w:r>
    </w:p>
    <w:p>
      <w:pPr>
        <w:pStyle w:val="TextBody"/>
        <w:rPr/>
      </w:pPr>
      <w:r>
        <w:rPr/>
        <w:t>        </w:t>
      </w:r>
      <w:r>
        <w:rPr>
          <w:rFonts w:ascii="times" w:hAnsi="times"/>
          <w:sz w:val="20"/>
        </w:rPr>
        <w:t xml:space="preserve">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 </w:t>
      </w:r>
    </w:p>
    <w:p>
      <w:pPr>
        <w:pStyle w:val="TextBody"/>
        <w:numPr>
          <w:ilvl w:val="0"/>
          <w:numId w:val="0"/>
        </w:numPr>
        <w:ind w:left="707" w:hanging="0"/>
        <w:rPr>
          <w:rFonts w:ascii="times" w:hAnsi="times"/>
          <w:i/>
          <w:sz w:val="20"/>
        </w:rPr>
      </w:pPr>
      <w:r>
        <w:rPr>
          <w:rFonts w:ascii="times" w:hAnsi="times"/>
          <w:i/>
          <w:sz w:val="20"/>
        </w:rPr>
        <w:t xml:space="preserve">Distributions </w:t>
      </w:r>
    </w:p>
    <w:p>
      <w:pPr>
        <w:pStyle w:val="TextBody"/>
        <w:rPr/>
      </w:pPr>
      <w:r>
        <w:rPr/>
        <w:t>        </w:t>
      </w:r>
      <w:r>
        <w:rPr>
          <w:rFonts w:ascii="times" w:hAnsi="times"/>
          <w:sz w:val="20"/>
        </w:rPr>
        <w:t xml:space="preserve">Generally, a distribution treated as a dividend paid to a non-U.S. holder on our Class A shares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10%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Form W-8BEN or an IRS Form W-8BEN-E, as applicable, (or other appropriate form) certifying qualification for the reduced rate. </w:t>
      </w:r>
    </w:p>
    <w:p>
      <w:pPr>
        <w:pStyle w:val="TextBody"/>
        <w:rPr/>
      </w:pPr>
      <w:r>
        <w:rPr/>
        <w:t>        </w:t>
      </w:r>
      <w:r>
        <w:rPr>
          <w:rFonts w:ascii="times" w:hAnsi="times"/>
          <w:sz w:val="20"/>
        </w:rPr>
        <w:t xml:space="preserve">Non-U.S. holders are encouraged to consult their tax advisors regarding the withholding rules applicable to distributions on our Class A shares, the requirement for claiming treaty benefits, and any procedures required to obtain a refund of any overwithheld amounts. </w:t>
      </w:r>
    </w:p>
    <w:p>
      <w:pPr>
        <w:pStyle w:val="TextBody"/>
        <w:rPr/>
      </w:pPr>
      <w:r>
        <w:rPr/>
        <w:t>        </w:t>
      </w:r>
      <w:r>
        <w:rPr>
          <w:rFonts w:ascii="times" w:hAnsi="times"/>
          <w:sz w:val="20"/>
        </w:rPr>
        <w:t xml:space="preserve">Distributions treated as dividends that are paid to a non-U.S. holder and are effectively connected with a trade or business conducted by the non-U.S. holder in the United States (and, if required by an applicable tax treaty, are attributable to a permanent establishment maintained by the non-U.S. holder in the United States) generally will be taxed on a net income basis at the rates and in the manner generally applicable to U.S. persons (as defined under the Code). Effectively connected dividend income will not be subject to U.S. withholding tax if the non-U.S. holder satisfies certain certification requirements by providing to the withholding agent a properly executed IRS Form W-8ECI (or successor form) certifying eligibility for the exemption. If the non-U.S. holder is a corporation, that portion of the corporation's earnings and profits for the taxable year, as adjusted for certain items, that is effectively connected with its U.S. trade or business (and, if required by applicable income tax treaty, is attributable to a permanent establishment maintained by the corporate non-U.S. holder in the United States) may also be subject to a "branch profits tax" at a 30% rate or such lower rate as may be specified by an applicable tax treaty. </w:t>
      </w:r>
    </w:p>
    <w:p>
      <w:pPr>
        <w:pStyle w:val="TextBody"/>
        <w:jc w:val="center"/>
        <w:rPr>
          <w:rFonts w:ascii="times" w:hAnsi="times"/>
          <w:sz w:val="20"/>
        </w:rPr>
      </w:pPr>
      <w:r>
        <w:rPr>
          <w:rFonts w:ascii="times" w:hAnsi="times"/>
          <w:sz w:val="20"/>
        </w:rPr>
        <w:t>25</w:t>
      </w:r>
    </w:p>
    <w:p>
      <w:pPr>
        <w:pStyle w:val="HorizontalLine"/>
        <w:pBdr>
          <w:bottom w:val="single" w:sz="20" w:space="0" w:color="808080"/>
        </w:pBdr>
        <w:rPr/>
      </w:pPr>
      <w:r>
        <w:rPr/>
      </w:r>
      <w:r>
        <w:br w:type="page"/>
      </w:r>
    </w:p>
    <w:p>
      <w:pPr>
        <w:pStyle w:val="TextBody"/>
        <w:rPr/>
      </w:pPr>
      <w:hyperlink w:anchor="bg44101a_main_toc">
        <w:bookmarkStart w:id="60" w:name="page_cm44101_1_26"/>
        <w:bookmarkEnd w:id="60"/>
        <w:r>
          <w:rPr>
            <w:rStyle w:val="InternetLink"/>
            <w:rFonts w:ascii="times" w:hAnsi="times"/>
            <w:sz w:val="20"/>
          </w:rPr>
          <w:t>Table of Contents</w:t>
        </w:r>
      </w:hyperlink>
      <w:r>
        <w:rPr>
          <w:rFonts w:ascii="times" w:hAnsi="times"/>
          <w:sz w:val="20"/>
        </w:rPr>
        <w:t xml:space="preserve"> </w:t>
      </w:r>
    </w:p>
    <w:p>
      <w:pPr>
        <w:pStyle w:val="TextBody"/>
        <w:numPr>
          <w:ilvl w:val="0"/>
          <w:numId w:val="0"/>
        </w:numPr>
        <w:ind w:left="707" w:hanging="0"/>
        <w:rPr>
          <w:rFonts w:ascii="times" w:hAnsi="times"/>
          <w:i/>
          <w:sz w:val="20"/>
        </w:rPr>
      </w:pPr>
      <w:r>
        <w:rPr>
          <w:rFonts w:ascii="times" w:hAnsi="times"/>
          <w:i/>
          <w:sz w:val="20"/>
        </w:rPr>
        <w:t xml:space="preserve">Gain on Disposition of Class A Shares </w:t>
      </w:r>
    </w:p>
    <w:p>
      <w:pPr>
        <w:pStyle w:val="TextBody"/>
        <w:rPr/>
      </w:pPr>
      <w:r>
        <w:rPr/>
        <w:t>        </w:t>
      </w:r>
      <w:r>
        <w:rPr>
          <w:rFonts w:ascii="times" w:hAnsi="times"/>
          <w:sz w:val="20"/>
        </w:rPr>
        <w:t>A non-U.S. holder generally will not be subject to U.S. federal income tax on any gain realized upon the sale or other disposition of our Class A shares unless: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non-U.S. holder is an individual who is present in the United States for a period or periods aggregating 183 days or more during the calendar year in which the sale or disposition occurs and certain other conditions are met;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gain is effectively connected with a trade or business conducted by the non-U.S. holder in the United States (and, if required by an applicable tax treaty, is attributable to a permanent establishment maintained by the non-U.S. holder in the United States);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Class A shares constitute a U.S. real property interest by reason of our status as a USRPHC for U.S. federal income tax purposes. </w:t>
      </w:r>
    </w:p>
    <w:p>
      <w:pPr>
        <w:pStyle w:val="TextBody"/>
        <w:rPr/>
      </w:pPr>
      <w:r>
        <w:rPr/>
        <w:t>        </w:t>
      </w:r>
      <w:r>
        <w:rPr>
          <w:rFonts w:ascii="times" w:hAnsi="times"/>
          <w:sz w:val="20"/>
        </w:rPr>
        <w:t xml:space="preserve">A non-U.S. holder described in the first bullet point above will be subject to tax at a rate of 30% (or such lower rate as may be specified by an applicable tax treaty) on the amount of such gain (which may be offset by U.S. source capital losses). </w:t>
      </w:r>
    </w:p>
    <w:p>
      <w:pPr>
        <w:pStyle w:val="TextBody"/>
        <w:rPr/>
      </w:pPr>
      <w:r>
        <w:rPr/>
        <w:t>        </w:t>
      </w:r>
      <w:r>
        <w:rPr>
          <w:rFonts w:ascii="times" w:hAnsi="times"/>
          <w:sz w:val="20"/>
        </w:rPr>
        <w:t xml:space="preserve">A non-U.S. holder whose gain is described in the second bullet point above will be subject to U.S. federal income tax on any gain recognized on a net income basis at the same graduated rates generally applicable to U.S. persons unless an applicable tax treaty provides otherwise. Corporate non-U.S. holders may also be subject to a branch profits tax equal to 30% (or such lower rate as may be specified by an applicable tax treaty) of their effectively connected earnings and profits attributable to such gain, as adjusted for certain items. </w:t>
      </w:r>
    </w:p>
    <w:p>
      <w:pPr>
        <w:pStyle w:val="TextBody"/>
        <w:rPr/>
      </w:pPr>
      <w:r>
        <w:rPr/>
        <w:t>        </w:t>
      </w:r>
      <w:r>
        <w:rPr>
          <w:rFonts w:ascii="times" w:hAnsi="times"/>
          <w:sz w:val="20"/>
        </w:rPr>
        <w:t xml:space="preserve">Generally, a corporation is a USRPHC if the fair market value of its U.S.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are "regularly traded on an established securities market," a non-U.S. holder will be taxable on gain recognized on the disposition of our Class A shares as a result of our status as a USRPHC only if the non-U.S. holder actually or constructively owns, or owned at any time during the five-year period ending on the date of the disposition or, if shorter, the non-U.S. holder's holding period for the Class A shares, more than 5% of our Class A shares. If our Class A shares were not considered to be regularly traded on an established securities market, all non-U.S. holders would be subject to U.S. federal income tax on a disposition of our Class A shares, and a 10% withholding tax would apply to the gross proceeds from the sale of our Class A shares by such non-U.S. holder. Non-U.S. holders should consult their tax advisors with respect to the application of the foregoing rules to their ownership and disposition of our Class A shares. </w:t>
      </w:r>
    </w:p>
    <w:p>
      <w:pPr>
        <w:pStyle w:val="TextBody"/>
        <w:numPr>
          <w:ilvl w:val="0"/>
          <w:numId w:val="0"/>
        </w:numPr>
        <w:ind w:left="707" w:hanging="0"/>
        <w:rPr>
          <w:rFonts w:ascii="times" w:hAnsi="times"/>
          <w:i/>
          <w:sz w:val="20"/>
        </w:rPr>
      </w:pPr>
      <w:r>
        <w:rPr>
          <w:rFonts w:ascii="times" w:hAnsi="times"/>
          <w:i/>
          <w:sz w:val="20"/>
        </w:rPr>
        <w:t xml:space="preserve">U.S. Federal Estate Tax </w:t>
      </w:r>
    </w:p>
    <w:p>
      <w:pPr>
        <w:pStyle w:val="TextBody"/>
        <w:rPr/>
      </w:pPr>
      <w:r>
        <w:rPr/>
        <w:t>        </w:t>
      </w:r>
      <w:r>
        <w:rPr>
          <w:rFonts w:ascii="times" w:hAnsi="times"/>
          <w:sz w:val="20"/>
        </w:rPr>
        <w:t xml:space="preserve">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 </w:t>
      </w:r>
    </w:p>
    <w:p>
      <w:pPr>
        <w:pStyle w:val="TextBody"/>
        <w:numPr>
          <w:ilvl w:val="0"/>
          <w:numId w:val="0"/>
        </w:numPr>
        <w:ind w:left="707" w:hanging="0"/>
        <w:rPr>
          <w:rFonts w:ascii="times" w:hAnsi="times"/>
          <w:i/>
          <w:sz w:val="20"/>
        </w:rPr>
      </w:pPr>
      <w:r>
        <w:rPr>
          <w:rFonts w:ascii="times" w:hAnsi="times"/>
          <w:i/>
          <w:sz w:val="20"/>
        </w:rPr>
        <w:t xml:space="preserve">Backup Withholding and Information Reporting </w:t>
      </w:r>
    </w:p>
    <w:p>
      <w:pPr>
        <w:pStyle w:val="TextBody"/>
        <w:rPr/>
      </w:pPr>
      <w:r>
        <w:rPr/>
        <w:t>        </w:t>
      </w:r>
      <w:r>
        <w:rPr>
          <w:rFonts w:ascii="times" w:hAnsi="times"/>
          <w:sz w:val="20"/>
        </w:rPr>
        <w:t xml:space="preserve">Generally, we must report annually to the IRS and to each non-U.S. holder the amount of dividends paid to such holder, the name and address of the recipient, and the amount, if any, of tax withheld with respect to those dividends. These information reporting requirements apply even if </w:t>
      </w:r>
    </w:p>
    <w:p>
      <w:pPr>
        <w:pStyle w:val="TextBody"/>
        <w:jc w:val="center"/>
        <w:rPr>
          <w:rFonts w:ascii="times" w:hAnsi="times"/>
          <w:sz w:val="20"/>
        </w:rPr>
      </w:pPr>
      <w:r>
        <w:rPr>
          <w:rFonts w:ascii="times" w:hAnsi="times"/>
          <w:sz w:val="20"/>
        </w:rPr>
        <w:t>26</w:t>
      </w:r>
    </w:p>
    <w:p>
      <w:pPr>
        <w:pStyle w:val="HorizontalLine"/>
        <w:pBdr>
          <w:bottom w:val="single" w:sz="20" w:space="0" w:color="808080"/>
        </w:pBdr>
        <w:rPr/>
      </w:pPr>
      <w:r>
        <w:rPr/>
      </w:r>
      <w:r>
        <w:br w:type="page"/>
      </w:r>
    </w:p>
    <w:p>
      <w:pPr>
        <w:pStyle w:val="TextBody"/>
        <w:rPr/>
      </w:pPr>
      <w:hyperlink w:anchor="bg44101a_main_toc">
        <w:bookmarkStart w:id="61" w:name="page_cm44101_1_27"/>
        <w:bookmarkEnd w:id="6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withholding was not required. Pursuant to tax treaties or other agreements, the IRS may make such reports available to tax authorities in the recipient's country of residence. </w:t>
      </w:r>
    </w:p>
    <w:p>
      <w:pPr>
        <w:pStyle w:val="TextBody"/>
        <w:rPr/>
      </w:pPr>
      <w:r>
        <w:rPr/>
        <w:t>        </w:t>
      </w:r>
      <w:r>
        <w:rPr>
          <w:rFonts w:ascii="times" w:hAnsi="times"/>
          <w:sz w:val="20"/>
        </w:rPr>
        <w:t xml:space="preserve">Payments of dividends to a non-U.S. holder generally will not be subject to backup withholding if the non-U.S. holder establishes an exemption by properly certifying its non-U.S. status on an IRS Form W-8BEN, IRS Form W-8BEN-E or another appropriate version of IRS Form W-8, provided that the withholding agent does not have actual knowledge, or reason to know, that the beneficial owner is a U.S. person that is not an exempt recipient. </w:t>
      </w:r>
    </w:p>
    <w:p>
      <w:pPr>
        <w:pStyle w:val="TextBody"/>
        <w:rPr/>
      </w:pPr>
      <w:r>
        <w:rPr/>
        <w:t>        </w:t>
      </w:r>
      <w:r>
        <w:rPr>
          <w:rFonts w:ascii="times" w:hAnsi="times"/>
          <w:sz w:val="20"/>
        </w:rPr>
        <w:t xml:space="preserve">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another appropriate version of IRS Form W-8 and certain other conditions are met or the non-U.S. holder otherwise establishes an exemption. Information reporting and backup withholding generally will not apply to any payment of the proceeds from a sale or other disposition of our Class A shares effected outside the United States by a foreign office of a broker. However, unless such broker has documentary evidence in its records that the holder is a non-U.S. holder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 </w:t>
      </w:r>
    </w:p>
    <w:p>
      <w:pPr>
        <w:pStyle w:val="TextBody"/>
        <w:rPr/>
      </w:pPr>
      <w:r>
        <w:rPr/>
        <w:t>        </w:t>
      </w:r>
      <w:r>
        <w:rPr>
          <w:rFonts w:ascii="times" w:hAnsi="times"/>
          <w:sz w:val="20"/>
        </w:rPr>
        <w:t xml:space="preserve">Backup withholding is not an additional tax. Rather, the U.S. income tax liability (if any) of persons subject to backup withholding will be reduced by the amount of tax withheld. If withholding results in an overpayment of taxes, a refund may be obtained, provided that certain required information is timely furnished to the IRS. </w:t>
      </w:r>
    </w:p>
    <w:p>
      <w:pPr>
        <w:pStyle w:val="TextBody"/>
        <w:rPr>
          <w:rFonts w:ascii="times" w:hAnsi="times"/>
          <w:b/>
          <w:sz w:val="20"/>
        </w:rPr>
      </w:pPr>
      <w:r>
        <w:rPr>
          <w:rFonts w:ascii="times" w:hAnsi="times"/>
          <w:b/>
          <w:sz w:val="20"/>
        </w:rPr>
        <w:t xml:space="preserve">Additional Withholding Requirements </w:t>
      </w:r>
    </w:p>
    <w:p>
      <w:pPr>
        <w:pStyle w:val="TextBody"/>
        <w:rPr/>
      </w:pPr>
      <w:r>
        <w:rPr/>
        <w:t>        </w:t>
      </w:r>
      <w:r>
        <w:rPr>
          <w:rFonts w:ascii="times" w:hAnsi="times"/>
          <w:sz w:val="20"/>
        </w:rPr>
        <w:t xml:space="preserve">Sections 1471 through 1474 of the Code and the Treasury regulations and administrative guidance issued thereunder impose a 30% withholding tax on any dividends paid on our Class A shares and on the gross proceeds from a disposition of our Class A shares (if such disposition occurs after December 31, 2016),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furnishes the applicable withholding agent with a certification (generally on an IRS Form W-8BEN-E) identifying each direct and indirect substantial United States owner of the entity;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t>
      </w:r>
    </w:p>
    <w:p>
      <w:pPr>
        <w:pStyle w:val="TextBody"/>
        <w:rPr/>
      </w:pPr>
      <w:r>
        <w:rPr/>
        <w:t>        </w:t>
      </w:r>
      <w:r>
        <w:rPr>
          <w:rFonts w:ascii="times" w:hAnsi="times"/>
          <w:sz w:val="20"/>
        </w:rPr>
        <w:t xml:space="preserve">Prospective purchasers of our Class A shares are urged to consult their own tax advisors with respect to the tax consequences of these withholding provisions. </w:t>
      </w:r>
    </w:p>
    <w:p>
      <w:pPr>
        <w:pStyle w:val="TextBody"/>
        <w:rPr/>
      </w:pPr>
      <w:r>
        <w:rPr/>
        <w:t>        </w:t>
      </w:r>
      <w:r>
        <w:rPr>
          <w:rFonts w:ascii="times" w:hAnsi="times"/>
          <w:sz w:val="20"/>
        </w:rPr>
        <w:t xml:space="preserve">INVESTORS CONSIDERING THE PURCHASE OF OUR CLASS A SHARES ARE URGED TO CONSULT THEIR OWN TAX ADVISORS REGARDING THE APPLICATION OF THE U.S. FEDERAL INCOME AND ESTATE TAX LAWS TO THEIR PARTICULAR SITUATIONS AND THE APPLICABILITY AND EFFECT OF STATE, LOCAL OR FOREIGN TAX LAWS AND TREATIES. </w:t>
      </w:r>
    </w:p>
    <w:p>
      <w:pPr>
        <w:pStyle w:val="TextBody"/>
        <w:jc w:val="center"/>
        <w:rPr>
          <w:rFonts w:ascii="times" w:hAnsi="times"/>
          <w:sz w:val="20"/>
        </w:rPr>
      </w:pPr>
      <w:r>
        <w:rPr>
          <w:rFonts w:ascii="times" w:hAnsi="times"/>
          <w:sz w:val="20"/>
        </w:rPr>
        <w:t>27</w:t>
      </w:r>
    </w:p>
    <w:p>
      <w:pPr>
        <w:pStyle w:val="HorizontalLine"/>
        <w:pBdr>
          <w:bottom w:val="single" w:sz="20" w:space="0" w:color="808080"/>
        </w:pBdr>
        <w:rPr/>
      </w:pPr>
      <w:r>
        <w:rPr/>
      </w:r>
      <w:r>
        <w:br w:type="page"/>
      </w:r>
    </w:p>
    <w:p>
      <w:pPr>
        <w:pStyle w:val="TextBody"/>
        <w:rPr/>
      </w:pPr>
      <w:hyperlink w:anchor="bg44101a_main_toc">
        <w:bookmarkStart w:id="62" w:name="page_cm44101_1_28"/>
        <w:bookmarkEnd w:id="62"/>
        <w:r>
          <w:rPr>
            <w:rStyle w:val="InternetLink"/>
            <w:rFonts w:ascii="times" w:hAnsi="times"/>
            <w:sz w:val="20"/>
          </w:rPr>
          <w:t>Table of Contents</w:t>
        </w:r>
      </w:hyperlink>
    </w:p>
    <w:p>
      <w:pPr>
        <w:pStyle w:val="TextBody"/>
        <w:jc w:val="center"/>
        <w:rPr>
          <w:rFonts w:ascii="times" w:hAnsi="times"/>
        </w:rPr>
      </w:pPr>
      <w:bookmarkStart w:id="63" w:name="toc_cm44101_1"/>
      <w:bookmarkStart w:id="64" w:name="cm44101_investment_in_plains_gp_holdin__"/>
      <w:bookmarkEnd w:id="63"/>
      <w:bookmarkEnd w:id="64"/>
      <w:r>
        <w:rPr>
          <w:rFonts w:ascii="times" w:hAnsi="times"/>
          <w:sz w:val="20"/>
        </w:rPr>
        <w:br/>
      </w:r>
      <w:r>
        <w:rPr>
          <w:rFonts w:ascii="times" w:hAnsi="times"/>
          <w:b/>
          <w:sz w:val="20"/>
        </w:rPr>
        <w:t xml:space="preserve">INVESTMENT IN PLAINS GP HOLDINGS, L.P. BY EMPLOYEE BENEFIT PLANS </w:t>
      </w:r>
    </w:p>
    <w:p>
      <w:pPr>
        <w:pStyle w:val="TextBody"/>
        <w:rPr/>
      </w:pPr>
      <w:r>
        <w:rPr/>
        <w:t>        </w:t>
      </w:r>
      <w:r>
        <w:rPr>
          <w:rFonts w:ascii="times" w:hAnsi="times"/>
          <w:sz w:val="20"/>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 Among other things, consideration should be given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investment is prudent under Section 404(a)(1)(B) of ERISA and any applicable Similar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in making the investment, the plan will satisfy the diversification requirements of Section 404(a)(1)(C) of ERISA and any applicable Similar Law;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investment will result in recognition of unrelated business taxable income by the plan and, if so, the potential after-tax investment return. </w:t>
      </w:r>
    </w:p>
    <w:p>
      <w:pPr>
        <w:pStyle w:val="TextBody"/>
        <w:rPr/>
      </w:pPr>
      <w:r>
        <w:rPr/>
        <w:t>        </w:t>
      </w:r>
      <w:r>
        <w:rPr>
          <w:rFonts w:ascii="times" w:hAnsi="times"/>
          <w:sz w:val="20"/>
        </w:rPr>
        <w:t xml:space="preserve">In addition, the person with investment discretion with respect to the assets of an employee benefit plan, often called a fiduciary, should determine whether an investment in our Class A shares is authorized by the appropriate governing instrument and is a proper investment for the plan. </w:t>
      </w:r>
    </w:p>
    <w:p>
      <w:pPr>
        <w:pStyle w:val="TextBody"/>
        <w:rPr/>
      </w:pPr>
      <w:r>
        <w:rPr/>
        <w:t>        </w:t>
      </w:r>
      <w:r>
        <w:rPr>
          <w:rFonts w:ascii="times" w:hAnsi="times"/>
          <w:sz w:val="20"/>
        </w:rPr>
        <w:t xml:space="preserve">Section 406 of ERISA and Section 4975 of the Code prohibit employee benefit plans, and IRAs that are not considered part of an employee benefit plan, from engaging in specified transactions involving "plan assets" with parties that are "parties in interest" under ERISA or "disqualified persons" under the Code with respect to the plan.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 </w:t>
      </w:r>
    </w:p>
    <w:p>
      <w:pPr>
        <w:pStyle w:val="TextBody"/>
        <w:rPr/>
      </w:pPr>
      <w:r>
        <w:rPr/>
        <w:t>        </w:t>
      </w:r>
      <w:r>
        <w:rPr>
          <w:rFonts w:ascii="times" w:hAnsi="times"/>
          <w:sz w:val="20"/>
        </w:rPr>
        <w:t xml:space="preserve">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w:t>
      </w:r>
    </w:p>
    <w:p>
      <w:pPr>
        <w:pStyle w:val="TextBody"/>
        <w:rPr/>
      </w:pPr>
      <w:r>
        <w:rPr/>
        <w:t>        </w:t>
      </w:r>
      <w:r>
        <w:rPr>
          <w:rFonts w:ascii="times" w:hAnsi="times"/>
          <w:sz w:val="20"/>
        </w:rPr>
        <w:t>ERISA and the Department of Labor regulations provide guidance with respect to whether the assets of an entity in which employee benefit plans acquire equity interests would be deemed "plan assets" under some circumstances. Under these rules, an entity's assets would not be considered to be "plan assets" if,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entity is an "operating company"; i.e., it is primarily engaged in the production or sale of a product or service other than the investment of capital either directly or through a majority owned subsidiary or subsidiaries;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is no significant investment by benefit plan investors, which is defined to mean that less than 25% of the value of each class of equity interest, disregarding some interests held by our </w:t>
      </w:r>
    </w:p>
    <w:p>
      <w:pPr>
        <w:pStyle w:val="TextBody"/>
        <w:jc w:val="center"/>
        <w:rPr>
          <w:rFonts w:ascii="times" w:hAnsi="times"/>
          <w:sz w:val="20"/>
        </w:rPr>
      </w:pPr>
      <w:r>
        <w:rPr>
          <w:rFonts w:ascii="times" w:hAnsi="times"/>
          <w:sz w:val="20"/>
        </w:rPr>
        <w:t>28</w:t>
      </w:r>
    </w:p>
    <w:p>
      <w:pPr>
        <w:pStyle w:val="HorizontalLine"/>
        <w:pBdr>
          <w:bottom w:val="single" w:sz="20" w:space="0" w:color="808080"/>
        </w:pBdr>
        <w:rPr/>
      </w:pPr>
      <w:r>
        <w:rPr/>
      </w:r>
      <w:r>
        <w:br w:type="page"/>
      </w:r>
    </w:p>
    <w:p>
      <w:pPr>
        <w:pStyle w:val="TextBody"/>
        <w:rPr/>
      </w:pPr>
      <w:hyperlink w:anchor="bg44101a_main_toc">
        <w:bookmarkStart w:id="65" w:name="page_cm44101_1_29"/>
        <w:bookmarkEnd w:id="65"/>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 </w:t>
      </w:r>
    </w:p>
    <w:p>
      <w:pPr>
        <w:pStyle w:val="TextBody"/>
        <w:rPr/>
      </w:pPr>
      <w:r>
        <w:rPr/>
        <w:t>        </w:t>
      </w:r>
      <w:r>
        <w:rPr>
          <w:rFonts w:ascii="times" w:hAnsi="times"/>
          <w:sz w:val="20"/>
        </w:rPr>
        <w:t xml:space="preserve">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w:t>
      </w:r>
    </w:p>
    <w:p>
      <w:pPr>
        <w:pStyle w:val="TextBody"/>
        <w:jc w:val="center"/>
        <w:rPr>
          <w:rFonts w:ascii="times" w:hAnsi="times"/>
          <w:sz w:val="20"/>
        </w:rPr>
      </w:pPr>
      <w:r>
        <w:rPr>
          <w:rFonts w:ascii="times" w:hAnsi="times"/>
          <w:sz w:val="20"/>
        </w:rPr>
        <w:t>29</w:t>
      </w:r>
    </w:p>
    <w:p>
      <w:pPr>
        <w:pStyle w:val="HorizontalLine"/>
        <w:pBdr>
          <w:bottom w:val="single" w:sz="20" w:space="0" w:color="808080"/>
        </w:pBdr>
        <w:rPr/>
      </w:pPr>
      <w:r>
        <w:rPr/>
      </w:r>
      <w:r>
        <w:br w:type="page"/>
      </w:r>
    </w:p>
    <w:p>
      <w:pPr>
        <w:pStyle w:val="TextBody"/>
        <w:rPr/>
      </w:pPr>
      <w:hyperlink w:anchor="bg44101a_main_toc">
        <w:bookmarkStart w:id="66" w:name="page_co44101_1_30"/>
        <w:bookmarkEnd w:id="6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67" w:name="toc_co44101_1"/>
      <w:bookmarkStart w:id="68" w:name="co44101_selling_shareholders"/>
      <w:bookmarkEnd w:id="67"/>
      <w:bookmarkEnd w:id="68"/>
      <w:r>
        <w:rPr>
          <w:rFonts w:ascii="times" w:hAnsi="times"/>
          <w:sz w:val="20"/>
        </w:rPr>
        <w:br/>
      </w:r>
      <w:r>
        <w:rPr>
          <w:rFonts w:ascii="times" w:hAnsi="times"/>
          <w:b/>
          <w:sz w:val="20"/>
        </w:rPr>
        <w:t xml:space="preserve">SELLING SHAREHOLDERS </w:t>
      </w:r>
    </w:p>
    <w:p>
      <w:pPr>
        <w:pStyle w:val="TextBody"/>
        <w:rPr/>
      </w:pPr>
      <w:r>
        <w:rPr/>
        <w:t>        </w:t>
      </w:r>
      <w:r>
        <w:rPr>
          <w:rFonts w:ascii="times" w:hAnsi="times"/>
          <w:sz w:val="20"/>
        </w:rPr>
        <w:t xml:space="preserve">This prospectus covers the offering for resale from time to time, in one or more offerings, of up to 402,447,679 Class A shares by the selling shareholders. These Class A shares have been or will be issued to the selling shareholders upon exercise by the selling shareholders of the Exchange Right for an equivalent number of Class B shares, AAP units and general partner units, which were acquired by the selling shareholders in connection with our IPO in October 2013 or subsequent transfers in connection with charitable donations. Any issuance of the Class A shares to the selling shareholders in connection with exercise of the Exchange Right will be, and the initial issuance of the Class B shares (and related AAP units and general partner units) was, exempt from the registration requirements of the Securities Act of 1933, as amended (the "Securities Act"). We are registering the offering by the selling shareholders of the Class A shares described below pursuant to the provisions of the Registration Rights Agreement. </w:t>
      </w:r>
    </w:p>
    <w:p>
      <w:pPr>
        <w:pStyle w:val="TextBody"/>
        <w:rPr/>
      </w:pPr>
      <w:r>
        <w:rPr/>
        <w:t>        </w:t>
      </w:r>
      <w:r>
        <w:rPr>
          <w:rFonts w:ascii="times" w:hAnsi="times"/>
          <w:sz w:val="20"/>
        </w:rPr>
        <w:t xml:space="preserve">No offer or sale may occur unless the registration statement that includes this prospectus has been declared effective by the SEC and remains effective at the time such selling shareholder offers or sells Class A shares.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 </w:t>
      </w:r>
    </w:p>
    <w:p>
      <w:pPr>
        <w:pStyle w:val="TextBody"/>
        <w:rPr/>
      </w:pPr>
      <w:r>
        <w:rPr/>
        <w:t>        </w:t>
      </w:r>
      <w:r>
        <w:rPr>
          <w:rFonts w:ascii="times" w:hAnsi="times"/>
          <w:sz w:val="20"/>
        </w:rPr>
        <w:t xml:space="preserve">Oxy, EMG and Kayne Anderson own a significant equity position in us. Further, each of Oxy, EMG and Kayne Anderson are entitled to appoint one member of the board of directors of our general partner pursuant to our general partner's limited liability company agreement. PAA Management, L.P. is owned by certain current and former members of PAA senior management, including Greg L. Armstrong who serves as Chairman of the Board and Chief Executive Officer of our general partner. </w:t>
      </w:r>
    </w:p>
    <w:p>
      <w:pPr>
        <w:pStyle w:val="TextBody"/>
        <w:rPr/>
      </w:pPr>
      <w:r>
        <w:rPr/>
        <w:t>        </w:t>
      </w:r>
      <w:r>
        <w:rPr>
          <w:rFonts w:ascii="times" w:hAnsi="times"/>
          <w:sz w:val="20"/>
        </w:rPr>
        <w:t xml:space="preserve">The following table sets forth information relating to the selling shareholders as of November 24, 2014 based on information supplied to us by the selling shareholders on or prior to that date. We have not sought to verify such information. Information concerning the selling shareholders may change over time and selling shareholders may be added; if necessary, we will supplement this prospectus accordingly. Except as set forth below, none of the selling shareholders is a broker-dealer registered under Section 15 of the Exchange Act or an affiliate of a broker-dealer registered under Section 15 of the Exchange Act. Each of Oxy, EMG, PAA Management L.P. and Kayne Anderson may be deemed under federal securities laws to be an underwriter with respect to the Class A shares it may sell in connection with these offerings. The selling shareholders may hold or acquire at any time Class A shares in addition to those offered by this prospectus and may have acquired additional Class A shares since the date on which the information reflected herein was provided to us. In addition, the selling shareholders may have sold, transferred or otherwise disposed of some or all of their Class A shares since the date on which the information reflected herein was provided to us and may in the future sell, transfer or otherwise dispose of some or all of their Class A shares in private placement transactions exempt from or not subject to the registration requirements of the Securities Act. </w:t>
      </w:r>
    </w:p>
    <w:p>
      <w:pPr>
        <w:pStyle w:val="TextBody"/>
        <w:rPr/>
      </w:pPr>
      <w:r>
        <w:rPr/>
        <w:t>        </w:t>
      </w:r>
      <w:r>
        <w:rPr>
          <w:rFonts w:ascii="times" w:hAnsi="times"/>
          <w:sz w:val="20"/>
        </w:rPr>
        <w:t xml:space="preserve">As of November 24, 2014, there were an aggregate of 205,046,637 Class A shares and 400,983,136 Class B shares outstanding. The beneficial ownership information presented below assumes that all 400,983,136 Class B shares (and related AAP units and general partner units) have been exchanged </w:t>
      </w:r>
    </w:p>
    <w:p>
      <w:pPr>
        <w:pStyle w:val="TextBody"/>
        <w:jc w:val="center"/>
        <w:rPr>
          <w:rFonts w:ascii="times" w:hAnsi="times"/>
          <w:sz w:val="20"/>
        </w:rPr>
      </w:pPr>
      <w:r>
        <w:rPr>
          <w:rFonts w:ascii="times" w:hAnsi="times"/>
          <w:sz w:val="20"/>
        </w:rPr>
        <w:t>30</w:t>
      </w:r>
    </w:p>
    <w:p>
      <w:pPr>
        <w:pStyle w:val="HorizontalLine"/>
        <w:pBdr>
          <w:bottom w:val="single" w:sz="20" w:space="0" w:color="808080"/>
        </w:pBdr>
        <w:rPr/>
      </w:pPr>
      <w:r>
        <w:rPr/>
      </w:r>
      <w:r>
        <w:br w:type="page"/>
      </w:r>
    </w:p>
    <w:p>
      <w:pPr>
        <w:pStyle w:val="TextBody"/>
        <w:rPr/>
      </w:pPr>
      <w:hyperlink w:anchor="bg44101a_main_toc">
        <w:bookmarkStart w:id="69" w:name="page_co44101_1_31"/>
        <w:bookmarkEnd w:id="6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pursuant to the Exchange Right for an equivalent number of Class A shares and such Class A shares are held by the selling shareholders. </w:t>
      </w:r>
    </w:p>
    <w:tbl>
      <w:tblPr>
        <w:tblW w:w="5000" w:type="pct"/>
        <w:jc w:val="center"/>
        <w:tblInd w:w="0" w:type="dxa"/>
        <w:tblCellMar>
          <w:top w:w="0" w:type="dxa"/>
          <w:left w:w="0" w:type="dxa"/>
          <w:bottom w:w="0" w:type="dxa"/>
          <w:right w:w="0" w:type="dxa"/>
        </w:tblCellMar>
      </w:tblPr>
      <w:tblGrid>
        <w:gridCol w:w="4040"/>
        <w:gridCol w:w="159"/>
        <w:gridCol w:w="84"/>
        <w:gridCol w:w="1055"/>
        <w:gridCol w:w="159"/>
        <w:gridCol w:w="90"/>
        <w:gridCol w:w="894"/>
        <w:gridCol w:w="185"/>
        <w:gridCol w:w="84"/>
        <w:gridCol w:w="1075"/>
        <w:gridCol w:w="159"/>
        <w:gridCol w:w="84"/>
        <w:gridCol w:w="864"/>
        <w:gridCol w:w="159"/>
        <w:gridCol w:w="90"/>
        <w:gridCol w:w="857"/>
        <w:gridCol w:w="167"/>
      </w:tblGrid>
      <w:tr>
        <w:trPr/>
        <w:tc>
          <w:tcPr>
            <w:tcW w:w="404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404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Selling Shareholders </w:t>
            </w:r>
          </w:p>
        </w:tc>
        <w:tc>
          <w:tcPr>
            <w:tcW w:w="159" w:type="dxa"/>
            <w:tcBorders/>
            <w:shd w:fill="auto" w:val="clear"/>
            <w:vAlign w:val="bottom"/>
          </w:tcPr>
          <w:p>
            <w:pPr>
              <w:pStyle w:val="TableHeading"/>
              <w:suppressLineNumbers/>
              <w:spacing w:before="0" w:after="283"/>
              <w:jc w:val="center"/>
              <w:rPr/>
            </w:pPr>
            <w:r>
              <w:rPr/>
              <w:t> </w:t>
            </w:r>
          </w:p>
        </w:tc>
        <w:tc>
          <w:tcPr>
            <w:tcW w:w="11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w:t>
              <w:br/>
              <w:t>Shares</w:t>
              <w:br/>
              <w:t>Beneficially</w:t>
              <w:br/>
              <w:t>Owned</w:t>
              <w:br/>
              <w:t>Prior to the</w:t>
              <w:br/>
              <w:t xml:space="preserve">Offering </w:t>
            </w:r>
          </w:p>
        </w:tc>
        <w:tc>
          <w:tcPr>
            <w:tcW w:w="159" w:type="dxa"/>
            <w:tcBorders/>
            <w:shd w:fill="auto" w:val="clear"/>
            <w:vAlign w:val="bottom"/>
          </w:tcPr>
          <w:p>
            <w:pPr>
              <w:pStyle w:val="TableHeading"/>
              <w:suppressLineNumbers/>
              <w:spacing w:before="0" w:after="283"/>
              <w:jc w:val="center"/>
              <w:rPr/>
            </w:pPr>
            <w:r>
              <w:rPr/>
              <w:t> </w:t>
            </w:r>
          </w:p>
        </w:tc>
        <w:tc>
          <w:tcPr>
            <w:tcW w:w="9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of</w:t>
              <w:br/>
              <w:t>Class A</w:t>
              <w:br/>
              <w:t>Shares</w:t>
              <w:br/>
              <w:t>Beneficially</w:t>
              <w:br/>
              <w:t>Owned</w:t>
              <w:br/>
              <w:t>Prior to</w:t>
              <w:br/>
              <w:t xml:space="preserve">the Offering </w:t>
            </w:r>
          </w:p>
        </w:tc>
        <w:tc>
          <w:tcPr>
            <w:tcW w:w="185" w:type="dxa"/>
            <w:tcBorders/>
            <w:shd w:fill="auto" w:val="clear"/>
            <w:vAlign w:val="bottom"/>
          </w:tcPr>
          <w:p>
            <w:pPr>
              <w:pStyle w:val="TableHeading"/>
              <w:suppressLineNumbers/>
              <w:spacing w:before="0" w:after="283"/>
              <w:jc w:val="center"/>
              <w:rPr/>
            </w:pPr>
            <w:r>
              <w:rPr/>
              <w:t> </w:t>
            </w:r>
          </w:p>
        </w:tc>
        <w:tc>
          <w:tcPr>
            <w:tcW w:w="115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Shares</w:t>
              <w:br/>
              <w:t xml:space="preserve">Offered Hereby </w:t>
            </w:r>
          </w:p>
        </w:tc>
        <w:tc>
          <w:tcPr>
            <w:tcW w:w="159" w:type="dxa"/>
            <w:tcBorders/>
            <w:shd w:fill="auto" w:val="clear"/>
            <w:vAlign w:val="bottom"/>
          </w:tcPr>
          <w:p>
            <w:pPr>
              <w:pStyle w:val="TableHeading"/>
              <w:suppressLineNumbers/>
              <w:spacing w:before="0" w:after="283"/>
              <w:jc w:val="center"/>
              <w:rPr/>
            </w:pPr>
            <w:r>
              <w:rPr/>
              <w:t> </w:t>
            </w:r>
          </w:p>
        </w:tc>
        <w:tc>
          <w:tcPr>
            <w:tcW w:w="94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w:t>
              <w:br/>
              <w:t>Shares to be</w:t>
              <w:br/>
              <w:t>Beneficially</w:t>
              <w:br/>
              <w:t>Owned After</w:t>
              <w:br/>
              <w:t xml:space="preserve">Offering </w:t>
            </w:r>
          </w:p>
        </w:tc>
        <w:tc>
          <w:tcPr>
            <w:tcW w:w="159" w:type="dxa"/>
            <w:tcBorders/>
            <w:shd w:fill="auto" w:val="clear"/>
            <w:vAlign w:val="bottom"/>
          </w:tcPr>
          <w:p>
            <w:pPr>
              <w:pStyle w:val="TableHeading"/>
              <w:suppressLineNumbers/>
              <w:spacing w:before="0" w:after="283"/>
              <w:jc w:val="center"/>
              <w:rPr/>
            </w:pPr>
            <w:r>
              <w:rPr/>
              <w:t> </w:t>
            </w:r>
          </w:p>
        </w:tc>
        <w:tc>
          <w:tcPr>
            <w:tcW w:w="94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w:t>
              <w:br/>
              <w:t>of Class A</w:t>
              <w:br/>
              <w:t>Shares to be</w:t>
              <w:br/>
              <w:t>Beneficially</w:t>
              <w:br/>
              <w:t>Owned After</w:t>
              <w:br/>
              <w:t xml:space="preserve">Offering </w:t>
            </w:r>
          </w:p>
        </w:tc>
        <w:tc>
          <w:tcPr>
            <w:tcW w:w="167" w:type="dxa"/>
            <w:tcBorders/>
            <w:shd w:fill="auto" w:val="clear"/>
            <w:vAlign w:val="bottom"/>
          </w:tcPr>
          <w:p>
            <w:pPr>
              <w:pStyle w:val="TableHeading"/>
              <w:suppressLineNumbers/>
              <w:spacing w:before="0" w:after="283"/>
              <w:jc w:val="center"/>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EMG Investment, LLC(1)</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121,516,879</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20.1</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121,516,879</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KAFU Holdings, L.P.(2)</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96,407,031</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15.9</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96,407,031</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Oxy Holding Company (Pipeline), Inc.(3)</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79,830,161</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13.2</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79,830,161</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PAA Management, L.P.(4)</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21,835,922</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3.6</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21,835,922</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Windy, L.L.C.(5)</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18,180,893</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3.0</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18,180,893</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KA First Reserve XII, LLC(6)</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15,057,415</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2.5</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15,057,415</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Mark E. Strome Living Trust(7)</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12,377,714</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12,377,714</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Strome PAA, L.P.(8)</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8,109,344</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1.3</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8,109,344</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Lynx Holdings I, LLC(9)</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8,476,802</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1.4</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8,476,802</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KAFU Holdings II, L.P.(2)</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6,795,545</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1.1</w:t>
            </w:r>
          </w:p>
        </w:tc>
        <w:tc>
          <w:tcPr>
            <w:tcW w:w="185"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6,795,545</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Kayne Anderson MLP Investment Company(10)</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6,402,046</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1.1</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6,402,046</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Kayne Anderson Midstream/Energy Fund, Inc.(10)</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2,247,670</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1,836,270</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411,400</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Kayne Anderson Energy Development Company(10)</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918,003</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918,003</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Jewish Community Foundation of Los Angeles(11)</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947,060</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947,060</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Michael B. Targoff CRUT(12)</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583,691</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492,791</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90,900</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Johns Hopkins University(13)</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13,000</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13,000</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ind w:left="180" w:right="0" w:hanging="180"/>
              <w:rPr>
                <w:rFonts w:ascii="times" w:hAnsi="times"/>
                <w:sz w:val="20"/>
              </w:rPr>
            </w:pPr>
            <w:r>
              <w:rPr>
                <w:rFonts w:ascii="times" w:hAnsi="times"/>
                <w:sz w:val="20"/>
              </w:rPr>
              <w:t>Hebrew Union CollegeJewish Institute of Religion(14)</w:t>
            </w:r>
          </w:p>
        </w:tc>
        <w:tc>
          <w:tcPr>
            <w:tcW w:w="159"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11,692</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w:hAnsi="times"/>
                <w:sz w:val="20"/>
              </w:rPr>
            </w:pPr>
            <w:r>
              <w:rPr>
                <w:rFonts w:ascii="times" w:hAnsi="times"/>
                <w:sz w:val="20"/>
              </w:rPr>
              <w:t>11,692</w:t>
            </w:r>
          </w:p>
        </w:tc>
        <w:tc>
          <w:tcPr>
            <w:tcW w:w="159"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CCEEFF" w:val="clear"/>
            <w:vAlign w:val="bottom"/>
          </w:tcPr>
          <w:p>
            <w:pPr>
              <w:pStyle w:val="TableContents"/>
              <w:spacing w:before="0" w:after="283"/>
              <w:rPr/>
            </w:pPr>
            <w:r>
              <w:rPr/>
              <w:t> </w:t>
            </w:r>
          </w:p>
        </w:tc>
      </w:tr>
      <w:tr>
        <w:trPr/>
        <w:tc>
          <w:tcPr>
            <w:tcW w:w="4040" w:type="dxa"/>
            <w:tcBorders/>
            <w:shd w:fill="FFFFFF" w:val="clear"/>
          </w:tcPr>
          <w:p>
            <w:pPr>
              <w:pStyle w:val="TableContents"/>
              <w:spacing w:before="0" w:after="283"/>
              <w:ind w:left="180" w:right="0" w:hanging="180"/>
              <w:rPr>
                <w:rFonts w:ascii="times" w:hAnsi="times"/>
                <w:sz w:val="20"/>
              </w:rPr>
            </w:pPr>
            <w:r>
              <w:rPr>
                <w:rFonts w:ascii="times" w:hAnsi="times"/>
                <w:sz w:val="20"/>
              </w:rPr>
              <w:t>Other Legacy Shareholders(15)</w:t>
            </w:r>
          </w:p>
        </w:tc>
        <w:tc>
          <w:tcPr>
            <w:tcW w:w="159" w:type="dxa"/>
            <w:tcBorders/>
            <w:shd w:fill="FFFFFF" w:val="clear"/>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jc w:val="right"/>
              <w:rPr>
                <w:rFonts w:ascii="times" w:hAnsi="times"/>
                <w:sz w:val="20"/>
              </w:rPr>
            </w:pPr>
            <w:r>
              <w:rPr>
                <w:rFonts w:ascii="times" w:hAnsi="times"/>
                <w:sz w:val="20"/>
              </w:rPr>
              <w:t>3,239,111</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9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1075" w:type="dxa"/>
            <w:tcBorders/>
            <w:shd w:fill="FFFFFF" w:val="clear"/>
            <w:vAlign w:val="bottom"/>
          </w:tcPr>
          <w:p>
            <w:pPr>
              <w:pStyle w:val="TableContents"/>
              <w:spacing w:before="0" w:after="283"/>
              <w:jc w:val="right"/>
              <w:rPr>
                <w:rFonts w:ascii="times" w:hAnsi="times"/>
                <w:sz w:val="20"/>
              </w:rPr>
            </w:pPr>
            <w:r>
              <w:rPr>
                <w:rFonts w:ascii="times" w:hAnsi="times"/>
                <w:sz w:val="20"/>
              </w:rPr>
              <w:t>3,239,111</w:t>
            </w:r>
          </w:p>
        </w:tc>
        <w:tc>
          <w:tcPr>
            <w:tcW w:w="159"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86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59"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8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67" w:type="dxa"/>
            <w:tcBorders/>
            <w:shd w:fill="FFFF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Less than one percent. </w:t>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John T. Raymond and John G. Calvert, the Chief Executive Officer and Chief Operating Officer, respectively, of the manager of the selling shareholder, exercise shared voting and dispositive power over the Class A shares held by the selling shareholder. Each of Messrs. Raymond and Calvert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 </w:t>
      </w:r>
    </w:p>
    <w:p>
      <w:pPr>
        <w:pStyle w:val="ListContents"/>
        <w:spacing w:before="0" w:after="283"/>
        <w:jc w:val="left"/>
        <w:rPr>
          <w:rFonts w:ascii="times" w:hAnsi="times"/>
          <w:sz w:val="20"/>
        </w:rPr>
      </w:pPr>
      <w:r>
        <w:rPr>
          <w:rFonts w:ascii="times" w:hAnsi="times"/>
          <w:sz w:val="20"/>
        </w:rPr>
        <w:t xml:space="preserve">Kayne Anderson Capital Advisors, L.P. ("KACALP") serves as the manager of the selling shareholder. Richard A. Kayne is the controlling owner of KACALP, and Robert Sinnott is the portfolio manager of the selling shareholder. Therefore each of Messrs. Kayne and Sinnott may be 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 </w:t>
      </w:r>
    </w:p>
    <w:p>
      <w:pPr>
        <w:pStyle w:val="TextBody"/>
        <w:jc w:val="center"/>
        <w:rPr>
          <w:rFonts w:ascii="times" w:hAnsi="times"/>
          <w:sz w:val="20"/>
        </w:rPr>
      </w:pPr>
      <w:r>
        <w:rPr>
          <w:rFonts w:ascii="times" w:hAnsi="times"/>
          <w:sz w:val="20"/>
        </w:rPr>
        <w:t>31</w:t>
      </w:r>
    </w:p>
    <w:p>
      <w:pPr>
        <w:pStyle w:val="HorizontalLine"/>
        <w:pBdr>
          <w:bottom w:val="single" w:sz="20" w:space="0" w:color="808080"/>
        </w:pBdr>
        <w:rPr/>
      </w:pPr>
      <w:r>
        <w:rPr/>
      </w:r>
      <w:r>
        <w:br w:type="page"/>
      </w:r>
    </w:p>
    <w:p>
      <w:pPr>
        <w:pStyle w:val="TextBody"/>
        <w:rPr/>
      </w:pPr>
      <w:hyperlink w:anchor="bg44101a_main_toc">
        <w:bookmarkStart w:id="70" w:name="page_co44101_1_32"/>
        <w:bookmarkEnd w:id="70"/>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Oxy Holding Company (Pipeline), Inc. is an indirect wholly owned subsidiary of Occidental. The voting and disposition of any Class A shares held by Oxy Holding Company (Pipeline), Inc. is controlled by the board of directors of Occidental. The board of directors of Occidental, which acts by majority approval, consists of Spencer Abraham, Howard I. Atkins, Eugene L. Batchelder, Stephen I. Chazen, Edward P. Djerejian, John E. Feick, Margaret M. Foran, Carlos M. Gutierrez, William R. Klesse, Avedick B. Poladian and Elisse B. Walter. Each of the members of Occidental's board of directors disclaims beneficial ownership of any of our Class A shares held by Oxy Holding Company (Pipeline), Inc.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The board of directors of the general partner of the selling shareholder, which acts by majority approval, exercises voting and dispositive power over the Class A shares held by the selling shareholder, subject to approval by a majority in interest of the members of selling shareholder's general partner. The members of the board of directors are Greg L. Armstrong, Harry N. Pefanis and Phil D. Kramer; these individuals own or have voting rights with respect to over 50% of the member interest in selling shareholder's general partner. Each of the members of the board of directors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W. David Scott, the President of Tetrad Corporation, which is the sole manager of the selling shareholder, exercises sole voting and dispositive power over the Class A shares held by the selling shareholder. Mr. Scott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sz w:val="20"/>
        </w:rPr>
      </w:pPr>
      <w:r>
        <w:rPr>
          <w:rFonts w:ascii="times" w:hAnsi="times"/>
          <w:sz w:val="20"/>
        </w:rPr>
        <w:t xml:space="preserve">Representatives of the selling shareholder have advised us that the selling shareholder is an affiliate of a U.S. registered broker-dealer; however, the selling shareholder acquired the common units in the ordinary course of business and, at the time of the acquisition, had no agreements or understandings, directly or indirectly, with any party to distribute the common units held by the selling shareholder. </w:t>
      </w:r>
    </w:p>
    <w:p>
      <w:pPr>
        <w:pStyle w:val="ListContents"/>
        <w:spacing w:before="0" w:after="283"/>
        <w:jc w:val="left"/>
        <w:rPr>
          <w:rFonts w:ascii="times" w:hAnsi="times"/>
          <w:sz w:val="20"/>
        </w:rPr>
      </w:pPr>
      <w:r>
        <w:rPr>
          <w:rFonts w:ascii="times" w:hAnsi="times"/>
          <w:sz w:val="20"/>
        </w:rPr>
        <w:t xml:space="preserve">The board of managers of the selling shareholder, which acts by majority approval, exercises voting and dispositive power over the Class A shares held by the selling shareholder. The members of the board of managers are Kevin McCarthy, James Baker, Timothy Day, Kenneth Moore, Gary Reaves II and Michael France. Each of the members of the board of managers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(7)</w:t>
      </w:r>
    </w:p>
    <w:p>
      <w:pPr>
        <w:pStyle w:val="ListContents"/>
        <w:spacing w:before="0" w:after="283"/>
        <w:jc w:val="left"/>
        <w:rPr>
          <w:rFonts w:ascii="times" w:hAnsi="times"/>
          <w:sz w:val="20"/>
        </w:rPr>
      </w:pPr>
      <w:r>
        <w:rPr>
          <w:rFonts w:ascii="times" w:hAnsi="times"/>
          <w:sz w:val="20"/>
        </w:rPr>
        <w:t xml:space="preserve">Mark E. Strome, the trustee of the selling shareholder, exercises sole voting and dispositive power over the Class A shares held by the selling shareholder. Mr. Strome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(8)</w:t>
      </w:r>
    </w:p>
    <w:p>
      <w:pPr>
        <w:pStyle w:val="ListContents"/>
        <w:spacing w:before="0" w:after="283"/>
        <w:jc w:val="left"/>
        <w:rPr>
          <w:rFonts w:ascii="times" w:hAnsi="times"/>
          <w:sz w:val="20"/>
        </w:rPr>
      </w:pPr>
      <w:r>
        <w:rPr>
          <w:rFonts w:ascii="times" w:hAnsi="times"/>
          <w:sz w:val="20"/>
        </w:rPr>
        <w:t xml:space="preserve">Mark E. Strome, the President and CEO of Strome Investment Management, LP, the selling shareholder's general partner, exercises sole voting and dispositive power over the Class A shares held by the selling shareholder. Mr. Strome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(9)</w:t>
      </w:r>
    </w:p>
    <w:p>
      <w:pPr>
        <w:pStyle w:val="ListContents"/>
        <w:spacing w:before="0" w:after="283"/>
        <w:jc w:val="left"/>
        <w:rPr>
          <w:rFonts w:ascii="times" w:hAnsi="times"/>
          <w:sz w:val="20"/>
        </w:rPr>
      </w:pPr>
      <w:r>
        <w:rPr>
          <w:rFonts w:ascii="times" w:hAnsi="times"/>
          <w:sz w:val="20"/>
        </w:rPr>
        <w:t xml:space="preserve">John T. Raymond, the sole member of the selling shareholder, exercises sole voting and dispositive power over the Class A shares held by the selling shareholder. </w:t>
      </w:r>
    </w:p>
    <w:p>
      <w:pPr>
        <w:pStyle w:val="ListHeading"/>
        <w:spacing w:before="0" w:after="0"/>
        <w:jc w:val="left"/>
        <w:rPr>
          <w:rFonts w:ascii="times" w:hAnsi="times"/>
          <w:sz w:val="20"/>
        </w:rPr>
      </w:pPr>
      <w:r>
        <w:rPr>
          <w:rFonts w:ascii="times" w:hAnsi="times"/>
          <w:sz w:val="20"/>
        </w:rPr>
        <w:t>(10)</w:t>
      </w:r>
    </w:p>
    <w:p>
      <w:pPr>
        <w:pStyle w:val="ListContents"/>
        <w:spacing w:before="0" w:after="283"/>
        <w:jc w:val="left"/>
        <w:rPr>
          <w:rFonts w:ascii="times" w:hAnsi="times"/>
          <w:sz w:val="20"/>
        </w:rPr>
      </w:pPr>
      <w:r>
        <w:rPr>
          <w:rFonts w:ascii="times" w:hAnsi="times"/>
          <w:sz w:val="20"/>
        </w:rPr>
        <w:t xml:space="preserve">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 </w:t>
      </w:r>
    </w:p>
    <w:p>
      <w:pPr>
        <w:pStyle w:val="TextBody"/>
        <w:jc w:val="center"/>
        <w:rPr>
          <w:rFonts w:ascii="times" w:hAnsi="times"/>
          <w:sz w:val="20"/>
        </w:rPr>
      </w:pPr>
      <w:r>
        <w:rPr>
          <w:rFonts w:ascii="times" w:hAnsi="times"/>
          <w:sz w:val="20"/>
        </w:rPr>
        <w:t>32</w:t>
      </w:r>
    </w:p>
    <w:p>
      <w:pPr>
        <w:pStyle w:val="HorizontalLine"/>
        <w:pBdr>
          <w:bottom w:val="single" w:sz="20" w:space="0" w:color="808080"/>
        </w:pBdr>
        <w:rPr/>
      </w:pPr>
      <w:r>
        <w:rPr/>
      </w:r>
      <w:r>
        <w:br w:type="page"/>
      </w:r>
    </w:p>
    <w:p>
      <w:pPr>
        <w:pStyle w:val="TextBody"/>
        <w:rPr/>
      </w:pPr>
      <w:hyperlink w:anchor="bg44101a_main_toc">
        <w:bookmarkStart w:id="71" w:name="page_co44101_1_33"/>
        <w:bookmarkEnd w:id="71"/>
        <w:r>
          <w:rPr>
            <w:rStyle w:val="InternetLink"/>
            <w:rFonts w:ascii="times" w:hAnsi="times"/>
            <w:sz w:val="20"/>
          </w:rPr>
          <w:t>Table of Contents</w:t>
        </w:r>
      </w:hyperlink>
    </w:p>
    <w:p>
      <w:pPr>
        <w:pStyle w:val="TextBody"/>
        <w:numPr>
          <w:ilvl w:val="0"/>
          <w:numId w:val="0"/>
        </w:numPr>
        <w:ind w:left="707" w:hanging="0"/>
        <w:jc w:val="left"/>
        <w:rPr>
          <w:rFonts w:ascii="times" w:hAnsi="times"/>
          <w:sz w:val="20"/>
        </w:rPr>
      </w:pPr>
      <w:r>
        <w:rPr>
          <w:rFonts w:ascii="times" w:hAnsi="times"/>
          <w:sz w:val="20"/>
        </w:rPr>
        <w:t xml:space="preserve">KA Fund Advisors, LLC ("KAFA") serves as the manager of the selling shareholder. KACALP is the sole managing member of KAFA. Richard A. Kayne is the controlling owner of KACALP; and Kevin McCarthy is the chairman and chief executive officer of the selling shareholder and John C. Frey is an executive vice president and co-portfolio manager of the selling shareholder. Therefore, each of Messrs. Kayne, McCarthy and Frey may be deemed to exercise shared voting and dispositive power over the Class A shares held by the selling shareholder. Each of Messrs. Kayne, McCarthy and Frey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(11)</w:t>
      </w:r>
    </w:p>
    <w:p>
      <w:pPr>
        <w:pStyle w:val="ListContents"/>
        <w:spacing w:before="0" w:after="283"/>
        <w:jc w:val="left"/>
        <w:rPr>
          <w:rFonts w:ascii="times" w:hAnsi="times"/>
          <w:sz w:val="20"/>
        </w:rPr>
      </w:pPr>
      <w:r>
        <w:rPr>
          <w:rFonts w:ascii="times" w:hAnsi="times"/>
          <w:sz w:val="20"/>
        </w:rPr>
        <w:t xml:space="preserve">Each of Michael J. Januzik, Chief Financial Officer, Marvin I. Schotland, Chief Executive Officer, Lawrence Rauch, Chairman of the Board, Anthony Chanin, Vice President, William R. Feiler, Vice President, Abby Feinman, Vice President, Harold J. Masor, Vice President, Evan Schlessinger, Vice President, Michael Smooke, Vice President, Adlai Wertman, Vice President, Scott Richland, Treasurer, and Selwyn Gerber, Secretary,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 </w:t>
      </w:r>
    </w:p>
    <w:p>
      <w:pPr>
        <w:pStyle w:val="ListHeading"/>
        <w:spacing w:before="0" w:after="0"/>
        <w:jc w:val="left"/>
        <w:rPr>
          <w:rFonts w:ascii="times" w:hAnsi="times"/>
          <w:sz w:val="20"/>
        </w:rPr>
      </w:pPr>
      <w:r>
        <w:rPr>
          <w:rFonts w:ascii="times" w:hAnsi="times"/>
          <w:sz w:val="20"/>
        </w:rPr>
        <w:t>(12)</w:t>
      </w:r>
    </w:p>
    <w:p>
      <w:pPr>
        <w:pStyle w:val="ListContents"/>
        <w:spacing w:before="0" w:after="283"/>
        <w:jc w:val="left"/>
        <w:rPr>
          <w:rFonts w:ascii="times" w:hAnsi="times"/>
          <w:sz w:val="20"/>
        </w:rPr>
      </w:pPr>
      <w:r>
        <w:rPr>
          <w:rFonts w:ascii="times" w:hAnsi="times"/>
          <w:sz w:val="20"/>
        </w:rPr>
        <w:t xml:space="preserve">Michael Targoff, the trustee of the selling shareholder, exercises sole voting and dispositive power over the Class A shares held by the selling shareholder. Mr. Targoff disclaims beneficial ownership of any of our Class A shares held by the selling shareholder except to the extent of his pecuniary interest therein. </w:t>
      </w:r>
    </w:p>
    <w:p>
      <w:pPr>
        <w:pStyle w:val="ListHeading"/>
        <w:spacing w:before="0" w:after="0"/>
        <w:jc w:val="left"/>
        <w:rPr>
          <w:rFonts w:ascii="times" w:hAnsi="times"/>
          <w:sz w:val="20"/>
        </w:rPr>
      </w:pPr>
      <w:r>
        <w:rPr>
          <w:rFonts w:ascii="times" w:hAnsi="times"/>
          <w:sz w:val="20"/>
        </w:rPr>
        <w:t>(13)</w:t>
      </w:r>
    </w:p>
    <w:p>
      <w:pPr>
        <w:pStyle w:val="ListContents"/>
        <w:spacing w:before="0" w:after="283"/>
        <w:jc w:val="left"/>
        <w:rPr>
          <w:rFonts w:ascii="times" w:hAnsi="times"/>
          <w:sz w:val="20"/>
        </w:rPr>
      </w:pPr>
      <w:r>
        <w:rPr>
          <w:rFonts w:ascii="times" w:hAnsi="times"/>
          <w:sz w:val="20"/>
        </w:rPr>
        <w:t xml:space="preserve">Each of Daniel G. Ennis, Senior Vice President for Finance and Administration and Treasurer, Ronald J. Daniels, President, Robert C. Lieberman, Provost and Senior Vice President for Academic Affairs and Kathryn J. Crecelius, Chief Investment Officer, of the selling shareholder, exercises sole voting and dispositive power over the Class A shares held by the selling shareholder. Each of the foregoing individuals disclaims beneficial ownership of any of the Class A shares held by the selling shareholder, except to the extent of his or her pecuniary interest therein. </w:t>
      </w:r>
    </w:p>
    <w:p>
      <w:pPr>
        <w:pStyle w:val="ListHeading"/>
        <w:spacing w:before="0" w:after="0"/>
        <w:jc w:val="left"/>
        <w:rPr>
          <w:rFonts w:ascii="times" w:hAnsi="times"/>
          <w:sz w:val="20"/>
        </w:rPr>
      </w:pPr>
      <w:r>
        <w:rPr>
          <w:rFonts w:ascii="times" w:hAnsi="times"/>
          <w:sz w:val="20"/>
        </w:rPr>
        <w:t>(14)</w:t>
      </w:r>
    </w:p>
    <w:p>
      <w:pPr>
        <w:pStyle w:val="ListContents"/>
        <w:spacing w:before="0" w:after="283"/>
        <w:jc w:val="left"/>
        <w:rPr>
          <w:rFonts w:ascii="times" w:hAnsi="times"/>
          <w:sz w:val="20"/>
        </w:rPr>
      </w:pPr>
      <w:r>
        <w:rPr>
          <w:rFonts w:ascii="times" w:hAnsi="times"/>
          <w:sz w:val="20"/>
        </w:rPr>
        <w:t xml:space="preserve">Sandra M. Mills, the Chief Financial Officer of the selling shareholder, exercises sole voting and dispositive power over the Class A shares held by the selling shareholder. Ms. Mills disclaims beneficial ownership of any of our Class A shares held by the selling shareholder except to the extent of her pecuniary interest therein. </w:t>
      </w:r>
    </w:p>
    <w:p>
      <w:pPr>
        <w:pStyle w:val="ListHeading"/>
        <w:spacing w:before="0" w:after="0"/>
        <w:jc w:val="left"/>
        <w:rPr>
          <w:rFonts w:ascii="times" w:hAnsi="times"/>
          <w:sz w:val="20"/>
        </w:rPr>
      </w:pPr>
      <w:r>
        <w:rPr>
          <w:rFonts w:ascii="times" w:hAnsi="times"/>
          <w:sz w:val="20"/>
        </w:rPr>
        <w:t>(15)</w:t>
      </w:r>
    </w:p>
    <w:p>
      <w:pPr>
        <w:pStyle w:val="ListContents"/>
        <w:spacing w:before="0" w:after="283"/>
        <w:jc w:val="left"/>
        <w:rPr>
          <w:rFonts w:ascii="times" w:hAnsi="times"/>
          <w:sz w:val="20"/>
        </w:rPr>
      </w:pPr>
      <w:r>
        <w:rPr>
          <w:rFonts w:ascii="times" w:hAnsi="times"/>
          <w:sz w:val="20"/>
        </w:rPr>
        <w:t xml:space="preserve">Includes six persons not otherwise listed above, none of which currently owns more than 0.15% of the Class A shares. Collectively, these shareholders own approximately 0.53% of the Class A shares. The selling shareholders comprise long-term legacy investors, none of whom are our employees. </w:t>
      </w:r>
    </w:p>
    <w:p>
      <w:pPr>
        <w:pStyle w:val="TextBody"/>
        <w:jc w:val="center"/>
        <w:rPr>
          <w:rFonts w:ascii="times" w:hAnsi="times"/>
          <w:sz w:val="20"/>
        </w:rPr>
      </w:pPr>
      <w:r>
        <w:rPr>
          <w:rFonts w:ascii="times" w:hAnsi="times"/>
          <w:sz w:val="20"/>
        </w:rPr>
        <w:t>33</w:t>
      </w:r>
    </w:p>
    <w:p>
      <w:pPr>
        <w:pStyle w:val="HorizontalLine"/>
        <w:pBdr>
          <w:bottom w:val="single" w:sz="20" w:space="0" w:color="808080"/>
        </w:pBdr>
        <w:rPr/>
      </w:pPr>
      <w:r>
        <w:rPr/>
      </w:r>
      <w:r>
        <w:br w:type="page"/>
      </w:r>
    </w:p>
    <w:p>
      <w:pPr>
        <w:pStyle w:val="TextBody"/>
        <w:rPr/>
      </w:pPr>
      <w:hyperlink w:anchor="bg44101a_main_toc">
        <w:bookmarkStart w:id="72" w:name="page_co44101_1_34"/>
        <w:bookmarkEnd w:id="72"/>
        <w:r>
          <w:rPr>
            <w:rStyle w:val="InternetLink"/>
            <w:rFonts w:ascii="times" w:hAnsi="times"/>
            <w:sz w:val="20"/>
          </w:rPr>
          <w:t>Table of Contents</w:t>
        </w:r>
      </w:hyperlink>
    </w:p>
    <w:p>
      <w:pPr>
        <w:pStyle w:val="TextBody"/>
        <w:jc w:val="center"/>
        <w:rPr>
          <w:rFonts w:ascii="times" w:hAnsi="times"/>
        </w:rPr>
      </w:pPr>
      <w:bookmarkStart w:id="73" w:name="toc_co44101_2"/>
      <w:bookmarkStart w:id="74" w:name="co44101_plan_of_distribution"/>
      <w:bookmarkEnd w:id="73"/>
      <w:bookmarkEnd w:id="74"/>
      <w:r>
        <w:rPr>
          <w:rFonts w:ascii="times" w:hAnsi="times"/>
          <w:sz w:val="20"/>
        </w:rPr>
        <w:br/>
      </w:r>
      <w:r>
        <w:rPr>
          <w:rFonts w:ascii="times" w:hAnsi="times"/>
          <w:b/>
          <w:sz w:val="20"/>
        </w:rPr>
        <w:t xml:space="preserve">PLAN OF DISTRIBUTION </w:t>
      </w:r>
    </w:p>
    <w:p>
      <w:pPr>
        <w:pStyle w:val="TextBody"/>
        <w:rPr/>
      </w:pPr>
      <w:r>
        <w:rPr/>
        <w:t>        </w:t>
      </w:r>
      <w:r>
        <w:rPr>
          <w:rFonts w:ascii="times" w:hAnsi="times"/>
          <w:sz w:val="20"/>
        </w:rPr>
        <w:t xml:space="preserve">We are registering the Class A shares offered by this prospectus on behalf of the selling shareholders. As used in this prospectus, "selling shareholders" includes partners, pledgees, donees (including charitable organizations), transferees or other successors-in-interest selling Class A shares received from any selling shareholder identified in this prospectus after the date of this prospectus. </w:t>
      </w:r>
    </w:p>
    <w:p>
      <w:pPr>
        <w:pStyle w:val="TextBody"/>
        <w:rPr/>
      </w:pPr>
      <w:r>
        <w:rPr/>
        <w:t>        </w:t>
      </w:r>
      <w:r>
        <w:rPr>
          <w:rFonts w:ascii="times" w:hAnsi="times"/>
          <w:sz w:val="20"/>
        </w:rPr>
        <w:t>Subject to certain restrictions on transfer that may be applicable to the selling shareholders, the selling shareholders intend to offer and sell the Class A shares offered by this prospectus by one or more of, or a combination of, the following methods: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through one or more underwriters for public offering and sale;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through one or more broker-dealers who may act as agent or may purchase Class A shares as principal and thereafter resell the Class A shares from time to time: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in or through one or more transactions (which may involve crosses and block transactions) or distributions;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on the NYSE;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in the over-the-counter market; or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in private transactions;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investors directly. </w:t>
      </w:r>
    </w:p>
    <w:p>
      <w:pPr>
        <w:pStyle w:val="TextBody"/>
        <w:rPr/>
      </w:pPr>
      <w:r>
        <w:rPr/>
        <w:t>        </w:t>
      </w:r>
      <w:r>
        <w:rPr>
          <w:rFonts w:ascii="times" w:hAnsi="times"/>
          <w:sz w:val="20"/>
        </w:rPr>
        <w:t>The offering price per Class A share will be determined from time to time by the selling shareholders in connection with, and at the time of, the sale by such selling shareholders. The selling shareholders may price the Class A shares at: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market prices prevailing at the time of any sale under this registration statement;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prices related to the then-current market prices;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fixed price;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negotiated prices. </w:t>
      </w:r>
    </w:p>
    <w:p>
      <w:pPr>
        <w:pStyle w:val="TextBody"/>
        <w:rPr/>
      </w:pPr>
      <w:r>
        <w:rPr/>
        <w:t>        </w:t>
      </w:r>
      <w:r>
        <w:rPr>
          <w:rFonts w:ascii="times" w:hAnsi="times"/>
          <w:sz w:val="20"/>
        </w:rPr>
        <w:t xml:space="preserve">In addition, the selling shareholders may from time to time sell Class A shares in compliance with Rule 144 under the Securities Act, if available, or pursuant to other available exemptions from the registration requirements under the Securities Act, rather than pursuant to this prospectus. The selling shareholders may be required by the securities laws of certain states to offer and sell the Class A shares only through registered or licensed brokers or dealers. </w:t>
      </w:r>
    </w:p>
    <w:p>
      <w:pPr>
        <w:pStyle w:val="TextBody"/>
        <w:rPr/>
      </w:pPr>
      <w:r>
        <w:rPr/>
        <w:t>        </w:t>
      </w:r>
      <w:r>
        <w:rPr>
          <w:rFonts w:ascii="times" w:hAnsi="times"/>
          <w:sz w:val="20"/>
        </w:rPr>
        <w:t xml:space="preserve">The selling shareholders may act independently of us in making decisions with respect to the timing, manner and size of each of their sales. </w:t>
      </w:r>
    </w:p>
    <w:p>
      <w:pPr>
        <w:pStyle w:val="TextBody"/>
        <w:rPr/>
      </w:pPr>
      <w:r>
        <w:rPr/>
        <w:t>        </w:t>
      </w:r>
      <w:r>
        <w:rPr>
          <w:rFonts w:ascii="times" w:hAnsi="times"/>
          <w:sz w:val="20"/>
        </w:rPr>
        <w:t xml:space="preserve">The selling shareholders may authorize underwriters acting as their agent to offer and sell Class A shares upon the terms and conditions as are set forth in an applicable prospectus supplement. In connection with the sale of these Class A shares, underwriters may be deemed to have received compensation from the selling shareholders in the form of underwriting discounts or commissions and may also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shareholders in the sale of Class A shares. </w:t>
      </w:r>
    </w:p>
    <w:p>
      <w:pPr>
        <w:pStyle w:val="TextBody"/>
        <w:jc w:val="center"/>
        <w:rPr>
          <w:rFonts w:ascii="times" w:hAnsi="times"/>
          <w:sz w:val="20"/>
        </w:rPr>
      </w:pPr>
      <w:r>
        <w:rPr>
          <w:rFonts w:ascii="times" w:hAnsi="times"/>
          <w:sz w:val="20"/>
        </w:rPr>
        <w:t>34</w:t>
      </w:r>
    </w:p>
    <w:p>
      <w:pPr>
        <w:pStyle w:val="HorizontalLine"/>
        <w:pBdr>
          <w:bottom w:val="single" w:sz="20" w:space="0" w:color="808080"/>
        </w:pBdr>
        <w:rPr/>
      </w:pPr>
      <w:r>
        <w:rPr/>
      </w:r>
      <w:r>
        <w:br w:type="page"/>
      </w:r>
    </w:p>
    <w:p>
      <w:pPr>
        <w:pStyle w:val="TextBody"/>
        <w:rPr/>
      </w:pPr>
      <w:hyperlink w:anchor="bg44101a_main_toc">
        <w:bookmarkStart w:id="75" w:name="page_co44101_1_35"/>
        <w:bookmarkEnd w:id="75"/>
        <w:r>
          <w:rPr>
            <w:rStyle w:val="InternetLink"/>
            <w:rFonts w:ascii="times" w:hAnsi="times"/>
            <w:sz w:val="20"/>
          </w:rPr>
          <w:t>Table of Contents</w:t>
        </w:r>
      </w:hyperlink>
    </w:p>
    <w:p>
      <w:pPr>
        <w:pStyle w:val="TextBody"/>
        <w:rPr/>
      </w:pPr>
      <w:r>
        <w:rPr/>
        <w:t>        </w:t>
      </w:r>
      <w:r>
        <w:rPr>
          <w:rFonts w:ascii="times" w:hAnsi="times"/>
          <w:sz w:val="20"/>
        </w:rPr>
        <w:t xml:space="preserve">As of the date of this prospectus, the selling shareholders have not engaged any underwriter, broker, dealer or agent in connection with the offer and sale of Class A shares pursuant to this prospectus by the selling shareholders. To the extent required, the names of the specific managing underwriter or underwriters, if any, as well as other important information, will be set forth in an applicable prospectus supplement. In that event, any underwriting compensation paid by the selling shareholders to underwriters or agents in connection with the offering of these Class A shares, and any discounts, concessions or commissions allowed by underwriters to participating dealers, will be set forth in the applicable prospectus supplement. </w:t>
      </w:r>
    </w:p>
    <w:p>
      <w:pPr>
        <w:pStyle w:val="TextBody"/>
        <w:rPr/>
      </w:pPr>
      <w:r>
        <w:rPr/>
        <w:t>        </w:t>
      </w:r>
      <w:r>
        <w:rPr>
          <w:rFonts w:ascii="times" w:hAnsi="times"/>
          <w:sz w:val="20"/>
        </w:rPr>
        <w:t xml:space="preserve">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 </w:t>
      </w:r>
    </w:p>
    <w:p>
      <w:pPr>
        <w:pStyle w:val="TextBody"/>
        <w:rPr/>
      </w:pPr>
      <w:r>
        <w:rPr/>
        <w:t>        </w:t>
      </w:r>
      <w:r>
        <w:rPr>
          <w:rFonts w:ascii="times" w:hAnsi="times"/>
          <w:sz w:val="20"/>
        </w:rPr>
        <w:t xml:space="preserve">We will pay the costs and expenses related to the registration and offering of the Class A shares offered hereby. We will not pay any underwriting fees, discounts and selling commissions (and similar fees or arrangements associated therewith) allocable to each selling shareholder's sale of its respective Class A shares; these expenses will be paid by the selling shareholders. </w:t>
      </w:r>
    </w:p>
    <w:p>
      <w:pPr>
        <w:pStyle w:val="TextBody"/>
        <w:rPr/>
      </w:pPr>
      <w:r>
        <w:rPr/>
        <w:t>        </w:t>
      </w:r>
      <w:r>
        <w:rPr>
          <w:rFonts w:ascii="times" w:hAnsi="times"/>
          <w:sz w:val="20"/>
        </w:rPr>
        <w:t xml:space="preserve">We have agreed to indemnify the selling shareholders against certain liabilities to which they may become subject in connection with the sale of the Class A shares owned by the selling shareholders and registered under this prospectus, including liabilities arising under the Securities Act. We may indemnify underwriters, brokers, dealers and agents against specific liabilities to which they may become subject in connection with the sale of the Class A shares owned by the selling shareholders and registered under this prospectus, including liabilities under the Securities Act. </w:t>
      </w:r>
    </w:p>
    <w:p>
      <w:pPr>
        <w:pStyle w:val="TextBody"/>
        <w:rPr/>
      </w:pPr>
      <w:r>
        <w:rPr/>
        <w:t>        </w:t>
      </w:r>
      <w:r>
        <w:rPr>
          <w:rFonts w:ascii="times" w:hAnsi="times"/>
          <w:sz w:val="20"/>
        </w:rPr>
        <w:t xml:space="preserve">Any underwriters, brokers, dealers and agents who participate in any sale of the Class A shares may also engage in transactions with, or perform services for, us or our affiliates in the ordinary course of their businesses. </w:t>
      </w:r>
    </w:p>
    <w:p>
      <w:pPr>
        <w:pStyle w:val="TextBody"/>
        <w:rPr/>
      </w:pPr>
      <w:r>
        <w:rPr/>
        <w:t>        </w:t>
      </w:r>
      <w:r>
        <w:rPr>
          <w:rFonts w:ascii="times" w:hAnsi="times"/>
          <w:sz w:val="20"/>
        </w:rPr>
        <w:t xml:space="preserve">Because FINRA views our Class A shares as interests in a direct participation program, any offering of Class A shares under the registration statement of which this prospectus forms a part will be made in compliance with Rule 2310 of the FINRA Rules. </w:t>
      </w:r>
    </w:p>
    <w:p>
      <w:pPr>
        <w:pStyle w:val="TextBody"/>
        <w:rPr/>
      </w:pPr>
      <w:r>
        <w:rPr/>
        <w:t>        </w:t>
      </w:r>
      <w:r>
        <w:rPr>
          <w:rFonts w:ascii="times" w:hAnsi="times"/>
          <w:sz w:val="20"/>
        </w:rPr>
        <w:t xml:space="preserve">In connection with offerings under this shelf registration statement and in compliance with applicable law, underwriters, brokers or dealers may engage in transactions which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 </w:t>
      </w:r>
    </w:p>
    <w:p>
      <w:pPr>
        <w:pStyle w:val="TextBody"/>
        <w:rPr/>
      </w:pPr>
      <w:r>
        <w:rPr/>
        <w:t>        </w:t>
      </w:r>
      <w:r>
        <w:rPr>
          <w:rFonts w:ascii="times" w:hAnsi="times"/>
          <w:sz w:val="20"/>
        </w:rPr>
        <w:t xml:space="preserve">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 </w:t>
      </w:r>
    </w:p>
    <w:p>
      <w:pPr>
        <w:pStyle w:val="TextBody"/>
        <w:jc w:val="center"/>
        <w:rPr>
          <w:rFonts w:ascii="times" w:hAnsi="times"/>
          <w:sz w:val="20"/>
        </w:rPr>
      </w:pPr>
      <w:r>
        <w:rPr>
          <w:rFonts w:ascii="times" w:hAnsi="times"/>
          <w:sz w:val="20"/>
        </w:rPr>
        <w:t>35</w:t>
      </w:r>
    </w:p>
    <w:p>
      <w:pPr>
        <w:pStyle w:val="HorizontalLine"/>
        <w:pBdr>
          <w:bottom w:val="single" w:sz="20" w:space="0" w:color="808080"/>
        </w:pBdr>
        <w:rPr/>
      </w:pPr>
      <w:r>
        <w:rPr/>
      </w:r>
      <w:r>
        <w:br w:type="page"/>
      </w:r>
    </w:p>
    <w:p>
      <w:pPr>
        <w:pStyle w:val="TextBody"/>
        <w:rPr/>
      </w:pPr>
      <w:hyperlink w:anchor="bg44101a_main_toc">
        <w:bookmarkStart w:id="76" w:name="page_co44101_1_36"/>
        <w:bookmarkEnd w:id="76"/>
        <w:r>
          <w:rPr>
            <w:rStyle w:val="InternetLink"/>
            <w:rFonts w:ascii="times" w:hAnsi="times"/>
            <w:sz w:val="20"/>
          </w:rPr>
          <w:t>Table of Contents</w:t>
        </w:r>
      </w:hyperlink>
    </w:p>
    <w:p>
      <w:pPr>
        <w:pStyle w:val="TextBody"/>
        <w:jc w:val="center"/>
        <w:rPr>
          <w:rFonts w:ascii="times" w:hAnsi="times"/>
        </w:rPr>
      </w:pPr>
      <w:bookmarkStart w:id="77" w:name="toc_co44101_3"/>
      <w:bookmarkStart w:id="78" w:name="co44101_legal_matters"/>
      <w:bookmarkEnd w:id="77"/>
      <w:bookmarkEnd w:id="78"/>
      <w:r>
        <w:rPr>
          <w:rFonts w:ascii="times" w:hAnsi="times"/>
          <w:sz w:val="20"/>
        </w:rPr>
        <w:br/>
      </w:r>
      <w:r>
        <w:rPr>
          <w:rFonts w:ascii="times" w:hAnsi="times"/>
          <w:b/>
          <w:sz w:val="20"/>
        </w:rPr>
        <w:t xml:space="preserve">LEGAL MATTERS </w:t>
      </w:r>
    </w:p>
    <w:p>
      <w:pPr>
        <w:pStyle w:val="TextBody"/>
        <w:rPr/>
      </w:pPr>
      <w:r>
        <w:rPr/>
        <w:t>        </w:t>
      </w:r>
      <w:r>
        <w:rPr>
          <w:rFonts w:ascii="times" w:hAnsi="times"/>
          <w:sz w:val="20"/>
        </w:rPr>
        <w:t xml:space="preserve">The validity of the Class A shares will be passed upon for us by Vinson &amp; Elkins L.L.P., Houston, Texas.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 </w:t>
      </w:r>
    </w:p>
    <w:p>
      <w:pPr>
        <w:pStyle w:val="TextBody"/>
        <w:jc w:val="center"/>
        <w:rPr>
          <w:rFonts w:ascii="times" w:hAnsi="times"/>
        </w:rPr>
      </w:pPr>
      <w:bookmarkStart w:id="79" w:name="toc_co44101_4"/>
      <w:bookmarkStart w:id="80" w:name="co44101_experts"/>
      <w:bookmarkEnd w:id="79"/>
      <w:bookmarkEnd w:id="80"/>
      <w:r>
        <w:rPr>
          <w:rFonts w:ascii="times" w:hAnsi="times"/>
          <w:sz w:val="20"/>
        </w:rPr>
        <w:br/>
      </w:r>
      <w:r>
        <w:rPr>
          <w:rFonts w:ascii="times" w:hAnsi="times"/>
          <w:b/>
          <w:sz w:val="20"/>
        </w:rPr>
        <w:t xml:space="preserve">EXPERTS </w:t>
      </w:r>
    </w:p>
    <w:p>
      <w:pPr>
        <w:pStyle w:val="TextBody"/>
        <w:rPr/>
      </w:pPr>
      <w:r>
        <w:rPr/>
        <w:t>        </w:t>
      </w:r>
      <w:r>
        <w:rPr>
          <w:rFonts w:ascii="times" w:hAnsi="times"/>
          <w:sz w:val="20"/>
        </w:rPr>
        <w:t xml:space="preserve">The financial statements incorporated in this prospectus by reference to the Plains GP Holdings, L.P. Annual Report on Form 10-K for the year ended December 31, 2013 have been so incorporated in reliance on the report of PricewaterhouseCoopers LLP, an independent registered public accounting firm, given on the authority of said firm as experts in accounting and auditing. </w:t>
      </w:r>
    </w:p>
    <w:p>
      <w:pPr>
        <w:pStyle w:val="TextBody"/>
        <w:jc w:val="center"/>
        <w:rPr>
          <w:rFonts w:ascii="times" w:hAnsi="times"/>
          <w:sz w:val="20"/>
        </w:rPr>
      </w:pPr>
      <w:r>
        <w:rPr>
          <w:rFonts w:ascii="times" w:hAnsi="times"/>
          <w:sz w:val="20"/>
        </w:rPr>
        <w:t>36</w:t>
      </w:r>
    </w:p>
    <w:p>
      <w:pPr>
        <w:pStyle w:val="HorizontalLine"/>
        <w:pBdr>
          <w:bottom w:val="single" w:sz="20" w:space="0" w:color="808080"/>
        </w:pBdr>
        <w:rPr/>
      </w:pPr>
      <w:r>
        <w:rPr/>
      </w:r>
      <w:r>
        <w:br w:type="page"/>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43</Pages>
  <Words>20579</Words>
  <CharactersWithSpaces>127054</CharactersWithSpaces>
  <Paragraphs>1203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