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12/31/2018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540" w:type="dxa"/>
            <w:vAlign w:val="bottom"/>
            <w:tcBorders>
              <w:right w:val="single" w:sz="8" w:color="9A9A9A"/>
            </w:tcBorders>
            <w:shd w:val="clear" w:color="auto" w:fill="9A9A9A"/>
          </w:tcPr>
          <w:p>
            <w:pPr>
              <w:spacing w:after="0"/>
              <w:rPr>
                <w:sz w:val="2"/>
                <w:szCs w:val="2"/>
                <w:color w:val="auto"/>
              </w:rPr>
            </w:pPr>
          </w:p>
        </w:tc>
        <w:tc>
          <w:tcPr>
            <w:tcW w:w="3880" w:type="dxa"/>
            <w:vAlign w:val="bottom"/>
            <w:gridSpan w:val="9"/>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80" w:type="dxa"/>
            <w:vAlign w:val="bottom"/>
            <w:gridSpan w:val="9"/>
            <w:vMerge w:val="continue"/>
          </w:tcPr>
          <w:p>
            <w:pPr>
              <w:spacing w:after="0"/>
              <w:rPr>
                <w:sz w:val="11"/>
                <w:szCs w:val="11"/>
                <w:color w:val="auto"/>
              </w:rPr>
            </w:pPr>
          </w:p>
        </w:tc>
        <w:tc>
          <w:tcPr>
            <w:tcW w:w="36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20" w:type="dxa"/>
            <w:vAlign w:val="bottom"/>
            <w:gridSpan w:val="2"/>
          </w:tcPr>
          <w:p>
            <w:pPr>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2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7"/>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9"/>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080" w:type="dxa"/>
            <w:vAlign w:val="bottom"/>
            <w:gridSpan w:val="2"/>
            <w:vMerge w:val="restart"/>
          </w:tcPr>
          <w:p>
            <w:pPr>
              <w:jc w:val="right"/>
              <w:ind w:right="78"/>
              <w:spacing w:after="0"/>
              <w:rPr>
                <w:sz w:val="20"/>
                <w:szCs w:val="20"/>
                <w:color w:val="auto"/>
              </w:rPr>
            </w:pPr>
            <w:r>
              <w:rPr>
                <w:rFonts w:ascii="Arial" w:cs="Arial" w:eastAsia="Arial" w:hAnsi="Arial"/>
                <w:sz w:val="18"/>
                <w:szCs w:val="18"/>
                <w:color w:val="0000FF"/>
              </w:rPr>
              <w:t>12/31/2018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700" w:type="dxa"/>
            <w:vAlign w:val="bottom"/>
            <w:vMerge w:val="restart"/>
          </w:tcPr>
          <w:p>
            <w:pPr>
              <w:ind w:left="280"/>
              <w:spacing w:after="0"/>
              <w:rPr>
                <w:sz w:val="20"/>
                <w:szCs w:val="20"/>
                <w:color w:val="auto"/>
              </w:rPr>
            </w:pPr>
            <w:r>
              <w:rPr>
                <w:rFonts w:ascii="Arial" w:cs="Arial" w:eastAsia="Arial" w:hAnsi="Arial"/>
                <w:sz w:val="18"/>
                <w:szCs w:val="18"/>
                <w:color w:val="0000FF"/>
                <w:w w:val="88"/>
              </w:rPr>
              <w:t>1,640</w:t>
            </w:r>
          </w:p>
        </w:tc>
        <w:tc>
          <w:tcPr>
            <w:tcW w:w="720" w:type="dxa"/>
            <w:vAlign w:val="bottom"/>
            <w:vMerge w:val="restart"/>
          </w:tcPr>
          <w:p>
            <w:pPr>
              <w:ind w:left="380"/>
              <w:spacing w:after="0"/>
              <w:rPr>
                <w:sz w:val="20"/>
                <w:szCs w:val="20"/>
                <w:color w:val="auto"/>
              </w:rPr>
            </w:pPr>
            <w:r>
              <w:rPr>
                <w:rFonts w:ascii="Arial" w:cs="Arial" w:eastAsia="Arial" w:hAnsi="Arial"/>
                <w:sz w:val="18"/>
                <w:szCs w:val="18"/>
                <w:color w:val="0000FF"/>
              </w:rPr>
              <w:t>D</w:t>
            </w:r>
          </w:p>
        </w:tc>
        <w:tc>
          <w:tcPr>
            <w:tcW w:w="640" w:type="dxa"/>
            <w:vAlign w:val="bottom"/>
            <w:gridSpan w:val="2"/>
            <w:vMerge w:val="restart"/>
          </w:tcPr>
          <w:p>
            <w:pPr>
              <w:jc w:val="right"/>
              <w:ind w:right="34"/>
              <w:spacing w:after="0" w:line="386" w:lineRule="exact"/>
              <w:rPr>
                <w:sz w:val="20"/>
                <w:szCs w:val="20"/>
                <w:color w:val="auto"/>
              </w:rPr>
            </w:pPr>
            <w:r>
              <w:rPr>
                <w:rFonts w:ascii="Arial" w:cs="Arial" w:eastAsia="Arial" w:hAnsi="Arial"/>
                <w:sz w:val="35"/>
                <w:szCs w:val="35"/>
                <w:color w:val="000000"/>
                <w:w w:val="98"/>
                <w:vertAlign w:val="subscript"/>
              </w:rPr>
              <w:t>$</w:t>
            </w:r>
            <w:r>
              <w:rPr>
                <w:rFonts w:ascii="Arial" w:cs="Arial" w:eastAsia="Arial" w:hAnsi="Arial"/>
                <w:sz w:val="35"/>
                <w:szCs w:val="35"/>
                <w:color w:val="0000FF"/>
                <w:w w:val="98"/>
                <w:vertAlign w:val="subscript"/>
              </w:rPr>
              <w:t>0</w:t>
            </w:r>
            <w:r>
              <w:rPr>
                <w:rFonts w:ascii="Arial" w:cs="Arial" w:eastAsia="Arial" w:hAnsi="Arial"/>
                <w:sz w:val="11"/>
                <w:szCs w:val="11"/>
                <w:color w:val="008000"/>
                <w:w w:val="98"/>
              </w:rPr>
              <w:t>(1)(2)</w:t>
            </w: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280,514,112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60" w:type="dxa"/>
            <w:vAlign w:val="bottom"/>
            <w:gridSpan w:val="9"/>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6"/>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13"/>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6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6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Plains All American GP LLC</w:t>
              </w:r>
            </w:hyperlink>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31" w:lineRule="exact"/>
        <w:rPr>
          <w:rFonts w:ascii="Arial" w:cs="Arial" w:eastAsia="Arial" w:hAnsi="Arial"/>
          <w:sz w:val="14"/>
          <w:szCs w:val="14"/>
          <w:color w:val="008000"/>
        </w:rPr>
      </w:pPr>
    </w:p>
    <w:p>
      <w:pPr>
        <w:ind w:left="20" w:right="10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December 31, 2018, KAFU Holdings (QP), L.P. exercised the Redemption Right with respect to 1,640 AAP Class A units, resulting in the cancellation of such AAP Class A units and the distribution of 1,640 Common Units from AAP to the redeeming partner.</w:t>
      </w:r>
    </w:p>
    <w:p>
      <w:pPr>
        <w:spacing w:after="0" w:line="30" w:lineRule="exact"/>
        <w:rPr>
          <w:rFonts w:ascii="Arial" w:cs="Arial" w:eastAsia="Arial" w:hAnsi="Arial"/>
          <w:sz w:val="14"/>
          <w:szCs w:val="14"/>
          <w:color w:val="008000"/>
        </w:rPr>
      </w:pPr>
    </w:p>
    <w:p>
      <w:pPr>
        <w:ind w:left="20" w:right="160" w:firstLine="9"/>
        <w:spacing w:after="0" w:line="29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01/02/2019</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2020-01-09T13:49:17Z</dcterms:created>
  <dcterms:modified xsi:type="dcterms:W3CDTF">2020-01-09T13:49:17Z</dcterms:modified>
</cp:coreProperties>
</file>