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9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____)*</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Plains GP Holdings, L.P. (Class A)</w:t>
      </w:r>
    </w:p>
    <w:p>
      <w:pPr>
        <w:spacing w:after="0" w:line="3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w:t>
      </w:r>
    </w:p>
    <w:p>
      <w:pPr>
        <w:spacing w:after="0" w:line="2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72651A207</w:t>
      </w:r>
    </w:p>
    <w:p>
      <w:pPr>
        <w:spacing w:after="0" w:line="2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tbl>
      <w:tblPr>
        <w:tblLayout w:type="fixed"/>
        <w:tblInd w:w="1060" w:type="dxa"/>
        <w:tblCellMar>
          <w:top w:w="0" w:type="dxa"/>
          <w:left w:w="0" w:type="dxa"/>
          <w:bottom w:w="0" w:type="dxa"/>
          <w:right w:w="0" w:type="dxa"/>
        </w:tblCellMar>
      </w:tblPr>
      <w:tr>
        <w:trPr>
          <w:trHeight w:val="296"/>
        </w:trPr>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 X ]</w:t>
            </w:r>
          </w:p>
        </w:tc>
        <w:tc>
          <w:tcPr>
            <w:tcW w:w="162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5"/>
              </w:rPr>
              <w:t>Rule 13d-1(b)</w:t>
            </w:r>
          </w:p>
        </w:tc>
      </w:tr>
      <w:tr>
        <w:trPr>
          <w:trHeight w:val="405"/>
        </w:trPr>
        <w:tc>
          <w:tcPr>
            <w:tcW w:w="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ind w:left="260"/>
              <w:spacing w:after="0"/>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13d-1(c)</w:t>
            </w:r>
          </w:p>
        </w:tc>
      </w:tr>
      <w:tr>
        <w:trPr>
          <w:trHeight w:val="405"/>
        </w:trPr>
        <w:tc>
          <w:tcPr>
            <w:tcW w:w="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ind w:left="260"/>
              <w:spacing w:after="0"/>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13d-1(d)</w:t>
            </w:r>
          </w:p>
        </w:tc>
      </w:tr>
    </w:tbl>
    <w:p>
      <w:pPr>
        <w:spacing w:after="0" w:line="311" w:lineRule="exact"/>
        <w:rPr>
          <w:sz w:val="24"/>
          <w:szCs w:val="24"/>
          <w:color w:val="auto"/>
        </w:rPr>
      </w:pPr>
    </w:p>
    <w:p>
      <w:pPr>
        <w:ind w:right="275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43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- 1 -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72651A207</w:t>
      </w:r>
    </w:p>
    <w:p>
      <w:pPr>
        <w:spacing w:after="0" w:line="201" w:lineRule="exact"/>
        <w:rPr>
          <w:sz w:val="24"/>
          <w:szCs w:val="24"/>
          <w:color w:val="auto"/>
        </w:rPr>
      </w:pPr>
    </w:p>
    <w:p>
      <w:pPr>
        <w:ind w:left="2120" w:right="2339" w:hanging="427"/>
        <w:spacing w:after="0" w:line="346" w:lineRule="auto"/>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9"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Portfolios L.P.: 36-3768815</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Advisors L.P.:   36-3788904</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Charger Corporation:</w:t>
      </w:r>
      <w:r>
        <w:rPr>
          <w:rFonts w:ascii="Courier New" w:cs="Courier New" w:eastAsia="Courier New" w:hAnsi="Courier New"/>
          <w:sz w:val="16"/>
          <w:szCs w:val="16"/>
          <w:color w:val="auto"/>
        </w:rPr>
        <w:t>36-3772451</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right="2979" w:hanging="427"/>
        <w:spacing w:after="0" w:line="346" w:lineRule="auto"/>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9" w:lineRule="exact"/>
        <w:rPr>
          <w:rFonts w:ascii="Courier New" w:cs="Courier New" w:eastAsia="Courier New" w:hAnsi="Courier New"/>
          <w:sz w:val="18"/>
          <w:szCs w:val="18"/>
          <w:color w:val="auto"/>
        </w:rPr>
      </w:pPr>
    </w:p>
    <w:p>
      <w:pPr>
        <w:ind w:left="2640" w:hanging="526"/>
        <w:spacing w:after="0"/>
        <w:tabs>
          <w:tab w:leader="none" w:pos="26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2640" w:hanging="526"/>
        <w:spacing w:after="0"/>
        <w:tabs>
          <w:tab w:leader="none" w:pos="26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38" w:orient="portrait"/>
          <w:cols w:equalWidth="0" w:num="1">
            <w:col w:w="10139"/>
          </w:cols>
          <w:pgMar w:left="320" w:top="218"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700"/>
        <w:spacing w:after="0"/>
        <w:tabs>
          <w:tab w:leader="none" w:pos="2100" w:val="left"/>
        </w:tabs>
        <w:rPr>
          <w:sz w:val="20"/>
          <w:szCs w:val="20"/>
          <w:color w:val="auto"/>
        </w:rPr>
      </w:pPr>
      <w:r>
        <w:rPr>
          <w:rFonts w:ascii="Courier New" w:cs="Courier New" w:eastAsia="Courier New" w:hAnsi="Courier New"/>
          <w:sz w:val="16"/>
          <w:szCs w:val="16"/>
          <w:color w:val="auto"/>
        </w:rPr>
        <w:t>4.</w:t>
        <w:tab/>
        <w:t>Citizenship or Place of Organization of each</w:t>
      </w:r>
    </w:p>
    <w:p>
      <w:pPr>
        <w:sectPr>
          <w:pgSz w:w="11900" w:h="16838" w:orient="portrait"/>
          <w:cols w:equalWidth="0" w:num="1">
            <w:col w:w="10139"/>
          </w:cols>
          <w:pgMar w:left="320" w:top="218"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96"/>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Reporting Person:</w:t>
            </w:r>
          </w:p>
        </w:tc>
        <w:tc>
          <w:tcPr>
            <w:tcW w:w="33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Illinois, U.S.A.</w:t>
            </w:r>
          </w:p>
        </w:tc>
        <w:tc>
          <w:tcPr>
            <w:tcW w:w="0" w:type="dxa"/>
            <w:vAlign w:val="bottom"/>
          </w:tcPr>
          <w:p>
            <w:pPr>
              <w:spacing w:after="0"/>
              <w:rPr>
                <w:sz w:val="1"/>
                <w:szCs w:val="1"/>
                <w:color w:val="auto"/>
              </w:rPr>
            </w:pPr>
          </w:p>
        </w:tc>
      </w:tr>
      <w:tr>
        <w:trPr>
          <w:trHeight w:val="51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Sole Voting</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Power:</w:t>
            </w:r>
          </w:p>
        </w:tc>
        <w:tc>
          <w:tcPr>
            <w:tcW w:w="800" w:type="dxa"/>
            <w:vAlign w:val="bottom"/>
          </w:tcPr>
          <w:p>
            <w:pPr>
              <w:ind w:left="120"/>
              <w:spacing w:after="0"/>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2320" w:type="dxa"/>
            <w:vAlign w:val="bottom"/>
            <w:gridSpan w:val="2"/>
            <w:vMerge w:val="restart"/>
          </w:tcPr>
          <w:p>
            <w:pPr>
              <w:ind w:left="120"/>
              <w:spacing w:after="0"/>
              <w:rPr>
                <w:sz w:val="20"/>
                <w:szCs w:val="20"/>
                <w:color w:val="auto"/>
              </w:rPr>
            </w:pPr>
            <w:r>
              <w:rPr>
                <w:rFonts w:ascii="Courier New" w:cs="Courier New" w:eastAsia="Courier New" w:hAnsi="Courier New"/>
                <w:sz w:val="18"/>
                <w:szCs w:val="18"/>
                <w:color w:val="auto"/>
              </w:rPr>
              <w:t>Shared Voting Power:</w:t>
            </w: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vMerge w:val="continue"/>
          </w:tcPr>
          <w:p>
            <w:pPr>
              <w:spacing w:after="0"/>
              <w:rPr>
                <w:sz w:val="17"/>
                <w:szCs w:val="17"/>
                <w:color w:val="auto"/>
              </w:rPr>
            </w:pPr>
          </w:p>
        </w:tc>
        <w:tc>
          <w:tcPr>
            <w:tcW w:w="232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1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Such shares</w:t>
            </w:r>
          </w:p>
        </w:tc>
        <w:tc>
          <w:tcPr>
            <w:tcW w:w="4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are held by the following entities in the</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24"/>
                <w:szCs w:val="24"/>
                <w:color w:val="auto"/>
              </w:rPr>
            </w:pPr>
          </w:p>
        </w:tc>
        <w:tc>
          <w:tcPr>
            <w:tcW w:w="31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respective amounts listed:</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First Trust</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Portfolios L.P.:</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First Trust</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Advisors L.P.:</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10,344,873</w:t>
            </w: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The Charger</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Corporation:</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10,344,873</w:t>
            </w:r>
          </w:p>
        </w:tc>
        <w:tc>
          <w:tcPr>
            <w:tcW w:w="0" w:type="dxa"/>
            <w:vAlign w:val="bottom"/>
          </w:tcPr>
          <w:p>
            <w:pPr>
              <w:spacing w:after="0"/>
              <w:rPr>
                <w:sz w:val="1"/>
                <w:szCs w:val="1"/>
                <w:color w:val="auto"/>
              </w:rPr>
            </w:pPr>
          </w:p>
        </w:tc>
      </w:tr>
      <w:tr>
        <w:trPr>
          <w:trHeight w:val="608"/>
        </w:trPr>
        <w:tc>
          <w:tcPr>
            <w:tcW w:w="154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31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Sole Dispositive Power:</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120" w:hanging="427"/>
        <w:spacing w:after="0"/>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2120" w:right="2439"/>
        <w:spacing w:after="0" w:line="34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shares are held by the following entities in the respective amounts listed:</w:t>
      </w:r>
    </w:p>
    <w:p>
      <w:pPr>
        <w:spacing w:after="0" w:line="19"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Portfolios L.P.: 0</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Advisors L.P.:   10,356,813</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Charger Corporation:</w:t>
      </w:r>
      <w:r>
        <w:rPr>
          <w:rFonts w:ascii="Courier New" w:cs="Courier New" w:eastAsia="Courier New" w:hAnsi="Courier New"/>
          <w:sz w:val="16"/>
          <w:szCs w:val="16"/>
          <w:color w:val="auto"/>
        </w:rPr>
        <w:t>10,356,813</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120" w:right="3499" w:hanging="427"/>
        <w:spacing w:after="0" w:line="346" w:lineRule="auto"/>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10,356,813</w:t>
      </w:r>
    </w:p>
    <w:p>
      <w:pPr>
        <w:spacing w:after="0" w:line="222" w:lineRule="exact"/>
        <w:rPr>
          <w:rFonts w:ascii="Courier New" w:cs="Courier New" w:eastAsia="Courier New" w:hAnsi="Courier New"/>
          <w:sz w:val="18"/>
          <w:szCs w:val="18"/>
          <w:color w:val="auto"/>
        </w:rPr>
      </w:pPr>
    </w:p>
    <w:p>
      <w:pPr>
        <w:ind w:left="2120" w:right="2859" w:hanging="533"/>
        <w:spacing w:after="0" w:line="346" w:lineRule="auto"/>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22" w:lineRule="exact"/>
        <w:rPr>
          <w:rFonts w:ascii="Courier New" w:cs="Courier New" w:eastAsia="Courier New" w:hAnsi="Courier New"/>
          <w:sz w:val="18"/>
          <w:szCs w:val="18"/>
          <w:color w:val="auto"/>
        </w:rPr>
      </w:pPr>
    </w:p>
    <w:p>
      <w:pPr>
        <w:ind w:left="4120" w:hanging="216"/>
        <w:spacing w:after="0"/>
        <w:tabs>
          <w:tab w:leader="none" w:pos="4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533"/>
        <w:spacing w:after="0"/>
        <w:tabs>
          <w:tab w:leader="none" w:pos="21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 5.27%</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120" w:hanging="533"/>
        <w:spacing w:after="0"/>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tbl>
      <w:tblPr>
        <w:tblLayout w:type="fixed"/>
        <w:tblInd w:w="2640" w:type="dxa"/>
        <w:tblCellMar>
          <w:top w:w="0" w:type="dxa"/>
          <w:left w:w="0" w:type="dxa"/>
          <w:bottom w:w="0" w:type="dxa"/>
          <w:right w:w="0" w:type="dxa"/>
        </w:tblCellMar>
      </w:tblPr>
      <w:tr>
        <w:trPr>
          <w:trHeight w:val="296"/>
        </w:trPr>
        <w:tc>
          <w:tcPr>
            <w:tcW w:w="3160" w:type="dxa"/>
            <w:vAlign w:val="bottom"/>
          </w:tcPr>
          <w:p>
            <w:pPr>
              <w:spacing w:after="0"/>
              <w:rPr>
                <w:sz w:val="20"/>
                <w:szCs w:val="20"/>
                <w:color w:val="auto"/>
              </w:rPr>
            </w:pPr>
            <w:r>
              <w:rPr>
                <w:rFonts w:ascii="Courier New" w:cs="Courier New" w:eastAsia="Courier New" w:hAnsi="Courier New"/>
                <w:sz w:val="18"/>
                <w:szCs w:val="18"/>
                <w:color w:val="auto"/>
              </w:rPr>
              <w:t>First Trust Portfolios L.P.</w:t>
            </w:r>
          </w:p>
        </w:tc>
        <w:tc>
          <w:tcPr>
            <w:tcW w:w="74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2"/>
              </w:rPr>
              <w:t>- BD</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First Trust Advisors L.P.</w:t>
            </w:r>
          </w:p>
        </w:tc>
        <w:tc>
          <w:tcPr>
            <w:tcW w:w="4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w w:val="92"/>
              </w:rPr>
              <w:t>IA</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The Charger Corporation</w:t>
            </w:r>
          </w:p>
        </w:tc>
        <w:tc>
          <w:tcPr>
            <w:tcW w:w="4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w w:val="92"/>
              </w:rPr>
              <w:t>HC</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2120" w:hanging="1059"/>
        <w:spacing w:after="0"/>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Plains GP Holdings, L.P. (Class A)</w:t>
      </w:r>
    </w:p>
    <w:p>
      <w:pPr>
        <w:spacing w:after="0" w:line="201"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Attn: Legal Department</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333 Clay Street</w:t>
      </w:r>
    </w:p>
    <w:p>
      <w:pPr>
        <w:ind w:left="2640"/>
        <w:spacing w:after="0" w:line="238" w:lineRule="auto"/>
        <w:rPr>
          <w:sz w:val="20"/>
          <w:szCs w:val="20"/>
          <w:color w:val="auto"/>
        </w:rPr>
      </w:pPr>
      <w:r>
        <w:rPr>
          <w:rFonts w:ascii="Courier New" w:cs="Courier New" w:eastAsia="Courier New" w:hAnsi="Courier New"/>
          <w:sz w:val="18"/>
          <w:szCs w:val="18"/>
          <w:color w:val="auto"/>
        </w:rPr>
        <w:t>Suite 1600</w:t>
      </w:r>
    </w:p>
    <w:p>
      <w:pPr>
        <w:ind w:left="2640"/>
        <w:spacing w:after="0" w:line="238" w:lineRule="auto"/>
        <w:rPr>
          <w:sz w:val="20"/>
          <w:szCs w:val="20"/>
          <w:color w:val="auto"/>
        </w:rPr>
      </w:pPr>
      <w:r>
        <w:rPr>
          <w:rFonts w:ascii="Courier New" w:cs="Courier New" w:eastAsia="Courier New" w:hAnsi="Courier New"/>
          <w:sz w:val="18"/>
          <w:szCs w:val="18"/>
          <w:color w:val="auto"/>
        </w:rPr>
        <w:t>Houston, TX 77002</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2120" w:hanging="1059"/>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First Trust Portfolios L.P.</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First Trust Advisors L.P.</w:t>
      </w:r>
    </w:p>
    <w:p>
      <w:pPr>
        <w:ind w:left="2640"/>
        <w:spacing w:after="0"/>
        <w:rPr>
          <w:sz w:val="20"/>
          <w:szCs w:val="20"/>
          <w:color w:val="auto"/>
        </w:rPr>
      </w:pPr>
      <w:r>
        <w:rPr>
          <w:rFonts w:ascii="Courier New" w:cs="Courier New" w:eastAsia="Courier New" w:hAnsi="Courier New"/>
          <w:sz w:val="18"/>
          <w:szCs w:val="18"/>
          <w:color w:val="auto"/>
        </w:rPr>
        <w:t>The Charger Corporation</w:t>
      </w:r>
    </w:p>
    <w:p>
      <w:pPr>
        <w:sectPr>
          <w:pgSz w:w="11900" w:h="16838" w:orient="portrait"/>
          <w:cols w:equalWidth="0" w:num="1">
            <w:col w:w="10139"/>
          </w:cols>
          <w:pgMar w:left="320" w:top="312" w:right="1440" w:bottom="0" w:gutter="0" w:footer="0" w:header="0"/>
        </w:sectPr>
      </w:pPr>
    </w:p>
    <w:p>
      <w:pPr>
        <w:spacing w:after="0" w:line="372"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Address of Principal Business Office or, if none, Residence</w:t>
      </w:r>
    </w:p>
    <w:p>
      <w:pPr>
        <w:sectPr>
          <w:pgSz w:w="11900" w:h="16838" w:orient="portrait"/>
          <w:cols w:equalWidth="0" w:num="1">
            <w:col w:w="10139"/>
          </w:cols>
          <w:pgMar w:left="320" w:top="312" w:right="1440" w:bottom="0" w:gutter="0" w:footer="0" w:header="0"/>
          <w:type w:val="continuous"/>
        </w:sectPr>
      </w:pPr>
    </w:p>
    <w:bookmarkStart w:id="2" w:name="page3"/>
    <w:bookmarkEnd w:id="2"/>
    <w:p>
      <w:pPr>
        <w:ind w:left="2640"/>
        <w:spacing w:after="0"/>
        <w:rPr>
          <w:sz w:val="20"/>
          <w:szCs w:val="20"/>
          <w:color w:val="auto"/>
        </w:rPr>
      </w:pPr>
      <w:r>
        <w:rPr>
          <w:rFonts w:ascii="Courier New" w:cs="Courier New" w:eastAsia="Courier New" w:hAnsi="Courier New"/>
          <w:sz w:val="18"/>
          <w:szCs w:val="18"/>
          <w:color w:val="auto"/>
        </w:rPr>
        <w:t>First Trust Portfolios L.P.</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120 East Liberty Drive, Suite 400</w:t>
      </w:r>
    </w:p>
    <w:p>
      <w:pPr>
        <w:ind w:left="2640"/>
        <w:spacing w:after="0"/>
        <w:rPr>
          <w:sz w:val="20"/>
          <w:szCs w:val="20"/>
          <w:color w:val="auto"/>
        </w:rPr>
      </w:pPr>
      <w:r>
        <w:rPr>
          <w:rFonts w:ascii="Courier New" w:cs="Courier New" w:eastAsia="Courier New" w:hAnsi="Courier New"/>
          <w:sz w:val="18"/>
          <w:szCs w:val="18"/>
          <w:color w:val="auto"/>
        </w:rPr>
        <w:t>Wheaton, Illinois 60187</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First Trust Advisors L.P.</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120 East Liberty Drive, Suite 400</w:t>
      </w:r>
    </w:p>
    <w:p>
      <w:pPr>
        <w:ind w:left="2640"/>
        <w:spacing w:after="0"/>
        <w:rPr>
          <w:sz w:val="20"/>
          <w:szCs w:val="20"/>
          <w:color w:val="auto"/>
        </w:rPr>
      </w:pPr>
      <w:r>
        <w:rPr>
          <w:rFonts w:ascii="Courier New" w:cs="Courier New" w:eastAsia="Courier New" w:hAnsi="Courier New"/>
          <w:sz w:val="18"/>
          <w:szCs w:val="18"/>
          <w:color w:val="auto"/>
        </w:rPr>
        <w:t>Wheaton, Illinois 60187</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Charger Corporation</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120 East Liberty Drive, Suite 400</w:t>
      </w:r>
    </w:p>
    <w:p>
      <w:pPr>
        <w:ind w:left="2640"/>
        <w:spacing w:after="0"/>
        <w:rPr>
          <w:sz w:val="20"/>
          <w:szCs w:val="20"/>
          <w:color w:val="auto"/>
        </w:rPr>
      </w:pPr>
      <w:r>
        <w:rPr>
          <w:rFonts w:ascii="Courier New" w:cs="Courier New" w:eastAsia="Courier New" w:hAnsi="Courier New"/>
          <w:sz w:val="18"/>
          <w:szCs w:val="18"/>
          <w:color w:val="auto"/>
        </w:rPr>
        <w:t>Wheaton, Illinois 60187</w:t>
      </w:r>
    </w:p>
    <w:p>
      <w:pPr>
        <w:spacing w:after="0" w:line="372" w:lineRule="exact"/>
        <w:rPr>
          <w:sz w:val="20"/>
          <w:szCs w:val="20"/>
          <w:color w:val="auto"/>
        </w:rPr>
      </w:pPr>
    </w:p>
    <w:p>
      <w:pPr>
        <w:ind w:left="2120" w:right="4119" w:hanging="1059"/>
        <w:spacing w:after="0" w:line="585" w:lineRule="auto"/>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of each Reporting Person: Illinois, U.S.A.</w:t>
      </w:r>
    </w:p>
    <w:p>
      <w:pPr>
        <w:spacing w:after="0" w:line="18" w:lineRule="exact"/>
        <w:rPr>
          <w:rFonts w:ascii="Courier New" w:cs="Courier New" w:eastAsia="Courier New" w:hAnsi="Courier New"/>
          <w:sz w:val="18"/>
          <w:szCs w:val="18"/>
          <w:color w:val="auto"/>
        </w:rPr>
      </w:pPr>
    </w:p>
    <w:p>
      <w:pPr>
        <w:ind w:left="2120" w:right="5079" w:hanging="1059"/>
        <w:spacing w:after="0" w:line="585" w:lineRule="auto"/>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8"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72651A207</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120" w:hanging="216"/>
        <w:spacing w:after="0"/>
        <w:tabs>
          <w:tab w:leader="none" w:pos="412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 240.13d-1(b) or</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169" w:lineRule="exact"/>
        <w:rPr>
          <w:sz w:val="20"/>
          <w:szCs w:val="20"/>
          <w:color w:val="auto"/>
        </w:rPr>
      </w:pPr>
    </w:p>
    <w:p>
      <w:pPr>
        <w:ind w:left="2120" w:right="2239" w:hanging="1059"/>
        <w:spacing w:after="0" w:line="346" w:lineRule="auto"/>
        <w:tabs>
          <w:tab w:leader="none" w:pos="169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9" w:lineRule="exact"/>
        <w:rPr>
          <w:rFonts w:ascii="Courier New" w:cs="Courier New" w:eastAsia="Courier New" w:hAnsi="Courier New"/>
          <w:sz w:val="18"/>
          <w:szCs w:val="18"/>
          <w:color w:val="auto"/>
        </w:rPr>
      </w:pPr>
    </w:p>
    <w:p>
      <w:pPr>
        <w:ind w:left="2120" w:right="3279" w:hanging="1059"/>
        <w:spacing w:after="0" w:line="346"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Act (15 U.S.C. 78c);</w:t>
      </w:r>
    </w:p>
    <w:p>
      <w:pPr>
        <w:spacing w:after="0" w:line="19" w:lineRule="exact"/>
        <w:rPr>
          <w:rFonts w:ascii="Courier New" w:cs="Courier New" w:eastAsia="Courier New" w:hAnsi="Courier New"/>
          <w:sz w:val="18"/>
          <w:szCs w:val="18"/>
          <w:color w:val="auto"/>
        </w:rPr>
      </w:pPr>
    </w:p>
    <w:p>
      <w:pPr>
        <w:ind w:left="2120" w:right="1819" w:hanging="1059"/>
        <w:spacing w:after="0" w:line="346"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Act (15 U.S.C. 78c);</w:t>
      </w:r>
    </w:p>
    <w:p>
      <w:pPr>
        <w:spacing w:after="0" w:line="19" w:lineRule="exact"/>
        <w:rPr>
          <w:rFonts w:ascii="Courier New" w:cs="Courier New" w:eastAsia="Courier New" w:hAnsi="Courier New"/>
          <w:sz w:val="18"/>
          <w:szCs w:val="18"/>
          <w:color w:val="auto"/>
        </w:rPr>
      </w:pPr>
    </w:p>
    <w:p>
      <w:pPr>
        <w:ind w:left="2120" w:right="2559" w:hanging="1059"/>
        <w:spacing w:after="0" w:line="402" w:lineRule="auto"/>
        <w:tabs>
          <w:tab w:leader="none" w:pos="21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company registered under section 8 of the Investment Company Act of 1940 (15 U.S.C. 80a-8);</w:t>
      </w:r>
    </w:p>
    <w:p>
      <w:pPr>
        <w:ind w:left="1700" w:hanging="639"/>
        <w:spacing w:after="0"/>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spacing w:after="0" w:line="3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Sec. 240.13d-1(b)(1)(ii)(E);</w:t>
      </w:r>
    </w:p>
    <w:p>
      <w:pPr>
        <w:spacing w:after="0" w:line="169" w:lineRule="exact"/>
        <w:rPr>
          <w:sz w:val="20"/>
          <w:szCs w:val="20"/>
          <w:color w:val="auto"/>
        </w:rPr>
      </w:pPr>
    </w:p>
    <w:p>
      <w:pPr>
        <w:ind w:left="2120" w:right="2019" w:hanging="1059"/>
        <w:spacing w:after="0" w:line="346"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plant or endowment fund in accordance with Sec. 240.13d-1(b)(1)(ii)(F);</w:t>
      </w:r>
    </w:p>
    <w:p>
      <w:pPr>
        <w:spacing w:after="0" w:line="19" w:lineRule="exact"/>
        <w:rPr>
          <w:rFonts w:ascii="Courier New" w:cs="Courier New" w:eastAsia="Courier New" w:hAnsi="Courier New"/>
          <w:sz w:val="18"/>
          <w:szCs w:val="18"/>
          <w:color w:val="auto"/>
        </w:rPr>
      </w:pPr>
    </w:p>
    <w:p>
      <w:pPr>
        <w:ind w:left="2120" w:right="2119" w:hanging="1059"/>
        <w:spacing w:after="0" w:line="346" w:lineRule="auto"/>
        <w:tabs>
          <w:tab w:leader="none" w:pos="169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 240.13d-1(b)(1)(ii)(G);</w:t>
      </w:r>
    </w:p>
    <w:p>
      <w:pPr>
        <w:spacing w:after="0" w:line="19" w:lineRule="exact"/>
        <w:rPr>
          <w:rFonts w:ascii="Courier New" w:cs="Courier New" w:eastAsia="Courier New" w:hAnsi="Courier New"/>
          <w:sz w:val="18"/>
          <w:szCs w:val="18"/>
          <w:color w:val="auto"/>
        </w:rPr>
      </w:pPr>
    </w:p>
    <w:p>
      <w:pPr>
        <w:ind w:left="2120" w:right="2119" w:hanging="1059"/>
        <w:spacing w:after="0" w:line="346"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2120" w:right="1819" w:hanging="1059"/>
        <w:spacing w:after="0" w:line="292"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65" w:lineRule="exact"/>
        <w:rPr>
          <w:rFonts w:ascii="Courier New" w:cs="Courier New" w:eastAsia="Courier New" w:hAnsi="Courier New"/>
          <w:sz w:val="18"/>
          <w:szCs w:val="18"/>
          <w:color w:val="auto"/>
        </w:rPr>
      </w:pPr>
    </w:p>
    <w:p>
      <w:pPr>
        <w:ind w:left="2120" w:right="3699" w:hanging="1059"/>
        <w:spacing w:after="0" w:line="346"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non-U.S. institution in accordance with Sec. 240.13d-1(b)(1)(ii)(J);</w:t>
      </w:r>
    </w:p>
    <w:p>
      <w:pPr>
        <w:spacing w:after="0" w:line="19"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Sec. 240.13d-1(b)1(ii)(K).</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filing as a non-U.S. institution in accordance with Sec.</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204.13d-1(b)(1)(ii)(J), please specify the type</w:t>
      </w:r>
    </w:p>
    <w:p>
      <w:pPr>
        <w:ind w:left="1060"/>
        <w:spacing w:after="0"/>
        <w:rPr>
          <w:sz w:val="20"/>
          <w:szCs w:val="20"/>
          <w:color w:val="auto"/>
        </w:rPr>
      </w:pPr>
      <w:r>
        <w:rPr>
          <w:rFonts w:ascii="Courier New" w:cs="Courier New" w:eastAsia="Courier New" w:hAnsi="Courier New"/>
          <w:sz w:val="18"/>
          <w:szCs w:val="18"/>
          <w:color w:val="auto"/>
        </w:rPr>
        <w:t>of institution: _____________________________________________</w:t>
      </w:r>
    </w:p>
    <w:p>
      <w:pPr>
        <w:spacing w:after="0" w:line="200" w:lineRule="exact"/>
        <w:rPr>
          <w:sz w:val="20"/>
          <w:szCs w:val="20"/>
          <w:color w:val="auto"/>
        </w:rPr>
      </w:pPr>
    </w:p>
    <w:p>
      <w:pPr>
        <w:spacing w:after="0" w:line="37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060" w:right="1919"/>
        <w:spacing w:after="0" w:line="292"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66" w:lineRule="exact"/>
        <w:rPr>
          <w:sz w:val="20"/>
          <w:szCs w:val="20"/>
          <w:color w:val="auto"/>
        </w:rPr>
      </w:pPr>
    </w:p>
    <w:p>
      <w:pPr>
        <w:ind w:left="1700" w:hanging="639"/>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10,356,813</w:t>
      </w:r>
    </w:p>
    <w:p>
      <w:pPr>
        <w:spacing w:after="0" w:line="201" w:lineRule="exact"/>
        <w:rPr>
          <w:sz w:val="20"/>
          <w:szCs w:val="20"/>
          <w:color w:val="auto"/>
        </w:rPr>
      </w:pPr>
    </w:p>
    <w:p>
      <w:pPr>
        <w:ind w:left="1060"/>
        <w:spacing w:after="0"/>
        <w:tabs>
          <w:tab w:leader="none" w:pos="1680" w:val="left"/>
          <w:tab w:leader="none" w:pos="46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5.27%</w:t>
      </w:r>
    </w:p>
    <w:p>
      <w:pPr>
        <w:sectPr>
          <w:pgSz w:w="11900" w:h="16838" w:orient="portrait"/>
          <w:cols w:equalWidth="0" w:num="1">
            <w:col w:w="10139"/>
          </w:cols>
          <w:pgMar w:left="320" w:top="110" w:right="1440" w:bottom="0" w:gutter="0" w:footer="0" w:header="0"/>
        </w:sectPr>
      </w:pPr>
    </w:p>
    <w:bookmarkStart w:id="3" w:name="page4"/>
    <w:bookmarkEnd w:id="3"/>
    <w:p>
      <w:pPr>
        <w:ind w:left="1700" w:hanging="639"/>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740" w:hanging="626"/>
        <w:spacing w:after="0"/>
        <w:tabs>
          <w:tab w:leader="none" w:pos="27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201" w:lineRule="exact"/>
        <w:rPr>
          <w:rFonts w:ascii="Courier New" w:cs="Courier New" w:eastAsia="Courier New" w:hAnsi="Courier New"/>
          <w:sz w:val="18"/>
          <w:szCs w:val="18"/>
          <w:color w:val="auto"/>
        </w:rPr>
      </w:pPr>
    </w:p>
    <w:p>
      <w:pPr>
        <w:ind w:left="2740" w:hanging="731"/>
        <w:spacing w:after="0"/>
        <w:tabs>
          <w:tab w:leader="none" w:pos="274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10,344,873</w:t>
      </w:r>
    </w:p>
    <w:p>
      <w:pPr>
        <w:spacing w:after="0" w:line="223" w:lineRule="exact"/>
        <w:rPr>
          <w:rFonts w:ascii="Courier New" w:cs="Courier New" w:eastAsia="Courier New" w:hAnsi="Courier New"/>
          <w:sz w:val="16"/>
          <w:szCs w:val="16"/>
          <w:color w:val="auto"/>
        </w:rPr>
      </w:pPr>
    </w:p>
    <w:p>
      <w:pPr>
        <w:ind w:left="2740" w:right="2119" w:hanging="837"/>
        <w:spacing w:after="0" w:line="476" w:lineRule="auto"/>
        <w:tabs>
          <w:tab w:leader="none" w:pos="27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1" w:lineRule="exact"/>
        <w:rPr>
          <w:rFonts w:ascii="Courier New" w:cs="Courier New" w:eastAsia="Courier New" w:hAnsi="Courier New"/>
          <w:sz w:val="18"/>
          <w:szCs w:val="18"/>
          <w:color w:val="auto"/>
        </w:rPr>
      </w:pPr>
    </w:p>
    <w:p>
      <w:pPr>
        <w:ind w:left="2740" w:right="1919" w:hanging="731"/>
        <w:spacing w:after="0" w:line="585" w:lineRule="auto"/>
        <w:tabs>
          <w:tab w:leader="none" w:pos="27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10,356,813</w:t>
      </w:r>
    </w:p>
    <w:p>
      <w:pPr>
        <w:spacing w:after="0" w:line="18" w:lineRule="exact"/>
        <w:rPr>
          <w:rFonts w:ascii="Courier New" w:cs="Courier New" w:eastAsia="Courier New" w:hAnsi="Courier New"/>
          <w:sz w:val="18"/>
          <w:szCs w:val="18"/>
          <w:color w:val="auto"/>
        </w:rPr>
      </w:pPr>
    </w:p>
    <w:p>
      <w:pPr>
        <w:ind w:left="4120" w:hanging="216"/>
        <w:spacing w:after="0"/>
        <w:tabs>
          <w:tab w:leader="none" w:pos="4120"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4 -</w:t>
      </w:r>
    </w:p>
    <w:p>
      <w:pPr>
        <w:spacing w:after="0" w:line="200" w:lineRule="exact"/>
        <w:rPr>
          <w:sz w:val="20"/>
          <w:szCs w:val="20"/>
          <w:color w:val="auto"/>
        </w:rPr>
      </w:pPr>
    </w:p>
    <w:p>
      <w:pPr>
        <w:spacing w:after="0" w:line="204" w:lineRule="exact"/>
        <w:rPr>
          <w:sz w:val="20"/>
          <w:szCs w:val="20"/>
          <w:color w:val="auto"/>
        </w:rPr>
      </w:pPr>
    </w:p>
    <w:p>
      <w:pPr>
        <w:ind w:left="1480" w:right="1919" w:hanging="1479"/>
        <w:spacing w:after="0" w:line="346" w:lineRule="auto"/>
        <w:tabs>
          <w:tab w:leader="none" w:pos="1460" w:val="left"/>
        </w:tabs>
        <w:rPr>
          <w:sz w:val="20"/>
          <w:szCs w:val="20"/>
          <w:color w:val="auto"/>
        </w:rPr>
      </w:pPr>
      <w:r>
        <w:rPr>
          <w:rFonts w:ascii="Courier New" w:cs="Courier New" w:eastAsia="Courier New" w:hAnsi="Courier New"/>
          <w:sz w:val="18"/>
          <w:szCs w:val="18"/>
          <w:color w:val="auto"/>
        </w:rPr>
        <w:t>Instruction.</w:t>
        <w:tab/>
        <w:t>For computations regarding securities which represent a right to acquire an underlying security see Sec. 204.13d-3(d)(1).</w:t>
      </w:r>
    </w:p>
    <w:p>
      <w:pPr>
        <w:spacing w:after="0" w:line="2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060" w:right="169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8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Instruction:</w:t>
        <w:tab/>
        <w:t>Dissolution of a group requires a response to this item.</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right="2239"/>
        <w:spacing w:after="0" w:line="289" w:lineRule="auto"/>
        <w:rPr>
          <w:sz w:val="20"/>
          <w:szCs w:val="20"/>
          <w:color w:val="auto"/>
        </w:rPr>
      </w:pPr>
      <w:r>
        <w:rPr>
          <w:rFonts w:ascii="Courier New" w:cs="Courier New" w:eastAsia="Courier New" w:hAnsi="Courier New"/>
          <w:sz w:val="16"/>
          <w:szCs w:val="16"/>
          <w:color w:val="auto"/>
        </w:rPr>
        <w:t>This Schedule 13G filing is jointly filed by The Charger Corporation, First Trust Portfolios L.P. and First Trust Advisors L.P. pursuant to Rule</w:t>
      </w:r>
    </w:p>
    <w:p>
      <w:pPr>
        <w:jc w:val="both"/>
        <w:ind w:right="1819"/>
        <w:spacing w:after="0" w:line="268" w:lineRule="auto"/>
        <w:rPr>
          <w:sz w:val="20"/>
          <w:szCs w:val="20"/>
          <w:color w:val="auto"/>
        </w:rPr>
      </w:pPr>
      <w:r>
        <w:rPr>
          <w:rFonts w:ascii="Courier New" w:cs="Courier New" w:eastAsia="Courier New" w:hAnsi="Courier New"/>
          <w:sz w:val="16"/>
          <w:szCs w:val="16"/>
          <w:color w:val="auto"/>
        </w:rPr>
        <w:t>13d-1(k)(1). The Charger Corporation is the General Partner of both First Trust Portfolios L.P. and First Trust Advisors L.P. First Trust Portfolios L.P. acts as sponsor of certain unit investment trusts which hold shares of the issuer.</w:t>
      </w:r>
    </w:p>
    <w:p>
      <w:pPr>
        <w:ind w:right="1699"/>
        <w:spacing w:after="0" w:line="270" w:lineRule="auto"/>
        <w:rPr>
          <w:sz w:val="20"/>
          <w:szCs w:val="20"/>
          <w:color w:val="auto"/>
        </w:rPr>
      </w:pPr>
      <w:r>
        <w:rPr>
          <w:rFonts w:ascii="Courier New" w:cs="Courier New" w:eastAsia="Courier New" w:hAnsi="Courier New"/>
          <w:sz w:val="16"/>
          <w:szCs w:val="16"/>
          <w:color w:val="auto"/>
        </w:rPr>
        <w:t>The total number of shares of the issuer held by these unit investment trusts is set forth in Row (8) above with respect to First Trust Portfolios L.P. No individual unit investment trust sponsored by First Trust Portfolios L.P. holds more than 3% of any registered investment company issuer's shares. First Trust Advisors L.P., an affiliate of First Trust Portfolios L.P., acts as portfolio supervisor of the unit investment trusts sponsored by First Trust Portfolios L.P., certain of which hold shares of the issuer. Neither First Trust Portfolios L.P., First Trust Advisors L.P. nor The Charger Corporation have the power to vote the shares of the issuer held by these unit investment trusts sponsored by First Trust Portfolios L.P. These shares are voted by the trustee of such unit investment trusts so as to insure that the shares are ordinarily voted as closely as possible in the same manner and in the same general proportion as are the shares held by owners other than such unit investment trusts. Subject to the requirements of Rule 12d1-4 under the Investment Company Act</w:t>
      </w:r>
    </w:p>
    <w:p>
      <w:pPr>
        <w:spacing w:after="0" w:line="184" w:lineRule="exact"/>
        <w:rPr>
          <w:sz w:val="20"/>
          <w:szCs w:val="20"/>
          <w:color w:val="auto"/>
        </w:rPr>
      </w:pPr>
    </w:p>
    <w:p>
      <w:pPr>
        <w:ind w:right="1919"/>
        <w:spacing w:after="0" w:line="271" w:lineRule="auto"/>
        <w:rPr>
          <w:sz w:val="20"/>
          <w:szCs w:val="20"/>
          <w:color w:val="auto"/>
        </w:rPr>
      </w:pPr>
      <w:r>
        <w:rPr>
          <w:rFonts w:ascii="Courier New" w:cs="Courier New" w:eastAsia="Courier New" w:hAnsi="Courier New"/>
          <w:sz w:val="16"/>
          <w:szCs w:val="16"/>
          <w:color w:val="auto"/>
        </w:rPr>
        <w:t>of 1940 and as further explained in the Standard Terms and Conditions of Trust and related Trust Agreements of the unit investment trusts, First Trust Portfolios L.P., on behalf of the unit investment trusts, may enter into an agreement with a deposited fund which may permit the shares of such fund to be voted in the best interest of unit holders at the discretion of First Trust Portfolios L.P. The difference, if any, between the aggregate amount of shares beneficially owned by each reporting person, as set forth in Row (9) above, and the number of shares of the issuer held by the unit investment trusts sponsored by First Trust Portfolios L.P. represents shares of the issuer which are either held in other registered investment companies, pooled investment vehicles and/or separately managed accounts for which First</w:t>
      </w:r>
    </w:p>
    <w:p>
      <w:pPr>
        <w:spacing w:after="0" w:line="181" w:lineRule="exact"/>
        <w:rPr>
          <w:sz w:val="20"/>
          <w:szCs w:val="20"/>
          <w:color w:val="auto"/>
        </w:rPr>
      </w:pPr>
    </w:p>
    <w:p>
      <w:pPr>
        <w:ind w:right="1819"/>
        <w:spacing w:after="0" w:line="261" w:lineRule="auto"/>
        <w:rPr>
          <w:sz w:val="20"/>
          <w:szCs w:val="20"/>
          <w:color w:val="auto"/>
        </w:rPr>
      </w:pPr>
      <w:r>
        <w:rPr>
          <w:rFonts w:ascii="Courier New" w:cs="Courier New" w:eastAsia="Courier New" w:hAnsi="Courier New"/>
          <w:sz w:val="18"/>
          <w:szCs w:val="18"/>
          <w:color w:val="auto"/>
        </w:rPr>
        <w:t>Trust Advisors L.P. serves as investment advisor and/or investment sub-advisor. Each of First Trust Portfolios L.P., First Trust Advisors L.P. and The Charger Corporation disclaims beneficial ownership of the shares of the issuer identified in this filing.</w:t>
      </w:r>
    </w:p>
    <w:p>
      <w:pPr>
        <w:spacing w:after="0" w:line="200" w:lineRule="exact"/>
        <w:rPr>
          <w:sz w:val="20"/>
          <w:szCs w:val="20"/>
          <w:color w:val="auto"/>
        </w:rPr>
      </w:pPr>
    </w:p>
    <w:p>
      <w:pPr>
        <w:spacing w:after="0" w:line="298" w:lineRule="exact"/>
        <w:rPr>
          <w:sz w:val="20"/>
          <w:szCs w:val="20"/>
          <w:color w:val="auto"/>
        </w:rPr>
      </w:pPr>
    </w:p>
    <w:p>
      <w:pPr>
        <w:ind w:left="1060" w:right="2119" w:hanging="1052"/>
        <w:spacing w:after="0" w:line="292"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6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Item 6.</w:t>
      </w:r>
    </w:p>
    <w:p>
      <w:pPr>
        <w:sectPr>
          <w:pgSz w:w="11900" w:h="16838" w:orient="portrait"/>
          <w:cols w:equalWidth="0" w:num="1">
            <w:col w:w="10139"/>
          </w:cols>
          <w:pgMar w:left="320" w:top="3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ectPr>
          <w:pgSz w:w="11900" w:h="16838" w:orient="portrait"/>
          <w:cols w:equalWidth="0" w:num="1">
            <w:col w:w="10139"/>
          </w:cols>
          <w:pgMar w:left="320" w:top="312" w:right="1440" w:bottom="0" w:gutter="0" w:footer="0" w:header="0"/>
          <w:type w:val="continuous"/>
        </w:sectPr>
      </w:pPr>
    </w:p>
    <w:bookmarkStart w:id="4" w:name="page5"/>
    <w:bookmarkEnd w:id="4"/>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1" w:lineRule="exact"/>
        <w:rPr>
          <w:sz w:val="20"/>
          <w:szCs w:val="20"/>
          <w:color w:val="auto"/>
        </w:rPr>
      </w:pPr>
    </w:p>
    <w:p>
      <w:pPr>
        <w:ind w:right="2019" w:firstLine="526"/>
        <w:spacing w:after="0" w:line="24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issuer of the securities and were not acquired and are not held</w:t>
      </w:r>
    </w:p>
    <w:p>
      <w:pPr>
        <w:spacing w:after="0" w:line="238" w:lineRule="auto"/>
        <w:rPr>
          <w:sz w:val="20"/>
          <w:szCs w:val="20"/>
          <w:color w:val="auto"/>
        </w:rPr>
      </w:pPr>
      <w:r>
        <w:rPr>
          <w:rFonts w:ascii="Courier New" w:cs="Courier New" w:eastAsia="Courier New" w:hAnsi="Courier New"/>
          <w:sz w:val="18"/>
          <w:szCs w:val="18"/>
          <w:color w:val="auto"/>
        </w:rPr>
        <w:t>in connection with or as a participant in any transaction having that</w:t>
      </w:r>
    </w:p>
    <w:p>
      <w:pPr>
        <w:spacing w:after="0"/>
        <w:rPr>
          <w:sz w:val="20"/>
          <w:szCs w:val="20"/>
          <w:color w:val="auto"/>
        </w:rPr>
      </w:pPr>
      <w:r>
        <w:rPr>
          <w:rFonts w:ascii="Courier New" w:cs="Courier New" w:eastAsia="Courier New" w:hAnsi="Courier New"/>
          <w:sz w:val="16"/>
          <w:szCs w:val="16"/>
          <w:color w:val="auto"/>
        </w:rPr>
        <w:t>purpose or effect other than activities solely in connection with a nomination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 Sec. 240.14a-11.</w:t>
      </w:r>
    </w:p>
    <w:p>
      <w:pPr>
        <w:spacing w:after="0" w:line="200" w:lineRule="exact"/>
        <w:rPr>
          <w:sz w:val="20"/>
          <w:szCs w:val="20"/>
          <w:color w:val="auto"/>
        </w:rPr>
      </w:pPr>
    </w:p>
    <w:p>
      <w:pPr>
        <w:spacing w:after="0" w:line="374"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2239" w:firstLine="526"/>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FIRST TRUST PORTFOLIOS L.P.,</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FIRST TRUST ADVISORS L.P. and</w:t>
      </w:r>
    </w:p>
    <w:p>
      <w:pPr>
        <w:ind w:left="3580"/>
        <w:spacing w:after="0" w:line="238" w:lineRule="auto"/>
        <w:rPr>
          <w:sz w:val="20"/>
          <w:szCs w:val="20"/>
          <w:color w:val="auto"/>
        </w:rPr>
      </w:pPr>
      <w:r>
        <w:rPr>
          <w:rFonts w:ascii="Courier New" w:cs="Courier New" w:eastAsia="Courier New" w:hAnsi="Courier New"/>
          <w:sz w:val="18"/>
          <w:szCs w:val="18"/>
          <w:color w:val="auto"/>
        </w:rPr>
        <w:t>THE CHARGER CORPORATION</w:t>
      </w:r>
    </w:p>
    <w:p>
      <w:pPr>
        <w:ind w:left="3580"/>
        <w:spacing w:after="0"/>
        <w:rPr>
          <w:sz w:val="20"/>
          <w:szCs w:val="20"/>
          <w:color w:val="auto"/>
        </w:rPr>
      </w:pPr>
      <w:r>
        <w:rPr>
          <w:rFonts w:ascii="Courier New" w:cs="Courier New" w:eastAsia="Courier New" w:hAnsi="Courier New"/>
          <w:sz w:val="18"/>
          <w:szCs w:val="18"/>
          <w:color w:val="auto"/>
        </w:rPr>
        <w:t>Date: January 10, 2024</w:t>
      </w:r>
    </w:p>
    <w:p>
      <w:pPr>
        <w:spacing w:after="0" w:line="37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James M. Dykas</w:t>
      </w:r>
    </w:p>
    <w:p>
      <w:pPr>
        <w:spacing w:after="0" w:line="29"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Name:</w:t>
        <w:tab/>
        <w:t>James M. Dykas</w:t>
      </w:r>
    </w:p>
    <w:p>
      <w:pPr>
        <w:ind w:left="3580"/>
        <w:spacing w:after="0" w:line="238" w:lineRule="auto"/>
        <w:rPr>
          <w:sz w:val="20"/>
          <w:szCs w:val="20"/>
          <w:color w:val="auto"/>
        </w:rPr>
      </w:pPr>
      <w:r>
        <w:rPr>
          <w:rFonts w:ascii="Courier New" w:cs="Courier New" w:eastAsia="Courier New" w:hAnsi="Courier New"/>
          <w:sz w:val="18"/>
          <w:szCs w:val="18"/>
          <w:color w:val="auto"/>
        </w:rPr>
        <w:t>Title: Chief Financial Officer of</w:t>
      </w:r>
    </w:p>
    <w:p>
      <w:pPr>
        <w:ind w:left="4320"/>
        <w:spacing w:after="0"/>
        <w:rPr>
          <w:sz w:val="20"/>
          <w:szCs w:val="20"/>
          <w:color w:val="auto"/>
        </w:rPr>
      </w:pPr>
      <w:r>
        <w:rPr>
          <w:rFonts w:ascii="Courier New" w:cs="Courier New" w:eastAsia="Courier New" w:hAnsi="Courier New"/>
          <w:sz w:val="18"/>
          <w:szCs w:val="18"/>
          <w:color w:val="auto"/>
        </w:rPr>
        <w:t>First Trust Portfolios L.P. and</w:t>
      </w:r>
    </w:p>
    <w:p>
      <w:pPr>
        <w:ind w:left="4320"/>
        <w:spacing w:after="0" w:line="238" w:lineRule="auto"/>
        <w:rPr>
          <w:sz w:val="20"/>
          <w:szCs w:val="20"/>
          <w:color w:val="auto"/>
        </w:rPr>
      </w:pPr>
      <w:r>
        <w:rPr>
          <w:rFonts w:ascii="Courier New" w:cs="Courier New" w:eastAsia="Courier New" w:hAnsi="Courier New"/>
          <w:sz w:val="18"/>
          <w:szCs w:val="18"/>
          <w:color w:val="auto"/>
        </w:rPr>
        <w:t>First Trust Advisors L.P., and</w:t>
      </w:r>
    </w:p>
    <w:p>
      <w:pPr>
        <w:ind w:left="4320"/>
        <w:spacing w:after="0" w:line="238" w:lineRule="auto"/>
        <w:rPr>
          <w:sz w:val="20"/>
          <w:szCs w:val="20"/>
          <w:color w:val="auto"/>
        </w:rPr>
      </w:pPr>
      <w:r>
        <w:rPr>
          <w:rFonts w:ascii="Courier New" w:cs="Courier New" w:eastAsia="Courier New" w:hAnsi="Courier New"/>
          <w:sz w:val="18"/>
          <w:szCs w:val="18"/>
          <w:color w:val="auto"/>
        </w:rPr>
        <w:t>Chief Financial Officer and</w:t>
      </w:r>
    </w:p>
    <w:p>
      <w:pPr>
        <w:ind w:left="4320"/>
        <w:spacing w:after="0"/>
        <w:rPr>
          <w:sz w:val="20"/>
          <w:szCs w:val="20"/>
          <w:color w:val="auto"/>
        </w:rPr>
      </w:pPr>
      <w:r>
        <w:rPr>
          <w:rFonts w:ascii="Courier New" w:cs="Courier New" w:eastAsia="Courier New" w:hAnsi="Courier New"/>
          <w:sz w:val="18"/>
          <w:szCs w:val="18"/>
          <w:color w:val="auto"/>
        </w:rPr>
        <w:t>Treasurer of The Charger</w:t>
      </w:r>
    </w:p>
    <w:p>
      <w:pPr>
        <w:ind w:left="4320"/>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10139"/>
          </w:cols>
          <w:pgMar w:left="320" w:top="312" w:right="1440" w:bottom="1440" w:gutter="0" w:footer="0" w:header="0"/>
        </w:sectPr>
      </w:pPr>
    </w:p>
    <w:bookmarkStart w:id="5" w:name="page6"/>
    <w:bookmarkEnd w:id="5"/>
    <w:p>
      <w:pPr>
        <w:jc w:val="right"/>
        <w:ind w:right="169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EXHIBIT 99.1 - JOINT FILING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1699"/>
        <w:spacing w:after="0" w:line="256" w:lineRule="auto"/>
        <w:rPr>
          <w:sz w:val="20"/>
          <w:szCs w:val="20"/>
          <w:color w:val="auto"/>
        </w:rPr>
      </w:pPr>
      <w:r>
        <w:rPr>
          <w:rFonts w:ascii="Courier New" w:cs="Courier New" w:eastAsia="Courier New" w:hAnsi="Courier New"/>
          <w:sz w:val="18"/>
          <w:szCs w:val="18"/>
          <w:color w:val="auto"/>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97" w:lineRule="exact"/>
        <w:rPr>
          <w:sz w:val="20"/>
          <w:szCs w:val="20"/>
          <w:color w:val="auto"/>
        </w:rPr>
      </w:pPr>
    </w:p>
    <w:p>
      <w:pPr>
        <w:jc w:val="both"/>
        <w:ind w:right="1699"/>
        <w:spacing w:after="0" w:line="256" w:lineRule="auto"/>
        <w:rPr>
          <w:sz w:val="20"/>
          <w:szCs w:val="20"/>
          <w:color w:val="auto"/>
        </w:rPr>
      </w:pPr>
      <w:r>
        <w:rPr>
          <w:rFonts w:ascii="Courier New" w:cs="Courier New" w:eastAsia="Courier New" w:hAnsi="Courier New"/>
          <w:sz w:val="18"/>
          <w:szCs w:val="18"/>
          <w:color w:val="auto"/>
        </w:rPr>
        <w:t>In accordance with Rule 13d-1(k)(1) promulgated under the Securities and Exchange Act of 1934, as amended, the undersigned hereby agree to the joint filing with each other on behalf of each of them of such a statement on Schedule 13G and any amendments thereto with respect to the equity securities (as defined in Rule 13d-1(i)) of the issuer, beneficially owned by each of them. This Joint Filing Agreement shall be included as an exhibit to such Schedule 13G and any amendments thereto.</w:t>
      </w:r>
    </w:p>
    <w:p>
      <w:pPr>
        <w:spacing w:after="0" w:line="3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January 10, 2024</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First Trust Portfolios L.P.,</w:t>
      </w:r>
    </w:p>
    <w:p>
      <w:pPr>
        <w:spacing w:after="0" w:line="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First Trust Advisors L.P. and</w:t>
      </w:r>
    </w:p>
    <w:p>
      <w:pPr>
        <w:ind w:left="3800"/>
        <w:spacing w:after="0"/>
        <w:rPr>
          <w:sz w:val="20"/>
          <w:szCs w:val="20"/>
          <w:color w:val="auto"/>
        </w:rPr>
      </w:pPr>
      <w:r>
        <w:rPr>
          <w:rFonts w:ascii="Courier New" w:cs="Courier New" w:eastAsia="Courier New" w:hAnsi="Courier New"/>
          <w:sz w:val="18"/>
          <w:szCs w:val="18"/>
          <w:color w:val="auto"/>
        </w:rPr>
        <w:t>The Charger Corporation</w:t>
      </w:r>
    </w:p>
    <w:p>
      <w:pPr>
        <w:spacing w:after="0" w:line="169"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By: /s/ James M. Dykas</w:t>
      </w:r>
    </w:p>
    <w:p>
      <w:pPr>
        <w:spacing w:after="0" w:line="2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t>
      </w:r>
    </w:p>
    <w:p>
      <w:pPr>
        <w:ind w:left="3800"/>
        <w:spacing w:after="0" w:line="238" w:lineRule="auto"/>
        <w:tabs>
          <w:tab w:leader="none" w:pos="4520" w:val="left"/>
        </w:tabs>
        <w:rPr>
          <w:sz w:val="20"/>
          <w:szCs w:val="20"/>
          <w:color w:val="auto"/>
        </w:rPr>
      </w:pPr>
      <w:r>
        <w:rPr>
          <w:rFonts w:ascii="Courier New" w:cs="Courier New" w:eastAsia="Courier New" w:hAnsi="Courier New"/>
          <w:sz w:val="18"/>
          <w:szCs w:val="18"/>
          <w:color w:val="auto"/>
        </w:rPr>
        <w:t>Name:</w:t>
        <w:tab/>
        <w:t>James M. Dykas</w:t>
      </w:r>
    </w:p>
    <w:p>
      <w:pPr>
        <w:ind w:left="3800"/>
        <w:spacing w:after="0" w:line="238" w:lineRule="auto"/>
        <w:rPr>
          <w:sz w:val="20"/>
          <w:szCs w:val="20"/>
          <w:color w:val="auto"/>
        </w:rPr>
      </w:pPr>
      <w:r>
        <w:rPr>
          <w:rFonts w:ascii="Courier New" w:cs="Courier New" w:eastAsia="Courier New" w:hAnsi="Courier New"/>
          <w:sz w:val="18"/>
          <w:szCs w:val="18"/>
          <w:color w:val="auto"/>
        </w:rPr>
        <w:t>Title: Chief Financial Officer of</w:t>
      </w:r>
    </w:p>
    <w:p>
      <w:pPr>
        <w:ind w:left="4540"/>
        <w:spacing w:after="0"/>
        <w:rPr>
          <w:sz w:val="20"/>
          <w:szCs w:val="20"/>
          <w:color w:val="auto"/>
        </w:rPr>
      </w:pPr>
      <w:r>
        <w:rPr>
          <w:rFonts w:ascii="Courier New" w:cs="Courier New" w:eastAsia="Courier New" w:hAnsi="Courier New"/>
          <w:sz w:val="18"/>
          <w:szCs w:val="18"/>
          <w:color w:val="auto"/>
        </w:rPr>
        <w:t>First Trust Portfolios L.P. and</w:t>
      </w:r>
    </w:p>
    <w:p>
      <w:pPr>
        <w:ind w:left="4540"/>
        <w:spacing w:after="0" w:line="238" w:lineRule="auto"/>
        <w:rPr>
          <w:sz w:val="20"/>
          <w:szCs w:val="20"/>
          <w:color w:val="auto"/>
        </w:rPr>
      </w:pPr>
      <w:r>
        <w:rPr>
          <w:rFonts w:ascii="Courier New" w:cs="Courier New" w:eastAsia="Courier New" w:hAnsi="Courier New"/>
          <w:sz w:val="18"/>
          <w:szCs w:val="18"/>
          <w:color w:val="auto"/>
        </w:rPr>
        <w:t>First Trust Advisors L.P., and</w:t>
      </w:r>
    </w:p>
    <w:p>
      <w:pPr>
        <w:ind w:left="4540"/>
        <w:spacing w:after="0" w:line="238" w:lineRule="auto"/>
        <w:rPr>
          <w:sz w:val="20"/>
          <w:szCs w:val="20"/>
          <w:color w:val="auto"/>
        </w:rPr>
      </w:pPr>
      <w:r>
        <w:rPr>
          <w:rFonts w:ascii="Courier New" w:cs="Courier New" w:eastAsia="Courier New" w:hAnsi="Courier New"/>
          <w:sz w:val="18"/>
          <w:szCs w:val="18"/>
          <w:color w:val="auto"/>
        </w:rPr>
        <w:t>Chief Financial Officer and</w:t>
      </w:r>
    </w:p>
    <w:p>
      <w:pPr>
        <w:ind w:left="4540"/>
        <w:spacing w:after="0"/>
        <w:rPr>
          <w:sz w:val="20"/>
          <w:szCs w:val="20"/>
          <w:color w:val="auto"/>
        </w:rPr>
      </w:pPr>
      <w:r>
        <w:rPr>
          <w:rFonts w:ascii="Courier New" w:cs="Courier New" w:eastAsia="Courier New" w:hAnsi="Courier New"/>
          <w:sz w:val="18"/>
          <w:szCs w:val="18"/>
          <w:color w:val="auto"/>
        </w:rPr>
        <w:t>Treasurer of The Charger</w:t>
      </w:r>
    </w:p>
    <w:p>
      <w:pPr>
        <w:ind w:left="4540"/>
        <w:spacing w:after="0"/>
        <w:rPr>
          <w:sz w:val="20"/>
          <w:szCs w:val="20"/>
          <w:color w:val="auto"/>
        </w:rPr>
      </w:pPr>
      <w:r>
        <w:rPr>
          <w:rFonts w:ascii="Courier New" w:cs="Courier New" w:eastAsia="Courier New" w:hAnsi="Courier New"/>
          <w:sz w:val="18"/>
          <w:szCs w:val="18"/>
          <w:color w:val="auto"/>
        </w:rPr>
        <w:t>Corporation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lvl w:ilvl="1">
      <w:lvlJc w:val="left"/>
      <w:lvlText w:val="(%2)"/>
      <w:numFmt w:val="lowerLetter"/>
      <w:start w:val="1"/>
    </w:lvl>
  </w:abstractNum>
  <w:abstractNum w:abstractNumId="1">
    <w:nsid w:val="3D1B58BA"/>
    <w:multiLevelType w:val="hybridMultilevel"/>
    <w:lvl w:ilvl="0">
      <w:lvlJc w:val="left"/>
      <w:lvlText w:val="%1."/>
      <w:numFmt w:val="decimal"/>
      <w:start w:val="8"/>
    </w:lvl>
    <w:lvl w:ilvl="1">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3"/>
    </w:lvl>
    <w:lvl w:ilvl="1">
      <w:lvlJc w:val="left"/>
      <w:lvlText w:val="-"/>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6"/>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2024-01-10T08:43:09Z</dcterms:created>
  <dcterms:modified xsi:type="dcterms:W3CDTF">2024-01-10T08:43:09Z</dcterms:modified>
</cp:coreProperties>
</file>