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193040</wp:posOffset>
            </wp:positionV>
            <wp:extent cx="6328410"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28410" cy="48831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820" w:right="920"/>
        <w:spacing w:after="0" w:line="250" w:lineRule="auto"/>
        <w:rPr>
          <w:sz w:val="20"/>
          <w:szCs w:val="20"/>
          <w:color w:val="auto"/>
        </w:rPr>
      </w:pPr>
      <w:r>
        <w:rPr>
          <w:rFonts w:ascii="Arial" w:cs="Arial" w:eastAsia="Arial" w:hAnsi="Arial"/>
          <w:sz w:val="14"/>
          <w:szCs w:val="14"/>
          <w:color w:val="E8112D"/>
        </w:rPr>
        <w:t>The information in this preliminary prospectus supplement is not complete and may be changed. This preliminary prospectus supplement and the accompanying prospectus are not an offer to sell nor do they seek an offer to buy these securities in any jurisdiction where the offer or sale is not permitted.</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333-162475</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E8112D"/>
        </w:rPr>
        <w:t>Subject to Completion, dated January 5, 2011</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To prospectus dated October 14,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194310</wp:posOffset>
            </wp:positionV>
            <wp:extent cx="1689735" cy="523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973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59"/>
        <w:spacing w:after="0"/>
        <w:rPr>
          <w:sz w:val="20"/>
          <w:szCs w:val="20"/>
          <w:color w:val="auto"/>
        </w:rPr>
      </w:pPr>
      <w:r>
        <w:rPr>
          <w:rFonts w:ascii="Arial" w:cs="Arial" w:eastAsia="Arial" w:hAnsi="Arial"/>
          <w:sz w:val="54"/>
          <w:szCs w:val="54"/>
          <w:b w:val="1"/>
          <w:bCs w:val="1"/>
          <w:color w:val="auto"/>
        </w:rPr>
        <w:t>Plains All American Pipeline, L.P.</w:t>
      </w:r>
    </w:p>
    <w:p>
      <w:pPr>
        <w:spacing w:after="0" w:line="66" w:lineRule="exact"/>
        <w:rPr>
          <w:sz w:val="20"/>
          <w:szCs w:val="20"/>
          <w:color w:val="auto"/>
        </w:rPr>
      </w:pPr>
    </w:p>
    <w:p>
      <w:pPr>
        <w:jc w:val="center"/>
        <w:ind w:right="-459"/>
        <w:spacing w:after="0"/>
        <w:rPr>
          <w:sz w:val="20"/>
          <w:szCs w:val="20"/>
          <w:color w:val="auto"/>
        </w:rPr>
      </w:pPr>
      <w:r>
        <w:rPr>
          <w:rFonts w:ascii="Arial" w:cs="Arial" w:eastAsia="Arial" w:hAnsi="Arial"/>
          <w:sz w:val="54"/>
          <w:szCs w:val="54"/>
          <w:b w:val="1"/>
          <w:bCs w:val="1"/>
          <w:color w:val="auto"/>
        </w:rPr>
        <w:t>PAA Finance Corp.</w:t>
      </w:r>
    </w:p>
    <w:p>
      <w:pPr>
        <w:ind w:left="5180"/>
        <w:spacing w:after="0" w:line="237" w:lineRule="auto"/>
        <w:rPr>
          <w:sz w:val="20"/>
          <w:szCs w:val="20"/>
          <w:color w:val="auto"/>
        </w:rPr>
      </w:pPr>
      <w:r>
        <w:rPr>
          <w:rFonts w:ascii="Arial" w:cs="Arial" w:eastAsia="Arial" w:hAnsi="Arial"/>
          <w:sz w:val="32"/>
          <w:szCs w:val="32"/>
          <w:b w:val="1"/>
          <w:bCs w:val="1"/>
          <w:color w:val="auto"/>
        </w:rPr>
        <w:t>$</w:t>
      </w:r>
    </w:p>
    <w:p>
      <w:pPr>
        <w:spacing w:after="0" w:line="1" w:lineRule="exact"/>
        <w:rPr>
          <w:sz w:val="20"/>
          <w:szCs w:val="20"/>
          <w:color w:val="auto"/>
        </w:rPr>
      </w:pPr>
    </w:p>
    <w:p>
      <w:pPr>
        <w:ind w:left="4340"/>
        <w:spacing w:after="0"/>
        <w:rPr>
          <w:sz w:val="20"/>
          <w:szCs w:val="20"/>
          <w:color w:val="auto"/>
        </w:rPr>
      </w:pPr>
      <w:r>
        <w:rPr>
          <w:rFonts w:ascii="Arial" w:cs="Arial" w:eastAsia="Arial" w:hAnsi="Arial"/>
          <w:sz w:val="32"/>
          <w:szCs w:val="32"/>
          <w:b w:val="1"/>
          <w:bCs w:val="1"/>
          <w:color w:val="auto"/>
        </w:rPr>
        <w:t>% Senior Notes due</w:t>
      </w:r>
    </w:p>
    <w:p>
      <w:pPr>
        <w:spacing w:after="0" w:line="109" w:lineRule="exact"/>
        <w:rPr>
          <w:sz w:val="20"/>
          <w:szCs w:val="20"/>
          <w:color w:val="auto"/>
        </w:rPr>
      </w:pPr>
    </w:p>
    <w:p>
      <w:pPr>
        <w:ind w:left="780"/>
        <w:spacing w:after="0"/>
        <w:tabs>
          <w:tab w:leader="none" w:pos="6280" w:val="left"/>
          <w:tab w:leader="none" w:pos="8680" w:val="left"/>
          <w:tab w:leader="none" w:pos="10560" w:val="left"/>
        </w:tabs>
        <w:rPr>
          <w:sz w:val="20"/>
          <w:szCs w:val="20"/>
          <w:color w:val="auto"/>
        </w:rPr>
      </w:pPr>
      <w:r>
        <w:rPr>
          <w:rFonts w:ascii="Arial" w:cs="Arial" w:eastAsia="Arial" w:hAnsi="Arial"/>
          <w:sz w:val="18"/>
          <w:szCs w:val="18"/>
          <w:color w:val="auto"/>
        </w:rPr>
        <w:t>Plains All American Pipeline, L.P. and PAA Finance Corp. are offering $</w:t>
        <w:tab/>
        <w:t>aggregate principal amount of</w:t>
        <w:tab/>
        <w:t>% Senior Notes due</w:t>
      </w:r>
      <w:r>
        <w:rPr>
          <w:sz w:val="20"/>
          <w:szCs w:val="20"/>
          <w:color w:val="auto"/>
        </w:rPr>
        <w:tab/>
      </w:r>
      <w:r>
        <w:rPr>
          <w:rFonts w:ascii="Arial" w:cs="Arial" w:eastAsia="Arial" w:hAnsi="Arial"/>
          <w:sz w:val="16"/>
          <w:szCs w:val="16"/>
          <w:color w:val="auto"/>
        </w:rPr>
        <w:t>(the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w:t>
      </w:r>
    </w:p>
    <w:p>
      <w:pPr>
        <w:spacing w:after="0" w:line="116" w:lineRule="exact"/>
        <w:rPr>
          <w:sz w:val="20"/>
          <w:szCs w:val="20"/>
          <w:color w:val="auto"/>
        </w:rPr>
      </w:pPr>
    </w:p>
    <w:p>
      <w:pPr>
        <w:ind w:left="780"/>
        <w:spacing w:after="0"/>
        <w:tabs>
          <w:tab w:leader="none" w:pos="5660" w:val="left"/>
          <w:tab w:leader="none" w:pos="6420" w:val="left"/>
          <w:tab w:leader="none" w:pos="8780" w:val="left"/>
        </w:tabs>
        <w:rPr>
          <w:sz w:val="20"/>
          <w:szCs w:val="20"/>
          <w:color w:val="auto"/>
        </w:rPr>
      </w:pPr>
      <w:r>
        <w:rPr>
          <w:rFonts w:ascii="Arial" w:cs="Arial" w:eastAsia="Arial" w:hAnsi="Arial"/>
          <w:sz w:val="18"/>
          <w:szCs w:val="18"/>
          <w:color w:val="auto"/>
        </w:rPr>
        <w:t>We will pay interest on the Notes semi-annually in arrears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 on</w:t>
      </w:r>
      <w:r>
        <w:rPr>
          <w:sz w:val="20"/>
          <w:szCs w:val="20"/>
          <w:color w:val="auto"/>
        </w:rPr>
        <w:tab/>
      </w:r>
      <w:r>
        <w:rPr>
          <w:rFonts w:ascii="Arial" w:cs="Arial" w:eastAsia="Arial" w:hAnsi="Arial"/>
          <w:sz w:val="16"/>
          <w:szCs w:val="16"/>
          <w:color w:val="auto"/>
        </w:rPr>
        <w:t>, 2011. The Notes will mature</w:t>
      </w:r>
    </w:p>
    <w:p>
      <w:pPr>
        <w:spacing w:after="0" w:line="23"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unless redeemed prior to the maturity date.</w:t>
      </w:r>
    </w:p>
    <w:p>
      <w:pPr>
        <w:spacing w:after="0" w:line="116" w:lineRule="exact"/>
        <w:rPr>
          <w:sz w:val="20"/>
          <w:szCs w:val="20"/>
          <w:color w:val="auto"/>
        </w:rPr>
      </w:pPr>
    </w:p>
    <w:p>
      <w:pPr>
        <w:ind w:left="460" w:right="420" w:firstLine="315"/>
        <w:spacing w:after="0" w:line="277" w:lineRule="auto"/>
        <w:rPr>
          <w:sz w:val="20"/>
          <w:szCs w:val="20"/>
          <w:color w:val="auto"/>
        </w:rPr>
      </w:pPr>
      <w:r>
        <w:rPr>
          <w:rFonts w:ascii="Arial" w:cs="Arial" w:eastAsia="Arial" w:hAnsi="Arial"/>
          <w:sz w:val="18"/>
          <w:szCs w:val="18"/>
          <w:color w:val="auto"/>
        </w:rPr>
        <w:t>We may, at our option, redeem the Notes at any time in whole or from time to time in part, prior to maturity, at the redemption prices as described herein under “Description of Notes — Optional redemption.”</w:t>
      </w:r>
    </w:p>
    <w:p>
      <w:pPr>
        <w:spacing w:after="0" w:line="76" w:lineRule="exact"/>
        <w:rPr>
          <w:sz w:val="20"/>
          <w:szCs w:val="20"/>
          <w:color w:val="auto"/>
        </w:rPr>
      </w:pPr>
    </w:p>
    <w:p>
      <w:pPr>
        <w:ind w:left="460" w:right="40" w:firstLine="315"/>
        <w:spacing w:after="0" w:line="255" w:lineRule="auto"/>
        <w:rPr>
          <w:sz w:val="20"/>
          <w:szCs w:val="20"/>
          <w:color w:val="auto"/>
        </w:rPr>
      </w:pPr>
      <w:r>
        <w:rPr>
          <w:rFonts w:ascii="Arial" w:cs="Arial" w:eastAsia="Arial" w:hAnsi="Arial"/>
          <w:sz w:val="18"/>
          <w:szCs w:val="18"/>
          <w:color w:val="auto"/>
        </w:rPr>
        <w:t>The Notes will be our unsecured senior obligations. Initially, the Notes will be fully and unconditionally guaranteed by all of our existing subsidiaries other than (i) PAA Finance Corp., the co-issuer of the Notes, (ii) PNGS GP LLC, PAA Natural Gas Storage, L.P. and their respective subsidiaries, (iii) subsidiaries regulated by the California Public Utilities Commission and (iv) subsidiaries that are minor. Subsidiaries acquired in the future may or may not become guarantors, but any subsidiary that guarantees other indebtedness of ours or another subsidiary must also guarantee the Notes. The guarantees are also subject to release in certain circumstances. The Notes and the guarantees will rank equally with any other unsecured senior indebtedness of Plains All American Pipeline, L.P., PAA Finance Corp. and the subsidiary guarantors from time to time outstanding.</w:t>
      </w:r>
    </w:p>
    <w:p>
      <w:pPr>
        <w:spacing w:after="0" w:line="82" w:lineRule="exact"/>
        <w:rPr>
          <w:sz w:val="20"/>
          <w:szCs w:val="20"/>
          <w:color w:val="auto"/>
        </w:rPr>
      </w:pPr>
    </w:p>
    <w:p>
      <w:pPr>
        <w:ind w:left="460" w:right="600" w:firstLine="420"/>
        <w:spacing w:after="0" w:line="256" w:lineRule="auto"/>
        <w:rPr>
          <w:sz w:val="20"/>
          <w:szCs w:val="20"/>
          <w:color w:val="auto"/>
        </w:rPr>
      </w:pPr>
      <w:r>
        <w:rPr>
          <w:rFonts w:ascii="Arial" w:cs="Arial" w:eastAsia="Arial" w:hAnsi="Arial"/>
          <w:sz w:val="22"/>
          <w:szCs w:val="22"/>
          <w:b w:val="1"/>
          <w:bCs w:val="1"/>
          <w:color w:val="auto"/>
        </w:rPr>
        <w:t>Investing in the Notes involves risks. See “Risk Factors” on page S-7 of this prospectus supplement and beginning on page 6 of the accompanying prospectus.</w:t>
      </w:r>
    </w:p>
    <w:p>
      <w:pPr>
        <w:spacing w:after="0" w:line="81" w:lineRule="exact"/>
        <w:rPr>
          <w:sz w:val="20"/>
          <w:szCs w:val="20"/>
          <w:color w:val="auto"/>
        </w:rPr>
      </w:pPr>
    </w:p>
    <w:p>
      <w:pPr>
        <w:ind w:left="460" w:right="20" w:firstLine="315"/>
        <w:spacing w:after="0" w:line="26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9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Per Note</w:t>
            </w:r>
          </w:p>
        </w:tc>
        <w:tc>
          <w:tcPr>
            <w:tcW w:w="200" w:type="dxa"/>
            <w:vAlign w:val="bottom"/>
          </w:tcPr>
          <w:p>
            <w:pPr>
              <w:spacing w:after="0"/>
              <w:rPr>
                <w:sz w:val="14"/>
                <w:szCs w:val="14"/>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49"/>
        </w:trPr>
        <w:tc>
          <w:tcPr>
            <w:tcW w:w="8180" w:type="dxa"/>
            <w:vAlign w:val="bottom"/>
            <w:gridSpan w:val="2"/>
          </w:tcPr>
          <w:p>
            <w:pPr>
              <w:spacing w:after="0"/>
              <w:rPr>
                <w:sz w:val="20"/>
                <w:szCs w:val="20"/>
                <w:color w:val="auto"/>
              </w:rPr>
            </w:pPr>
            <w:r>
              <w:rPr>
                <w:rFonts w:ascii="Arial" w:cs="Arial" w:eastAsia="Arial" w:hAnsi="Arial"/>
                <w:sz w:val="18"/>
                <w:szCs w:val="18"/>
                <w:color w:val="auto"/>
              </w:rPr>
              <w:t>Public offering price(1)</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Proceeds, before expenses, to Plains All American Pipeline, L.P.(1)</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r>
      <w:tr>
        <w:trPr>
          <w:trHeight w:val="122"/>
        </w:trPr>
        <w:tc>
          <w:tcPr>
            <w:tcW w:w="1160" w:type="dxa"/>
            <w:vAlign w:val="bottom"/>
            <w:tcBorders>
              <w:bottom w:val="single" w:sz="8" w:color="auto"/>
            </w:tcBorders>
          </w:tcPr>
          <w:p>
            <w:pPr>
              <w:spacing w:after="0"/>
              <w:rPr>
                <w:sz w:val="10"/>
                <w:szCs w:val="10"/>
                <w:color w:val="auto"/>
              </w:rPr>
            </w:pPr>
          </w:p>
        </w:tc>
        <w:tc>
          <w:tcPr>
            <w:tcW w:w="7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277"/>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(1) Plus accrued interest, if any, from January  , 2011 if settlement occurs after that date.</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8"/>
        </w:trPr>
        <w:tc>
          <w:tcPr>
            <w:tcW w:w="8180" w:type="dxa"/>
            <w:vAlign w:val="bottom"/>
            <w:gridSpan w:val="2"/>
          </w:tcPr>
          <w:p>
            <w:pPr>
              <w:ind w:left="320"/>
              <w:spacing w:after="0"/>
              <w:rPr>
                <w:sz w:val="20"/>
                <w:szCs w:val="20"/>
                <w:color w:val="auto"/>
              </w:rPr>
            </w:pPr>
            <w:r>
              <w:rPr>
                <w:rFonts w:ascii="Arial" w:cs="Arial" w:eastAsia="Arial" w:hAnsi="Arial"/>
                <w:sz w:val="18"/>
                <w:szCs w:val="18"/>
                <w:color w:val="auto"/>
                <w:w w:val="93"/>
              </w:rPr>
              <w:t>The Notes will not be listed on any securities exchange. Currently, there is no public market for the Notes.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107" w:lineRule="exact"/>
        <w:rPr>
          <w:sz w:val="20"/>
          <w:szCs w:val="20"/>
          <w:color w:val="auto"/>
        </w:rPr>
      </w:pPr>
    </w:p>
    <w:p>
      <w:pPr>
        <w:ind w:left="460" w:right="80" w:firstLine="315"/>
        <w:spacing w:after="0" w:line="286" w:lineRule="auto"/>
        <w:rPr>
          <w:sz w:val="20"/>
          <w:szCs w:val="20"/>
          <w:color w:val="auto"/>
        </w:rPr>
      </w:pPr>
      <w:r>
        <w:rPr>
          <w:rFonts w:ascii="Arial" w:cs="Arial" w:eastAsia="Arial" w:hAnsi="Arial"/>
          <w:sz w:val="17"/>
          <w:szCs w:val="17"/>
          <w:color w:val="auto"/>
        </w:rPr>
        <w:t>The underwriters expect to deliver the Notes in book-entry form only through facilities of The Depository Trust Company for the account of its participants, including Clearstream Banking, société anonyme, and Euroclear Bank S.A./N.V., as operator of the Euroclear System, against payment in New York, New York on or about January , 2011, the seventh trading day after the date of this prospectus.</w:t>
      </w:r>
    </w:p>
    <w:p>
      <w:pPr>
        <w:spacing w:after="0" w:line="71" w:lineRule="exact"/>
        <w:rPr>
          <w:sz w:val="20"/>
          <w:szCs w:val="20"/>
          <w:color w:val="auto"/>
        </w:rPr>
      </w:pPr>
    </w:p>
    <w:p>
      <w:pPr>
        <w:jc w:val="center"/>
        <w:ind w:right="-459"/>
        <w:spacing w:after="0"/>
        <w:rPr>
          <w:sz w:val="20"/>
          <w:szCs w:val="20"/>
          <w:color w:val="auto"/>
        </w:rPr>
      </w:pPr>
      <w:r>
        <w:rPr>
          <w:rFonts w:ascii="Arial" w:cs="Arial" w:eastAsia="Arial" w:hAnsi="Arial"/>
          <w:sz w:val="18"/>
          <w:szCs w:val="18"/>
          <w:i w:val="1"/>
          <w:iCs w:val="1"/>
          <w:color w:val="auto"/>
        </w:rPr>
        <w:t>Joint Book-Running Managers</w:t>
      </w:r>
    </w:p>
    <w:p>
      <w:pPr>
        <w:spacing w:after="0" w:line="113" w:lineRule="exact"/>
        <w:rPr>
          <w:sz w:val="20"/>
          <w:szCs w:val="20"/>
          <w:color w:val="auto"/>
        </w:rPr>
      </w:pPr>
    </w:p>
    <w:p>
      <w:pPr>
        <w:ind w:left="460"/>
        <w:spacing w:after="0"/>
        <w:tabs>
          <w:tab w:leader="none" w:pos="3860" w:val="left"/>
          <w:tab w:leader="none" w:pos="8180" w:val="left"/>
        </w:tabs>
        <w:rPr>
          <w:sz w:val="20"/>
          <w:szCs w:val="20"/>
          <w:color w:val="auto"/>
        </w:rPr>
      </w:pP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SunTrust Robinson Humphrey</w:t>
      </w:r>
      <w:r>
        <w:rPr>
          <w:sz w:val="20"/>
          <w:szCs w:val="20"/>
          <w:color w:val="auto"/>
        </w:rPr>
        <w:tab/>
      </w:r>
      <w:r>
        <w:rPr>
          <w:rFonts w:ascii="Arial" w:cs="Arial" w:eastAsia="Arial" w:hAnsi="Arial"/>
          <w:sz w:val="25"/>
          <w:szCs w:val="25"/>
          <w:b w:val="1"/>
          <w:bCs w:val="1"/>
          <w:color w:val="auto"/>
        </w:rPr>
        <w:t>Wells Fargo Securities</w:t>
      </w:r>
    </w:p>
    <w:p>
      <w:pPr>
        <w:spacing w:after="0" w:line="126" w:lineRule="exact"/>
        <w:rPr>
          <w:sz w:val="20"/>
          <w:szCs w:val="20"/>
          <w:color w:val="auto"/>
        </w:rPr>
      </w:pPr>
    </w:p>
    <w:p>
      <w:pPr>
        <w:ind w:left="960"/>
        <w:spacing w:after="0"/>
        <w:tabs>
          <w:tab w:leader="none" w:pos="5340" w:val="left"/>
        </w:tabs>
        <w:rPr>
          <w:sz w:val="20"/>
          <w:szCs w:val="20"/>
          <w:color w:val="auto"/>
        </w:rPr>
      </w:pPr>
      <w:r>
        <w:rPr>
          <w:rFonts w:ascii="Arial" w:cs="Arial" w:eastAsia="Arial" w:hAnsi="Arial"/>
          <w:sz w:val="29"/>
          <w:szCs w:val="29"/>
          <w:b w:val="1"/>
          <w:bCs w:val="1"/>
          <w:color w:val="auto"/>
        </w:rPr>
        <w:t>BofA Merrill Lynch</w:t>
      </w:r>
      <w:r>
        <w:rPr>
          <w:sz w:val="20"/>
          <w:szCs w:val="20"/>
          <w:color w:val="auto"/>
        </w:rPr>
        <w:tab/>
      </w:r>
      <w:r>
        <w:rPr>
          <w:rFonts w:ascii="Arial" w:cs="Arial" w:eastAsia="Arial" w:hAnsi="Arial"/>
          <w:sz w:val="27"/>
          <w:szCs w:val="27"/>
          <w:b w:val="1"/>
          <w:bCs w:val="1"/>
          <w:color w:val="auto"/>
        </w:rPr>
        <w:t>DnB NOR Markets</w:t>
      </w:r>
    </w:p>
    <w:p>
      <w:pPr>
        <w:sectPr>
          <w:pgSz w:w="11900" w:h="16838" w:orient="portrait"/>
          <w:cols w:equalWidth="0" w:num="1">
            <w:col w:w="10960"/>
          </w:cols>
          <w:pgMar w:left="240" w:top="122" w:right="699" w:bottom="1440" w:gutter="0" w:footer="0" w:header="0"/>
        </w:sectPr>
      </w:pPr>
    </w:p>
    <w:p>
      <w:pPr>
        <w:spacing w:after="0" w:line="143" w:lineRule="exact"/>
        <w:rPr>
          <w:sz w:val="20"/>
          <w:szCs w:val="20"/>
          <w:color w:val="auto"/>
        </w:rPr>
      </w:pPr>
    </w:p>
    <w:p>
      <w:pPr>
        <w:ind w:left="460"/>
        <w:spacing w:after="0"/>
        <w:tabs>
          <w:tab w:leader="none" w:pos="4160" w:val="left"/>
        </w:tabs>
        <w:rPr>
          <w:sz w:val="20"/>
          <w:szCs w:val="20"/>
          <w:color w:val="auto"/>
        </w:rPr>
      </w:pPr>
      <w:r>
        <w:rPr>
          <w:rFonts w:ascii="Arial" w:cs="Arial" w:eastAsia="Arial" w:hAnsi="Arial"/>
          <w:sz w:val="18"/>
          <w:szCs w:val="18"/>
          <w:color w:val="auto"/>
        </w:rPr>
        <w:t>The date of this prospectus supplement is January</w:t>
      </w:r>
      <w:r>
        <w:rPr>
          <w:sz w:val="20"/>
          <w:szCs w:val="20"/>
          <w:color w:val="auto"/>
        </w:rPr>
        <w:tab/>
      </w:r>
      <w:r>
        <w:rPr>
          <w:rFonts w:ascii="Arial" w:cs="Arial" w:eastAsia="Arial" w:hAnsi="Arial"/>
          <w:sz w:val="16"/>
          <w:szCs w:val="16"/>
          <w:color w:val="auto"/>
        </w:rPr>
        <w: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122" w:right="6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0" w:type="dxa"/>
            <w:vAlign w:val="bottom"/>
            <w:gridSpan w:val="2"/>
          </w:tcPr>
          <w:p>
            <w:pPr>
              <w:jc w:val="right"/>
              <w:ind w:right="3911"/>
              <w:spacing w:after="0"/>
              <w:rPr>
                <w:sz w:val="20"/>
                <w:szCs w:val="20"/>
                <w:color w:val="auto"/>
              </w:rPr>
            </w:pPr>
            <w:r>
              <w:rPr>
                <w:rFonts w:ascii="Arial" w:cs="Arial" w:eastAsia="Arial" w:hAnsi="Arial"/>
                <w:sz w:val="18"/>
                <w:szCs w:val="18"/>
                <w:b w:val="1"/>
                <w:bCs w:val="1"/>
                <w:color w:val="auto"/>
              </w:rPr>
              <w:t>TABLE OF CONTENTS</w:t>
            </w:r>
          </w:p>
        </w:tc>
      </w:tr>
      <w:tr>
        <w:trPr>
          <w:trHeight w:val="338"/>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0" w:type="dxa"/>
            <w:vAlign w:val="bottom"/>
            <w:gridSpan w:val="2"/>
          </w:tcPr>
          <w:p>
            <w:pPr>
              <w:jc w:val="right"/>
              <w:ind w:right="3971"/>
              <w:spacing w:after="0"/>
              <w:rPr>
                <w:sz w:val="20"/>
                <w:szCs w:val="20"/>
                <w:color w:val="auto"/>
              </w:rPr>
            </w:pPr>
            <w:r>
              <w:rPr>
                <w:rFonts w:ascii="Arial" w:cs="Arial" w:eastAsia="Arial" w:hAnsi="Arial"/>
                <w:sz w:val="18"/>
                <w:szCs w:val="18"/>
                <w:b w:val="1"/>
                <w:bCs w:val="1"/>
                <w:color w:val="auto"/>
              </w:rPr>
              <w:t>Prospectus Supplement</w:t>
            </w:r>
          </w:p>
        </w:tc>
      </w:tr>
      <w:tr>
        <w:trPr>
          <w:trHeight w:val="39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r>
      <w:tr>
        <w:trPr>
          <w:trHeight w:val="223"/>
        </w:trPr>
        <w:tc>
          <w:tcPr>
            <w:tcW w:w="352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5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Summary</w:t>
              </w:r>
            </w:hyperlink>
          </w:p>
        </w:tc>
        <w:tc>
          <w:tcPr>
            <w:tcW w:w="1400" w:type="dxa"/>
            <w:vAlign w:val="bottom"/>
            <w:tcBorders>
              <w:top w:val="single" w:sz="8" w:color="0000EE"/>
            </w:tcBorders>
            <w:gridSpan w:val="7"/>
          </w:tcPr>
          <w:p>
            <w:pPr>
              <w:spacing w:after="0"/>
              <w:rPr>
                <w:sz w:val="17"/>
                <w:szCs w:val="17"/>
                <w:color w:val="auto"/>
              </w:rPr>
            </w:pPr>
          </w:p>
        </w:tc>
        <w:tc>
          <w:tcPr>
            <w:tcW w:w="1420" w:type="dxa"/>
            <w:vAlign w:val="bottom"/>
            <w:gridSpan w:val="5"/>
          </w:tcPr>
          <w:p>
            <w:pPr>
              <w:spacing w:after="0"/>
              <w:rPr>
                <w:sz w:val="17"/>
                <w:szCs w:val="17"/>
                <w:color w:val="auto"/>
              </w:rPr>
            </w:pPr>
          </w:p>
        </w:tc>
        <w:tc>
          <w:tcPr>
            <w:tcW w:w="59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9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The Offering</w:t>
              </w:r>
            </w:hyperlink>
          </w:p>
        </w:tc>
        <w:tc>
          <w:tcPr>
            <w:tcW w:w="2580" w:type="dxa"/>
            <w:vAlign w:val="bottom"/>
            <w:gridSpan w:val="10"/>
          </w:tcPr>
          <w:p>
            <w:pPr>
              <w:spacing w:after="0"/>
              <w:rPr>
                <w:sz w:val="17"/>
                <w:szCs w:val="17"/>
                <w:color w:val="auto"/>
              </w:rPr>
            </w:pPr>
          </w:p>
        </w:tc>
        <w:tc>
          <w:tcPr>
            <w:tcW w:w="59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2620" w:type="dxa"/>
            <w:vAlign w:val="bottom"/>
            <w:gridSpan w:val="11"/>
          </w:tcPr>
          <w:p>
            <w:pPr>
              <w:spacing w:after="0"/>
              <w:rPr>
                <w:sz w:val="17"/>
                <w:szCs w:val="17"/>
                <w:color w:val="auto"/>
              </w:rPr>
            </w:pPr>
          </w:p>
        </w:tc>
        <w:tc>
          <w:tcPr>
            <w:tcW w:w="59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3520" w:type="dxa"/>
            <w:vAlign w:val="bottom"/>
            <w:gridSpan w:val="1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59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Ratio of Earnings to Fixed Charges</w:t>
              </w:r>
            </w:hyperlink>
          </w:p>
        </w:tc>
        <w:tc>
          <w:tcPr>
            <w:tcW w:w="980" w:type="dxa"/>
            <w:vAlign w:val="bottom"/>
            <w:gridSpan w:val="3"/>
          </w:tcPr>
          <w:p>
            <w:pPr>
              <w:spacing w:after="0"/>
              <w:rPr>
                <w:sz w:val="17"/>
                <w:szCs w:val="17"/>
                <w:color w:val="auto"/>
              </w:rPr>
            </w:pPr>
          </w:p>
        </w:tc>
        <w:tc>
          <w:tcPr>
            <w:tcW w:w="59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10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Capitalization</w:t>
              </w:r>
            </w:hyperlink>
          </w:p>
        </w:tc>
        <w:tc>
          <w:tcPr>
            <w:tcW w:w="2500" w:type="dxa"/>
            <w:vAlign w:val="bottom"/>
            <w:gridSpan w:val="8"/>
          </w:tcPr>
          <w:p>
            <w:pPr>
              <w:spacing w:after="0"/>
              <w:rPr>
                <w:sz w:val="17"/>
                <w:szCs w:val="17"/>
                <w:color w:val="auto"/>
              </w:rPr>
            </w:pPr>
          </w:p>
        </w:tc>
        <w:tc>
          <w:tcPr>
            <w:tcW w:w="59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196"/>
        </w:trPr>
        <w:tc>
          <w:tcPr>
            <w:tcW w:w="15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Description of Notes</w:t>
              </w:r>
            </w:hyperlink>
          </w:p>
        </w:tc>
        <w:tc>
          <w:tcPr>
            <w:tcW w:w="2020" w:type="dxa"/>
            <w:vAlign w:val="bottom"/>
            <w:gridSpan w:val="6"/>
          </w:tcPr>
          <w:p>
            <w:pPr>
              <w:spacing w:after="0"/>
              <w:rPr>
                <w:sz w:val="17"/>
                <w:szCs w:val="17"/>
                <w:color w:val="auto"/>
              </w:rPr>
            </w:pPr>
          </w:p>
        </w:tc>
        <w:tc>
          <w:tcPr>
            <w:tcW w:w="59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3520" w:type="dxa"/>
            <w:vAlign w:val="bottom"/>
            <w:gridSpan w:val="1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Book Entry, Delivery And Form</w:t>
              </w:r>
            </w:hyperlink>
          </w:p>
        </w:tc>
        <w:tc>
          <w:tcPr>
            <w:tcW w:w="59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S-26</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5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Material U.S. Federal Income Tax Consequences</w:t>
              </w:r>
            </w:hyperlink>
          </w:p>
        </w:tc>
        <w:tc>
          <w:tcPr>
            <w:tcW w:w="59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S-29</w:t>
            </w:r>
          </w:p>
        </w:tc>
      </w:tr>
      <w:tr>
        <w:trPr>
          <w:trHeight w:val="196"/>
        </w:trPr>
        <w:tc>
          <w:tcPr>
            <w:tcW w:w="3520" w:type="dxa"/>
            <w:vAlign w:val="bottom"/>
            <w:gridSpan w:val="1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Underwriting (Conflicts of Interest)</w:t>
              </w:r>
            </w:hyperlink>
          </w:p>
        </w:tc>
        <w:tc>
          <w:tcPr>
            <w:tcW w:w="59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S-33</w:t>
            </w:r>
          </w:p>
        </w:tc>
      </w:tr>
      <w:tr>
        <w:trPr>
          <w:trHeight w:val="196"/>
        </w:trPr>
        <w:tc>
          <w:tcPr>
            <w:tcW w:w="1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Legal Matters</w:t>
              </w:r>
            </w:hyperlink>
          </w:p>
        </w:tc>
        <w:tc>
          <w:tcPr>
            <w:tcW w:w="1560" w:type="dxa"/>
            <w:vAlign w:val="bottom"/>
            <w:tcBorders>
              <w:top w:val="single" w:sz="8" w:color="0000EE"/>
            </w:tcBorders>
            <w:gridSpan w:val="7"/>
          </w:tcPr>
          <w:p>
            <w:pPr>
              <w:spacing w:after="0"/>
              <w:rPr>
                <w:sz w:val="17"/>
                <w:szCs w:val="17"/>
                <w:color w:val="auto"/>
              </w:rPr>
            </w:pPr>
          </w:p>
        </w:tc>
        <w:tc>
          <w:tcPr>
            <w:tcW w:w="960" w:type="dxa"/>
            <w:vAlign w:val="bottom"/>
            <w:gridSpan w:val="2"/>
          </w:tcPr>
          <w:p>
            <w:pPr>
              <w:spacing w:after="0"/>
              <w:rPr>
                <w:sz w:val="17"/>
                <w:szCs w:val="17"/>
                <w:color w:val="auto"/>
              </w:rPr>
            </w:pPr>
          </w:p>
        </w:tc>
        <w:tc>
          <w:tcPr>
            <w:tcW w:w="59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S-36</w:t>
            </w:r>
          </w:p>
        </w:tc>
      </w:tr>
      <w:tr>
        <w:trPr>
          <w:trHeight w:val="196"/>
        </w:trPr>
        <w:tc>
          <w:tcPr>
            <w:tcW w:w="3520" w:type="dxa"/>
            <w:vAlign w:val="bottom"/>
            <w:gridSpan w:val="1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Experts</w:t>
              </w:r>
            </w:hyperlink>
          </w:p>
        </w:tc>
        <w:tc>
          <w:tcPr>
            <w:tcW w:w="59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S-36</w:t>
            </w: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Where You Can Find More Information</w:t>
              </w:r>
            </w:hyperlink>
          </w:p>
        </w:tc>
        <w:tc>
          <w:tcPr>
            <w:tcW w:w="66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S-36</w:t>
            </w: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120" w:type="dxa"/>
            <w:vAlign w:val="bottom"/>
            <w:gridSpan w:val="2"/>
          </w:tcPr>
          <w:p>
            <w:pPr>
              <w:jc w:val="right"/>
              <w:ind w:right="4459"/>
              <w:spacing w:after="0"/>
              <w:rPr>
                <w:sz w:val="20"/>
                <w:szCs w:val="20"/>
                <w:color w:val="auto"/>
              </w:rPr>
            </w:pPr>
            <w:r>
              <w:rPr>
                <w:rFonts w:ascii="Arial" w:cs="Arial" w:eastAsia="Arial" w:hAnsi="Arial"/>
                <w:sz w:val="18"/>
                <w:szCs w:val="18"/>
                <w:b w:val="1"/>
                <w:bCs w:val="1"/>
                <w:color w:val="auto"/>
              </w:rPr>
              <w:t>Prospectus</w:t>
            </w:r>
          </w:p>
        </w:tc>
      </w:tr>
      <w:tr>
        <w:trPr>
          <w:trHeight w:val="392"/>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23"/>
        </w:trPr>
        <w:tc>
          <w:tcPr>
            <w:tcW w:w="16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9"/>
              </w:rPr>
              <w:t>About This Prospectus</w:t>
            </w:r>
          </w:p>
        </w:tc>
        <w:tc>
          <w:tcPr>
            <w:tcW w:w="2160" w:type="dxa"/>
            <w:vAlign w:val="bottom"/>
            <w:gridSpan w:val="8"/>
          </w:tcPr>
          <w:p>
            <w:pPr>
              <w:spacing w:after="0"/>
              <w:rPr>
                <w:sz w:val="19"/>
                <w:szCs w:val="19"/>
                <w:color w:val="auto"/>
              </w:rPr>
            </w:pPr>
          </w:p>
        </w:tc>
        <w:tc>
          <w:tcPr>
            <w:tcW w:w="5740" w:type="dxa"/>
            <w:vAlign w:val="bottom"/>
          </w:tcPr>
          <w:p>
            <w:pPr>
              <w:spacing w:after="0"/>
              <w:rPr>
                <w:sz w:val="19"/>
                <w:szCs w:val="19"/>
                <w:color w:val="auto"/>
              </w:rPr>
            </w:pPr>
          </w:p>
        </w:tc>
        <w:tc>
          <w:tcPr>
            <w:tcW w:w="380" w:type="dxa"/>
            <w:vAlign w:val="bottom"/>
          </w:tcPr>
          <w:p>
            <w:pPr>
              <w:jc w:val="right"/>
              <w:ind w:right="19"/>
              <w:spacing w:after="0"/>
              <w:rPr>
                <w:sz w:val="20"/>
                <w:szCs w:val="20"/>
                <w:color w:val="auto"/>
              </w:rPr>
            </w:pPr>
            <w:r>
              <w:rPr>
                <w:rFonts w:ascii="Arial" w:cs="Arial" w:eastAsia="Arial" w:hAnsi="Arial"/>
                <w:sz w:val="18"/>
                <w:szCs w:val="18"/>
                <w:color w:val="auto"/>
              </w:rPr>
              <w:t>i</w:t>
            </w:r>
          </w:p>
        </w:tc>
      </w:tr>
      <w:tr>
        <w:trPr>
          <w:trHeight w:val="196"/>
        </w:trPr>
        <w:tc>
          <w:tcPr>
            <w:tcW w:w="28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1"/>
              </w:rPr>
              <w:t>Where You Can Find More Information</w:t>
            </w:r>
          </w:p>
        </w:tc>
        <w:tc>
          <w:tcPr>
            <w:tcW w:w="940" w:type="dxa"/>
            <w:vAlign w:val="bottom"/>
            <w:gridSpan w:val="2"/>
          </w:tcPr>
          <w:p>
            <w:pPr>
              <w:spacing w:after="0"/>
              <w:rPr>
                <w:sz w:val="17"/>
                <w:szCs w:val="17"/>
                <w:color w:val="auto"/>
              </w:rPr>
            </w:pPr>
          </w:p>
        </w:tc>
        <w:tc>
          <w:tcPr>
            <w:tcW w:w="612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1</w:t>
            </w:r>
          </w:p>
        </w:tc>
      </w:tr>
      <w:tr>
        <w:trPr>
          <w:trHeight w:val="196"/>
        </w:trPr>
        <w:tc>
          <w:tcPr>
            <w:tcW w:w="3800" w:type="dxa"/>
            <w:vAlign w:val="bottom"/>
            <w:gridSpan w:val="14"/>
          </w:tcPr>
          <w:p>
            <w:pPr>
              <w:spacing w:after="0" w:line="196" w:lineRule="exact"/>
              <w:rPr>
                <w:sz w:val="20"/>
                <w:szCs w:val="20"/>
                <w:color w:val="auto"/>
              </w:rPr>
            </w:pPr>
            <w:r>
              <w:rPr>
                <w:rFonts w:ascii="Arial" w:cs="Arial" w:eastAsia="Arial" w:hAnsi="Arial"/>
                <w:sz w:val="18"/>
                <w:szCs w:val="18"/>
                <w:color w:val="0000EE"/>
              </w:rPr>
              <w:t>Forward-Looking Statements</w:t>
            </w:r>
          </w:p>
        </w:tc>
        <w:tc>
          <w:tcPr>
            <w:tcW w:w="612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3</w:t>
            </w:r>
          </w:p>
        </w:tc>
      </w:tr>
      <w:tr>
        <w:trPr>
          <w:trHeight w:val="196"/>
        </w:trPr>
        <w:tc>
          <w:tcPr>
            <w:tcW w:w="94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Who We Are</w:t>
            </w:r>
          </w:p>
        </w:tc>
        <w:tc>
          <w:tcPr>
            <w:tcW w:w="1160" w:type="dxa"/>
            <w:vAlign w:val="bottom"/>
            <w:tcBorders>
              <w:top w:val="single" w:sz="8" w:color="0000EE"/>
            </w:tcBorders>
            <w:gridSpan w:val="5"/>
          </w:tcPr>
          <w:p>
            <w:pPr>
              <w:spacing w:after="0"/>
              <w:rPr>
                <w:sz w:val="17"/>
                <w:szCs w:val="17"/>
                <w:color w:val="auto"/>
              </w:rPr>
            </w:pPr>
          </w:p>
        </w:tc>
        <w:tc>
          <w:tcPr>
            <w:tcW w:w="1700" w:type="dxa"/>
            <w:vAlign w:val="bottom"/>
            <w:gridSpan w:val="6"/>
          </w:tcPr>
          <w:p>
            <w:pPr>
              <w:spacing w:after="0"/>
              <w:rPr>
                <w:sz w:val="17"/>
                <w:szCs w:val="17"/>
                <w:color w:val="auto"/>
              </w:rPr>
            </w:pPr>
          </w:p>
        </w:tc>
        <w:tc>
          <w:tcPr>
            <w:tcW w:w="612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5</w:t>
            </w:r>
          </w:p>
        </w:tc>
      </w:tr>
      <w:tr>
        <w:trPr>
          <w:trHeight w:val="196"/>
        </w:trPr>
        <w:tc>
          <w:tcPr>
            <w:tcW w:w="9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Risk Factors</w:t>
            </w:r>
          </w:p>
        </w:tc>
        <w:tc>
          <w:tcPr>
            <w:tcW w:w="2900" w:type="dxa"/>
            <w:vAlign w:val="bottom"/>
            <w:gridSpan w:val="12"/>
          </w:tcPr>
          <w:p>
            <w:pPr>
              <w:spacing w:after="0"/>
              <w:rPr>
                <w:sz w:val="17"/>
                <w:szCs w:val="17"/>
                <w:color w:val="auto"/>
              </w:rPr>
            </w:pPr>
          </w:p>
        </w:tc>
        <w:tc>
          <w:tcPr>
            <w:tcW w:w="612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6</w:t>
            </w:r>
          </w:p>
        </w:tc>
      </w:tr>
      <w:tr>
        <w:trPr>
          <w:trHeight w:val="196"/>
        </w:trPr>
        <w:tc>
          <w:tcPr>
            <w:tcW w:w="3800" w:type="dxa"/>
            <w:vAlign w:val="bottom"/>
            <w:gridSpan w:val="14"/>
          </w:tcPr>
          <w:p>
            <w:pPr>
              <w:spacing w:after="0" w:line="196" w:lineRule="exact"/>
              <w:rPr>
                <w:sz w:val="20"/>
                <w:szCs w:val="20"/>
                <w:color w:val="auto"/>
              </w:rPr>
            </w:pPr>
            <w:r>
              <w:rPr>
                <w:rFonts w:ascii="Arial" w:cs="Arial" w:eastAsia="Arial" w:hAnsi="Arial"/>
                <w:sz w:val="18"/>
                <w:szCs w:val="18"/>
                <w:color w:val="0000EE"/>
              </w:rPr>
              <w:t>Use of Proceeds</w:t>
            </w:r>
          </w:p>
        </w:tc>
        <w:tc>
          <w:tcPr>
            <w:tcW w:w="612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7</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r>
      <w:tr>
        <w:trPr>
          <w:trHeight w:val="196"/>
        </w:trPr>
        <w:tc>
          <w:tcPr>
            <w:tcW w:w="254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9"/>
              </w:rPr>
              <w:t>Ratio of Earnings to Fixed Charges</w:t>
            </w:r>
          </w:p>
        </w:tc>
        <w:tc>
          <w:tcPr>
            <w:tcW w:w="1260" w:type="dxa"/>
            <w:vAlign w:val="bottom"/>
            <w:gridSpan w:val="4"/>
          </w:tcPr>
          <w:p>
            <w:pPr>
              <w:spacing w:after="0"/>
              <w:rPr>
                <w:sz w:val="17"/>
                <w:szCs w:val="17"/>
                <w:color w:val="auto"/>
              </w:rPr>
            </w:pPr>
          </w:p>
        </w:tc>
        <w:tc>
          <w:tcPr>
            <w:tcW w:w="612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8</w:t>
            </w:r>
          </w:p>
        </w:tc>
      </w:tr>
      <w:tr>
        <w:trPr>
          <w:trHeight w:val="196"/>
        </w:trPr>
        <w:tc>
          <w:tcPr>
            <w:tcW w:w="3800" w:type="dxa"/>
            <w:vAlign w:val="bottom"/>
            <w:gridSpan w:val="14"/>
          </w:tcPr>
          <w:p>
            <w:pPr>
              <w:spacing w:after="0" w:line="196" w:lineRule="exact"/>
              <w:rPr>
                <w:sz w:val="20"/>
                <w:szCs w:val="20"/>
                <w:color w:val="auto"/>
              </w:rPr>
            </w:pPr>
            <w:r>
              <w:rPr>
                <w:rFonts w:ascii="Arial" w:cs="Arial" w:eastAsia="Arial" w:hAnsi="Arial"/>
                <w:sz w:val="18"/>
                <w:szCs w:val="18"/>
                <w:color w:val="0000EE"/>
              </w:rPr>
              <w:t>Description of Our Debt Securities</w:t>
            </w:r>
          </w:p>
        </w:tc>
        <w:tc>
          <w:tcPr>
            <w:tcW w:w="612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9</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r>
      <w:tr>
        <w:trPr>
          <w:trHeight w:val="196"/>
        </w:trPr>
        <w:tc>
          <w:tcPr>
            <w:tcW w:w="3800" w:type="dxa"/>
            <w:vAlign w:val="bottom"/>
            <w:gridSpan w:val="14"/>
          </w:tcPr>
          <w:p>
            <w:pPr>
              <w:spacing w:after="0" w:line="196" w:lineRule="exact"/>
              <w:rPr>
                <w:sz w:val="20"/>
                <w:szCs w:val="20"/>
                <w:color w:val="auto"/>
              </w:rPr>
            </w:pPr>
            <w:r>
              <w:rPr>
                <w:rFonts w:ascii="Arial" w:cs="Arial" w:eastAsia="Arial" w:hAnsi="Arial"/>
                <w:sz w:val="18"/>
                <w:szCs w:val="18"/>
                <w:color w:val="0000EE"/>
              </w:rPr>
              <w:t>Description of Our Common Units</w:t>
            </w:r>
          </w:p>
        </w:tc>
        <w:tc>
          <w:tcPr>
            <w:tcW w:w="612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17</w:t>
            </w:r>
          </w:p>
        </w:tc>
      </w:tr>
      <w:tr>
        <w:trPr>
          <w:trHeight w:val="196"/>
        </w:trPr>
        <w:tc>
          <w:tcPr>
            <w:tcW w:w="178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2"/>
              </w:rPr>
              <w:t>Cash Distribution Policy</w:t>
            </w:r>
          </w:p>
        </w:tc>
        <w:tc>
          <w:tcPr>
            <w:tcW w:w="720" w:type="dxa"/>
            <w:vAlign w:val="bottom"/>
            <w:tcBorders>
              <w:top w:val="single" w:sz="8" w:color="0000EE"/>
            </w:tcBorders>
            <w:gridSpan w:val="2"/>
          </w:tcPr>
          <w:p>
            <w:pPr>
              <w:spacing w:after="0"/>
              <w:rPr>
                <w:sz w:val="17"/>
                <w:szCs w:val="17"/>
                <w:color w:val="auto"/>
              </w:rPr>
            </w:pPr>
          </w:p>
        </w:tc>
        <w:tc>
          <w:tcPr>
            <w:tcW w:w="1300" w:type="dxa"/>
            <w:vAlign w:val="bottom"/>
            <w:gridSpan w:val="5"/>
          </w:tcPr>
          <w:p>
            <w:pPr>
              <w:spacing w:after="0"/>
              <w:rPr>
                <w:sz w:val="17"/>
                <w:szCs w:val="17"/>
                <w:color w:val="auto"/>
              </w:rPr>
            </w:pPr>
          </w:p>
        </w:tc>
        <w:tc>
          <w:tcPr>
            <w:tcW w:w="612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19</w:t>
            </w:r>
          </w:p>
        </w:tc>
      </w:tr>
      <w:tr>
        <w:trPr>
          <w:trHeight w:val="196"/>
        </w:trPr>
        <w:tc>
          <w:tcPr>
            <w:tcW w:w="3800" w:type="dxa"/>
            <w:vAlign w:val="bottom"/>
            <w:gridSpan w:val="14"/>
          </w:tcPr>
          <w:p>
            <w:pPr>
              <w:spacing w:after="0" w:line="196" w:lineRule="exact"/>
              <w:rPr>
                <w:sz w:val="20"/>
                <w:szCs w:val="20"/>
                <w:color w:val="auto"/>
              </w:rPr>
            </w:pPr>
            <w:r>
              <w:rPr>
                <w:rFonts w:ascii="Arial" w:cs="Arial" w:eastAsia="Arial" w:hAnsi="Arial"/>
                <w:sz w:val="18"/>
                <w:szCs w:val="18"/>
                <w:color w:val="0000EE"/>
              </w:rPr>
              <w:t>Description of Our Partnership Agreement</w:t>
            </w:r>
          </w:p>
        </w:tc>
        <w:tc>
          <w:tcPr>
            <w:tcW w:w="612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23</w:t>
            </w:r>
          </w:p>
        </w:tc>
      </w:tr>
      <w:tr>
        <w:trPr>
          <w:trHeight w:val="196"/>
        </w:trPr>
        <w:tc>
          <w:tcPr>
            <w:tcW w:w="306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Material Income Tax Considerations</w:t>
            </w:r>
          </w:p>
        </w:tc>
        <w:tc>
          <w:tcPr>
            <w:tcW w:w="740" w:type="dxa"/>
            <w:vAlign w:val="bottom"/>
          </w:tcPr>
          <w:p>
            <w:pPr>
              <w:spacing w:after="0"/>
              <w:rPr>
                <w:sz w:val="17"/>
                <w:szCs w:val="17"/>
                <w:color w:val="auto"/>
              </w:rPr>
            </w:pPr>
          </w:p>
        </w:tc>
        <w:tc>
          <w:tcPr>
            <w:tcW w:w="612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26</w:t>
            </w:r>
          </w:p>
        </w:tc>
      </w:tr>
      <w:tr>
        <w:trPr>
          <w:trHeight w:val="196"/>
        </w:trPr>
        <w:tc>
          <w:tcPr>
            <w:tcW w:w="100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Legal Matters</w:t>
            </w:r>
          </w:p>
        </w:tc>
        <w:tc>
          <w:tcPr>
            <w:tcW w:w="1620" w:type="dxa"/>
            <w:vAlign w:val="bottom"/>
            <w:tcBorders>
              <w:top w:val="single" w:sz="8" w:color="0000EE"/>
            </w:tcBorders>
            <w:gridSpan w:val="7"/>
          </w:tcPr>
          <w:p>
            <w:pPr>
              <w:spacing w:after="0"/>
              <w:rPr>
                <w:sz w:val="17"/>
                <w:szCs w:val="17"/>
                <w:color w:val="auto"/>
              </w:rPr>
            </w:pPr>
          </w:p>
        </w:tc>
        <w:tc>
          <w:tcPr>
            <w:tcW w:w="1180" w:type="dxa"/>
            <w:vAlign w:val="bottom"/>
            <w:gridSpan w:val="3"/>
          </w:tcPr>
          <w:p>
            <w:pPr>
              <w:spacing w:after="0"/>
              <w:rPr>
                <w:sz w:val="17"/>
                <w:szCs w:val="17"/>
                <w:color w:val="auto"/>
              </w:rPr>
            </w:pPr>
          </w:p>
        </w:tc>
        <w:tc>
          <w:tcPr>
            <w:tcW w:w="612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41</w:t>
            </w:r>
          </w:p>
        </w:tc>
      </w:tr>
      <w:tr>
        <w:trPr>
          <w:trHeight w:val="196"/>
        </w:trPr>
        <w:tc>
          <w:tcPr>
            <w:tcW w:w="3800" w:type="dxa"/>
            <w:vAlign w:val="bottom"/>
            <w:gridSpan w:val="14"/>
          </w:tcPr>
          <w:p>
            <w:pPr>
              <w:spacing w:after="0" w:line="196" w:lineRule="exact"/>
              <w:rPr>
                <w:sz w:val="20"/>
                <w:szCs w:val="20"/>
                <w:color w:val="auto"/>
              </w:rPr>
            </w:pPr>
            <w:r>
              <w:rPr>
                <w:rFonts w:ascii="Arial" w:cs="Arial" w:eastAsia="Arial" w:hAnsi="Arial"/>
                <w:sz w:val="18"/>
                <w:szCs w:val="18"/>
                <w:color w:val="0000EE"/>
              </w:rPr>
              <w:t>Experts</w:t>
            </w:r>
          </w:p>
        </w:tc>
        <w:tc>
          <w:tcPr>
            <w:tcW w:w="6120" w:type="dxa"/>
            <w:vAlign w:val="bottom"/>
            <w:gridSpan w:val="2"/>
          </w:tcPr>
          <w:p>
            <w:pPr>
              <w:jc w:val="right"/>
              <w:ind w:right="19"/>
              <w:spacing w:after="0" w:line="196" w:lineRule="exact"/>
              <w:rPr>
                <w:sz w:val="20"/>
                <w:szCs w:val="20"/>
                <w:color w:val="auto"/>
              </w:rPr>
            </w:pPr>
            <w:r>
              <w:rPr>
                <w:rFonts w:ascii="Arial" w:cs="Arial" w:eastAsia="Arial" w:hAnsi="Arial"/>
                <w:sz w:val="18"/>
                <w:szCs w:val="18"/>
                <w:color w:val="auto"/>
              </w:rPr>
              <w:t>41</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IMPORTANT NOTICE ABOUT INFORMATION IN THIS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PROSPECTUS SUPPLEMENT AND THE ACCOMPANYING PROSPECTUS</w:t>
      </w:r>
    </w:p>
    <w:p>
      <w:pPr>
        <w:spacing w:after="0" w:line="112" w:lineRule="exact"/>
        <w:rPr>
          <w:sz w:val="20"/>
          <w:szCs w:val="20"/>
          <w:color w:val="auto"/>
        </w:rPr>
      </w:pPr>
    </w:p>
    <w:p>
      <w:pPr>
        <w:ind w:left="700" w:right="80" w:firstLine="397"/>
        <w:spacing w:after="0" w:line="298" w:lineRule="auto"/>
        <w:rPr>
          <w:sz w:val="20"/>
          <w:szCs w:val="20"/>
          <w:color w:val="auto"/>
        </w:rPr>
      </w:pPr>
      <w:r>
        <w:rPr>
          <w:rFonts w:ascii="Arial" w:cs="Arial" w:eastAsia="Arial" w:hAnsi="Arial"/>
          <w:sz w:val="16"/>
          <w:szCs w:val="16"/>
          <w:b w:val="1"/>
          <w:bCs w:val="1"/>
          <w:color w:val="auto"/>
        </w:rPr>
        <w:t>This document is in two parts. The first part is the prospectus supplement, which describes our business and the specific terms of this offering. The second part is the accompanying prospectus, which gives more general information and includes disclosures regarding the Notes and additional disclosures that would pertain if at some time in the future we were to offer other series of our debt securities or our common units. Accordingly, the accompanying prospectus may contain information that does not apply to this offering. Generally, when we refer only to the “prospectus,” we are referring to both parts combined.</w:t>
      </w:r>
    </w:p>
    <w:p>
      <w:pPr>
        <w:spacing w:after="0" w:line="60" w:lineRule="exact"/>
        <w:rPr>
          <w:sz w:val="20"/>
          <w:szCs w:val="20"/>
          <w:color w:val="auto"/>
        </w:rPr>
      </w:pPr>
    </w:p>
    <w:p>
      <w:pPr>
        <w:ind w:left="700" w:right="60" w:firstLine="397"/>
        <w:spacing w:after="0" w:line="282" w:lineRule="auto"/>
        <w:rPr>
          <w:sz w:val="20"/>
          <w:szCs w:val="20"/>
          <w:color w:val="auto"/>
        </w:rPr>
      </w:pPr>
      <w:r>
        <w:rPr>
          <w:rFonts w:ascii="Arial" w:cs="Arial" w:eastAsia="Arial" w:hAnsi="Arial"/>
          <w:sz w:val="18"/>
          <w:szCs w:val="18"/>
          <w:b w:val="1"/>
          <w:bCs w:val="1"/>
          <w:color w:val="auto"/>
        </w:rPr>
        <w:t>If the description of the offering in this prospectus supplement varies from statements in the accompanying prospectus, you should rely on the information in this prospectus supplement.</w:t>
      </w:r>
    </w:p>
    <w:p>
      <w:pPr>
        <w:spacing w:after="0" w:line="67" w:lineRule="exact"/>
        <w:rPr>
          <w:sz w:val="20"/>
          <w:szCs w:val="20"/>
          <w:color w:val="auto"/>
        </w:rPr>
      </w:pPr>
    </w:p>
    <w:p>
      <w:pPr>
        <w:ind w:left="700" w:right="100" w:firstLine="397"/>
        <w:spacing w:after="0" w:line="295"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or any free writing prospectus relating to this offering of Notes. Neither we nor the underwriters have authorized anyone to provide you with different information. We are not, and the underwriters are not, making an offer of the Notes in any jurisdiction where the offer is not permitted. You should not assume that the information contained in this prospectus, any free writing prospectus or in the documents incorporated by reference in this prospectus is accurate as of any date other than the date on the front of those documents. Our business, financial condition, results of operations and prospects may have changed since those dates.</w:t>
      </w:r>
    </w:p>
    <w:p>
      <w:pPr>
        <w:spacing w:after="0" w:line="61" w:lineRule="exact"/>
        <w:rPr>
          <w:sz w:val="20"/>
          <w:szCs w:val="20"/>
          <w:color w:val="auto"/>
        </w:rPr>
      </w:pPr>
    </w:p>
    <w:p>
      <w:pPr>
        <w:jc w:val="both"/>
        <w:ind w:left="700" w:right="180" w:firstLine="397"/>
        <w:spacing w:after="0" w:line="266" w:lineRule="auto"/>
        <w:rPr>
          <w:sz w:val="20"/>
          <w:szCs w:val="20"/>
          <w:color w:val="auto"/>
        </w:rPr>
      </w:pPr>
      <w:r>
        <w:rPr>
          <w:rFonts w:ascii="Arial" w:cs="Arial" w:eastAsia="Arial" w:hAnsi="Arial"/>
          <w:sz w:val="18"/>
          <w:szCs w:val="18"/>
          <w:b w:val="1"/>
          <w:bCs w:val="1"/>
          <w:color w:val="auto"/>
        </w:rPr>
        <w:t>The information in this prospectus supplement is not complete. You should review carefully all of the detailed information appearing in this prospectus supplement, the accompanying prospectus and the documents we have incorporated by reference before making any investment decision.</w:t>
      </w:r>
    </w:p>
    <w:p>
      <w:pPr>
        <w:spacing w:after="0" w:line="86"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We expect delivery of the notes will be made against payment therefor on or about January , 2011, which is the seventh business day following the date of pricing of the notes (such settlement being referred to as “T+7”). Under Rule 15c6-1 of the Securities Exchange Act of 1934, trades in the secondary market generally are required to settle in three business days unless the parties to any such trade expressly agree otherwise. Accordingly, purchasers who wish to trade the notes on the date of pricing of the notes or the next succeeding three business days will be required, by virtue of the fact that the notes initially will settle in T+7, to specify an alternate settlement cycle at the time of any such trade to prevent failed settlement and should consult their own advisers.</w:t>
      </w:r>
    </w:p>
    <w:p>
      <w:pPr>
        <w:spacing w:after="0" w:line="28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All statements included or incorporated by reference in this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w:t>
      </w:r>
    </w:p>
    <w:p>
      <w:pPr>
        <w:spacing w:after="0" w:line="95" w:lineRule="exact"/>
        <w:rPr>
          <w:sz w:val="20"/>
          <w:szCs w:val="20"/>
          <w:color w:val="auto"/>
        </w:rPr>
      </w:pPr>
    </w:p>
    <w:p>
      <w:pPr>
        <w:ind w:left="1300" w:hanging="20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failure to implement or capitalize on planned internal growth projects;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1300" w:right="280" w:hanging="202"/>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00" w:lineRule="exact"/>
        <w:rPr>
          <w:sz w:val="20"/>
          <w:szCs w:val="20"/>
          <w:color w:val="auto"/>
        </w:rPr>
      </w:pPr>
    </w:p>
    <w:p>
      <w:pPr>
        <w:spacing w:after="0" w:line="21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6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abrupt or severe declines or interruptions in outer continental shelf production located offshore California and transported on our pipeline systems;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shortages or cost increases of power supplies, materials or labor;</w:t>
      </w:r>
    </w:p>
    <w:p>
      <w:pPr>
        <w:spacing w:after="0" w:line="117" w:lineRule="exact"/>
        <w:rPr>
          <w:rFonts w:ascii="Arial" w:cs="Arial" w:eastAsia="Arial" w:hAnsi="Arial"/>
          <w:sz w:val="18"/>
          <w:szCs w:val="18"/>
          <w:color w:val="auto"/>
        </w:rPr>
      </w:pPr>
    </w:p>
    <w:p>
      <w:pPr>
        <w:ind w:left="1300" w:right="20" w:hanging="202"/>
        <w:spacing w:after="0" w:line="286"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7" w:lineRule="exact"/>
        <w:rPr>
          <w:rFonts w:ascii="Arial" w:cs="Arial" w:eastAsia="Arial" w:hAnsi="Arial"/>
          <w:sz w:val="17"/>
          <w:szCs w:val="17"/>
          <w:color w:val="auto"/>
        </w:rPr>
      </w:pPr>
    </w:p>
    <w:p>
      <w:pPr>
        <w:ind w:left="1300" w:right="40" w:hanging="202"/>
        <w:spacing w:after="0" w:line="342"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 w:lineRule="exact"/>
        <w:rPr>
          <w:rFonts w:ascii="Arial" w:cs="Arial" w:eastAsia="Arial" w:hAnsi="Arial"/>
          <w:sz w:val="16"/>
          <w:szCs w:val="16"/>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117"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62" w:lineRule="exact"/>
        <w:rPr>
          <w:rFonts w:ascii="Arial" w:cs="Arial" w:eastAsia="Arial" w:hAnsi="Arial"/>
          <w:sz w:val="18"/>
          <w:szCs w:val="18"/>
          <w:color w:val="auto"/>
        </w:rPr>
      </w:pPr>
    </w:p>
    <w:p>
      <w:pPr>
        <w:ind w:left="1300" w:right="4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117"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interruptions in service and fluctuations in tariffs or volumes on third-party pipelines;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developments and circumstances at the time distributions are declared;</w:t>
      </w:r>
    </w:p>
    <w:p>
      <w:pPr>
        <w:spacing w:after="0" w:line="117" w:lineRule="exact"/>
        <w:rPr>
          <w:rFonts w:ascii="Arial" w:cs="Arial" w:eastAsia="Arial" w:hAnsi="Arial"/>
          <w:sz w:val="18"/>
          <w:szCs w:val="18"/>
          <w:color w:val="auto"/>
        </w:rPr>
      </w:pPr>
    </w:p>
    <w:p>
      <w:pPr>
        <w:ind w:left="1300" w:right="4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62"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refined products and liquefied petroleum gas and other natural gas related petroleum products.</w:t>
      </w:r>
    </w:p>
    <w:p>
      <w:pPr>
        <w:spacing w:after="0" w:line="76" w:lineRule="exact"/>
        <w:rPr>
          <w:sz w:val="20"/>
          <w:szCs w:val="20"/>
          <w:color w:val="auto"/>
        </w:rPr>
      </w:pPr>
    </w:p>
    <w:p>
      <w:pPr>
        <w:jc w:val="both"/>
        <w:ind w:left="700" w:firstLine="397"/>
        <w:spacing w:after="0" w:line="276" w:lineRule="auto"/>
        <w:rPr>
          <w:sz w:val="20"/>
          <w:szCs w:val="20"/>
          <w:color w:val="auto"/>
        </w:rPr>
      </w:pPr>
      <w:r>
        <w:rPr>
          <w:rFonts w:ascii="Arial" w:cs="Arial" w:eastAsia="Arial" w:hAnsi="Arial"/>
          <w:sz w:val="17"/>
          <w:szCs w:val="17"/>
          <w:color w:val="auto"/>
        </w:rPr>
        <w:t>Other factors described herein or incorporated by reference, or factors that are unknown or unpredictable, could also have a material adverse effect on future results. Please read “Risk Factors” beginning on page S-7 of this prospectus supplement, beginning on page 6 of the accompanying prospectus and in Item 1A. “Risk Factors” in our Annual Report on Form 10-K for the year ended December 31, 2009 (File No. 001-14569), which is incorporated in this prospectus supplement by reference. Except as required by applicable securities laws, we do not intend to update these forward-looking statements and information.</w:t>
      </w:r>
    </w:p>
    <w:p>
      <w:pPr>
        <w:spacing w:after="0" w:line="36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SUMMARY</w:t>
      </w:r>
    </w:p>
    <w:p>
      <w:pPr>
        <w:spacing w:after="0" w:line="135" w:lineRule="exact"/>
        <w:rPr>
          <w:sz w:val="20"/>
          <w:szCs w:val="20"/>
          <w:color w:val="auto"/>
        </w:rPr>
      </w:pPr>
    </w:p>
    <w:p>
      <w:pPr>
        <w:ind w:left="920" w:firstLine="397"/>
        <w:spacing w:after="0" w:line="272" w:lineRule="auto"/>
        <w:rPr>
          <w:sz w:val="20"/>
          <w:szCs w:val="20"/>
          <w:color w:val="auto"/>
        </w:rPr>
      </w:pPr>
      <w:r>
        <w:rPr>
          <w:rFonts w:ascii="Arial" w:cs="Arial" w:eastAsia="Arial" w:hAnsi="Arial"/>
          <w:sz w:val="17"/>
          <w:szCs w:val="17"/>
          <w:i w:val="1"/>
          <w:iCs w:val="1"/>
          <w:color w:val="auto"/>
        </w:rPr>
        <w:t>This summary highlights information contained in or incorporated by reference in this prospectus supplement and the accompanying prospectus. It does not contain all of the information that you should consider before making an investment decision. You should read this entire prospectus supplement, the accompanying prospectus and the documents incorporated herein by reference for a more complete understanding of this offering of Notes. Please read “Risk Factors” beginning on page S-7 of this prospectus supplement, on page 6 of the accompanying prospectus and in Item 1A. “Risk Factors” in our Annual Report on Form 10-K for the year ended December 31, 2009 (File No. 001-14569), which is incorporated into this prospectus supplement by reference, for information regarding risks you should consider before making a decision to purchase any Notes in this offering.</w:t>
      </w:r>
    </w:p>
    <w:p>
      <w:pPr>
        <w:spacing w:after="0" w:line="83" w:lineRule="exact"/>
        <w:rPr>
          <w:sz w:val="20"/>
          <w:szCs w:val="20"/>
          <w:color w:val="auto"/>
        </w:rPr>
      </w:pPr>
    </w:p>
    <w:p>
      <w:pPr>
        <w:ind w:left="920" w:right="40" w:firstLine="397"/>
        <w:spacing w:after="0" w:line="259" w:lineRule="auto"/>
        <w:rPr>
          <w:sz w:val="20"/>
          <w:szCs w:val="20"/>
          <w:color w:val="auto"/>
        </w:rPr>
      </w:pPr>
      <w:r>
        <w:rPr>
          <w:rFonts w:ascii="Arial" w:cs="Arial" w:eastAsia="Arial" w:hAnsi="Arial"/>
          <w:sz w:val="18"/>
          <w:szCs w:val="18"/>
          <w:i w:val="1"/>
          <w:iCs w:val="1"/>
          <w:color w:val="auto"/>
        </w:rPr>
        <w:t>For purposes of this prospectus supplement and the accompanying prospectus, except as set forth in “Description of Notes” and unless the context clearly indicates otherwise, “we,” “us,” “our” and the “Partnership” refer to Plains All American Pipeline, L.P. and its subsidiaries. References to our “general partner,” as the context requires, include any or all of PAA GP LLC, Plains AAP, L.P. and Plains All American GP LLC.</w:t>
      </w:r>
    </w:p>
    <w:p>
      <w:pPr>
        <w:spacing w:after="0" w:line="304"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Plains All American Pipeline, L.P.</w:t>
      </w:r>
    </w:p>
    <w:p>
      <w:pPr>
        <w:spacing w:after="0" w:line="135" w:lineRule="exact"/>
        <w:rPr>
          <w:sz w:val="20"/>
          <w:szCs w:val="20"/>
          <w:color w:val="auto"/>
        </w:rPr>
      </w:pPr>
    </w:p>
    <w:p>
      <w:pPr>
        <w:ind w:left="920" w:firstLine="397"/>
        <w:spacing w:after="0" w:line="290" w:lineRule="auto"/>
        <w:rPr>
          <w:sz w:val="20"/>
          <w:szCs w:val="20"/>
          <w:color w:val="auto"/>
        </w:rPr>
      </w:pPr>
      <w:r>
        <w:rPr>
          <w:rFonts w:ascii="Arial" w:cs="Arial" w:eastAsia="Arial" w:hAnsi="Arial"/>
          <w:sz w:val="16"/>
          <w:szCs w:val="16"/>
          <w:color w:val="auto"/>
        </w:rPr>
        <w:t>We are a Delaware limited partnership formed in September 1998. Our operations are conducted directly and indirectly through our primary operating subsidiaries. We are engaged in the transportation, storage, terminalling and marketing of crude oil, refined products and liquefied petroleum gas and other natural gas-related petroleum products. We refer to liquefied petroleum gas and other natural gas-related petroleum products collectively as “LPG.” We are also engaged in the development and operation of natural gas storage facilities through our direct and indirect ownership of PAA Natural Gas Storage, L.P. (“PNG”), which is a fee-based, growth-oriented Delaware limited partnership engaged in the ownership, acquisition, development, operation and commercial management of natural gas storage facilities. We own PNG’s general partner, PNGS GP LLC (“PNGS GP”), which holds a 2.0% general partner interest in PNG and all of its incentive distributions rights. We also currently own an approximate 74.8% limited partner interest in PNG.</w:t>
      </w:r>
    </w:p>
    <w:p>
      <w:pPr>
        <w:spacing w:after="0" w:line="72" w:lineRule="exact"/>
        <w:rPr>
          <w:sz w:val="20"/>
          <w:szCs w:val="20"/>
          <w:color w:val="auto"/>
        </w:rPr>
      </w:pPr>
    </w:p>
    <w:p>
      <w:pPr>
        <w:ind w:left="920" w:right="220" w:firstLine="397"/>
        <w:spacing w:after="0" w:line="259" w:lineRule="auto"/>
        <w:rPr>
          <w:sz w:val="20"/>
          <w:szCs w:val="20"/>
          <w:color w:val="auto"/>
        </w:rPr>
      </w:pPr>
      <w:r>
        <w:rPr>
          <w:rFonts w:ascii="Arial" w:cs="Arial" w:eastAsia="Arial" w:hAnsi="Arial"/>
          <w:sz w:val="18"/>
          <w:szCs w:val="18"/>
          <w:color w:val="auto"/>
        </w:rPr>
        <w:t>We are one of the largest midstream crude oil companies in North America. We have an extensive network of pipeline transportation, terminalling, storage and gathering assets in key oil-producing basins and transportation corridors, and at major market hubs in the United States and Canada. We manage our operations through three primary operating segments: (i) transportation, (ii) facilities and (iii) supply and logistics.</w:t>
      </w:r>
    </w:p>
    <w:p>
      <w:pPr>
        <w:spacing w:after="0" w:line="304"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Business strategy</w:t>
      </w:r>
    </w:p>
    <w:p>
      <w:pPr>
        <w:spacing w:after="0" w:line="135" w:lineRule="exact"/>
        <w:rPr>
          <w:sz w:val="20"/>
          <w:szCs w:val="20"/>
          <w:color w:val="auto"/>
        </w:rPr>
      </w:pPr>
    </w:p>
    <w:p>
      <w:pPr>
        <w:ind w:left="920" w:right="40" w:firstLine="397"/>
        <w:spacing w:after="0" w:line="302" w:lineRule="auto"/>
        <w:rPr>
          <w:sz w:val="20"/>
          <w:szCs w:val="20"/>
          <w:color w:val="auto"/>
        </w:rPr>
      </w:pPr>
      <w:r>
        <w:rPr>
          <w:rFonts w:ascii="Arial" w:cs="Arial" w:eastAsia="Arial" w:hAnsi="Arial"/>
          <w:sz w:val="16"/>
          <w:szCs w:val="16"/>
          <w:color w:val="auto"/>
        </w:rPr>
        <w:t>Our principal business strategy is to provide competitive and efficient midstream transportation, terminalling, storage and supply and logistics services to our producer, refiner and other customers. Toward this end, we endeavor to address regional supply and demand imbalances for crude oil, refined products, LPG and natural gas in the United States and Canada by combining the strategic location and capabilities of our transportation, terminalling and storage assets with our extensive supply, logistics and distribution expertise.</w:t>
      </w:r>
    </w:p>
    <w:p>
      <w:pPr>
        <w:spacing w:after="0" w:line="60" w:lineRule="exact"/>
        <w:rPr>
          <w:sz w:val="20"/>
          <w:szCs w:val="20"/>
          <w:color w:val="auto"/>
        </w:rPr>
      </w:pPr>
    </w:p>
    <w:p>
      <w:pPr>
        <w:ind w:left="920" w:right="200" w:firstLine="397"/>
        <w:spacing w:after="0" w:line="277" w:lineRule="auto"/>
        <w:rPr>
          <w:sz w:val="20"/>
          <w:szCs w:val="20"/>
          <w:color w:val="auto"/>
        </w:rPr>
      </w:pPr>
      <w:r>
        <w:rPr>
          <w:rFonts w:ascii="Arial" w:cs="Arial" w:eastAsia="Arial" w:hAnsi="Arial"/>
          <w:sz w:val="18"/>
          <w:szCs w:val="18"/>
          <w:color w:val="auto"/>
        </w:rPr>
        <w:t>We believe successful execution of this strategy will enable us to generate sustainable earnings and cash flow. We intend to grow our business by:</w:t>
      </w:r>
    </w:p>
    <w:p>
      <w:pPr>
        <w:spacing w:after="0" w:line="76" w:lineRule="exact"/>
        <w:rPr>
          <w:sz w:val="20"/>
          <w:szCs w:val="20"/>
          <w:color w:val="auto"/>
        </w:rPr>
      </w:pPr>
    </w:p>
    <w:p>
      <w:pPr>
        <w:ind w:left="1540" w:hanging="213"/>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optimizing our existing assets and realizing cost efficiencies through operational improvements;</w:t>
      </w:r>
    </w:p>
    <w:p>
      <w:pPr>
        <w:spacing w:after="0" w:line="117" w:lineRule="exact"/>
        <w:rPr>
          <w:rFonts w:ascii="Arial" w:cs="Arial" w:eastAsia="Arial" w:hAnsi="Arial"/>
          <w:sz w:val="18"/>
          <w:szCs w:val="18"/>
          <w:color w:val="auto"/>
        </w:rPr>
      </w:pPr>
    </w:p>
    <w:p>
      <w:pPr>
        <w:ind w:left="1540" w:right="20" w:hanging="213"/>
        <w:spacing w:after="0" w:line="264"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developing and implementing internal growth projects that (i) address evolving crude oil, refined products and LPG needs in the midstream transportation and infrastructure sector and (ii) are well-positioned to benefit from long-term industry trends and opportunities;</w:t>
      </w:r>
    </w:p>
    <w:p>
      <w:pPr>
        <w:spacing w:after="0" w:line="73" w:lineRule="exact"/>
        <w:rPr>
          <w:rFonts w:ascii="Arial" w:cs="Arial" w:eastAsia="Arial" w:hAnsi="Arial"/>
          <w:sz w:val="18"/>
          <w:szCs w:val="18"/>
          <w:color w:val="auto"/>
        </w:rPr>
      </w:pPr>
    </w:p>
    <w:p>
      <w:pPr>
        <w:ind w:left="1540" w:right="40" w:hanging="213"/>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utilizing our assets along the Gulf, West and East Coasts, along with our terminals and leased assets, to optimize our presence in the waterborne importation of foreign crude oil;</w:t>
      </w:r>
    </w:p>
    <w:p>
      <w:pPr>
        <w:sectPr>
          <w:pgSz w:w="11900" w:h="16838" w:orient="portrait"/>
          <w:cols w:equalWidth="0" w:num="1">
            <w:col w:w="10800"/>
          </w:cols>
          <w:pgMar w:left="240" w:top="419"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1540" w:right="340" w:hanging="213"/>
        <w:spacing w:after="0" w:line="264"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capitalizing on the anticipated long-term growth in demand for natural gas storage services in North America by owning and operating high-quality natural gas storage facilities and providing our current and future customers reliable, competitive and flexible natural gas storage and related services;</w:t>
      </w:r>
    </w:p>
    <w:p>
      <w:pPr>
        <w:spacing w:after="0" w:line="73" w:lineRule="exact"/>
        <w:rPr>
          <w:rFonts w:ascii="Arial" w:cs="Arial" w:eastAsia="Arial" w:hAnsi="Arial"/>
          <w:sz w:val="18"/>
          <w:szCs w:val="18"/>
          <w:color w:val="auto"/>
        </w:rPr>
      </w:pPr>
    </w:p>
    <w:p>
      <w:pPr>
        <w:ind w:left="1540" w:right="420" w:hanging="213"/>
        <w:spacing w:after="0" w:line="342" w:lineRule="auto"/>
        <w:tabs>
          <w:tab w:leader="none" w:pos="1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selectively pursuing strategic and accretive acquisitions of crude oil, refined products and LPG transportation, terminalling, storage and marketing assets and businesses that complement our existing asset base and distribution capabilities; and</w:t>
      </w:r>
    </w:p>
    <w:p>
      <w:pPr>
        <w:spacing w:after="0" w:line="15" w:lineRule="exact"/>
        <w:rPr>
          <w:rFonts w:ascii="Arial" w:cs="Arial" w:eastAsia="Arial" w:hAnsi="Arial"/>
          <w:sz w:val="16"/>
          <w:szCs w:val="16"/>
          <w:color w:val="auto"/>
        </w:rPr>
      </w:pPr>
    </w:p>
    <w:p>
      <w:pPr>
        <w:ind w:left="1540" w:right="80" w:hanging="213"/>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using our terminalling and storage assets in conjunction with our supply and logistic activities to capitalize on inefficient energy markets and to address physical market imbalances, mitigate inherent risks and increase margin.</w:t>
      </w:r>
    </w:p>
    <w:p>
      <w:pPr>
        <w:spacing w:after="0" w:line="76" w:lineRule="exact"/>
        <w:rPr>
          <w:sz w:val="20"/>
          <w:szCs w:val="20"/>
          <w:color w:val="auto"/>
        </w:rPr>
      </w:pPr>
    </w:p>
    <w:p>
      <w:pPr>
        <w:ind w:left="920" w:right="180" w:firstLine="397"/>
        <w:spacing w:after="0" w:line="255" w:lineRule="auto"/>
        <w:rPr>
          <w:sz w:val="20"/>
          <w:szCs w:val="20"/>
          <w:color w:val="auto"/>
        </w:rPr>
      </w:pPr>
      <w:r>
        <w:rPr>
          <w:rFonts w:ascii="Arial" w:cs="Arial" w:eastAsia="Arial" w:hAnsi="Arial"/>
          <w:sz w:val="18"/>
          <w:szCs w:val="18"/>
          <w:color w:val="auto"/>
        </w:rPr>
        <w:t>We believe PNG’s natural gas storage assets are also well-positioned to benefit from long-term industry trends and opportunities. PNG’s growth strategies are to develop and implement internal growth projects and to selectively pursue strategic and accretive natural gas storage projects and facilities. Through the execution of such growth strategies, we intend to expand the scale and scope of our natural gas storage business. We may also prudently and economically leverage our asset base, knowledge base and skill sets to participate in other energy-related businesses that have characteristics and opportunities similar to, or that otherwise complement, our existing activities.</w:t>
      </w:r>
    </w:p>
    <w:p>
      <w:pPr>
        <w:spacing w:after="0" w:line="31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Ongoing acquisition activities</w:t>
      </w:r>
    </w:p>
    <w:p>
      <w:pPr>
        <w:spacing w:after="0" w:line="135" w:lineRule="exact"/>
        <w:rPr>
          <w:sz w:val="20"/>
          <w:szCs w:val="20"/>
          <w:color w:val="auto"/>
        </w:rPr>
      </w:pPr>
    </w:p>
    <w:p>
      <w:pPr>
        <w:ind w:left="920" w:firstLine="397"/>
        <w:spacing w:after="0" w:line="270" w:lineRule="auto"/>
        <w:rPr>
          <w:sz w:val="20"/>
          <w:szCs w:val="20"/>
          <w:color w:val="auto"/>
        </w:rPr>
      </w:pPr>
      <w:r>
        <w:rPr>
          <w:rFonts w:ascii="Arial" w:cs="Arial" w:eastAsia="Arial" w:hAnsi="Arial"/>
          <w:sz w:val="17"/>
          <w:szCs w:val="17"/>
          <w:color w:val="auto"/>
        </w:rPr>
        <w:t>Consistent with our business strategy, we are continuously engaged in discussions with potential sellers regarding the possible purchase of assets and operations that we believe are strategic and complementary to our existing operations. Targeted assets and operations might include crude oil, refined products, LPG or natural gas storage related assets. Such acquisition efforts involve our participation in processes that have been made public, involve a number of potential buyers and are commonly referred to as “auction” processes, as well as situations where we believe we are the only party or one of a very limited number of potential buyers in negotiations with the potential seller. These acquisition efforts often involve assets which, if acquired, would have a material effect on our financial condition and results of operations. Past experience has demonstrated that any discussions and/or negotiations regarding potential acquisitions could advance or terminate in a short period of time. Accordingly, we can give no assurance that our current or future acquisition efforts will be successful. Although we expect acquisitions we make to be accretive in the long term, we can provide no assurance that our expectations will ultimately be realized.</w:t>
      </w:r>
    </w:p>
    <w:p>
      <w:pPr>
        <w:spacing w:after="0" w:line="29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ind w:left="920" w:right="40" w:firstLine="397"/>
        <w:spacing w:after="0" w:line="264" w:lineRule="auto"/>
        <w:rPr>
          <w:sz w:val="20"/>
          <w:szCs w:val="20"/>
          <w:color w:val="auto"/>
        </w:rPr>
      </w:pPr>
      <w:r>
        <w:rPr>
          <w:rFonts w:ascii="Arial" w:cs="Arial" w:eastAsia="Arial" w:hAnsi="Arial"/>
          <w:sz w:val="18"/>
          <w:szCs w:val="18"/>
          <w:i w:val="1"/>
          <w:iCs w:val="1"/>
          <w:color w:val="auto"/>
        </w:rPr>
        <w:t xml:space="preserve">New Revolving Credit Facility. </w:t>
      </w:r>
      <w:r>
        <w:rPr>
          <w:rFonts w:ascii="Arial" w:cs="Arial" w:eastAsia="Arial" w:hAnsi="Arial"/>
          <w:sz w:val="18"/>
          <w:szCs w:val="18"/>
          <w:color w:val="auto"/>
        </w:rPr>
        <w:t>On January 3, 2011, we closed a new $500 million, 364-day credit facility, which is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fund our financing arrangements in connection with the Southern Pines acquisition described below. This credit facility may also be used for other partnership purposes.</w:t>
      </w:r>
    </w:p>
    <w:p>
      <w:pPr>
        <w:spacing w:after="0" w:line="87" w:lineRule="exact"/>
        <w:rPr>
          <w:sz w:val="20"/>
          <w:szCs w:val="20"/>
          <w:color w:val="auto"/>
        </w:rPr>
      </w:pPr>
    </w:p>
    <w:p>
      <w:pPr>
        <w:ind w:left="920" w:right="20" w:firstLine="397"/>
        <w:spacing w:after="0" w:line="255" w:lineRule="auto"/>
        <w:rPr>
          <w:sz w:val="20"/>
          <w:szCs w:val="20"/>
          <w:color w:val="auto"/>
        </w:rPr>
      </w:pPr>
      <w:r>
        <w:rPr>
          <w:rFonts w:ascii="Arial" w:cs="Arial" w:eastAsia="Arial" w:hAnsi="Arial"/>
          <w:sz w:val="18"/>
          <w:szCs w:val="18"/>
          <w:i w:val="1"/>
          <w:iCs w:val="1"/>
          <w:color w:val="auto"/>
        </w:rPr>
        <w:t xml:space="preserve">Southern Pines Acquisition. </w:t>
      </w:r>
      <w:r>
        <w:rPr>
          <w:rFonts w:ascii="Arial" w:cs="Arial" w:eastAsia="Arial" w:hAnsi="Arial"/>
          <w:sz w:val="18"/>
          <w:szCs w:val="18"/>
          <w:color w:val="auto"/>
        </w:rPr>
        <w:t>On December 28, 2010, PNG executed a definitive agreement with SGR Holdings, L.L.C. and</w:t>
      </w:r>
      <w:r>
        <w:rPr>
          <w:rFonts w:ascii="Arial" w:cs="Arial" w:eastAsia="Arial" w:hAnsi="Arial"/>
          <w:sz w:val="18"/>
          <w:szCs w:val="18"/>
          <w:i w:val="1"/>
          <w:iCs w:val="1"/>
          <w:color w:val="auto"/>
        </w:rPr>
        <w:t xml:space="preserve"> </w:t>
      </w:r>
      <w:r>
        <w:rPr>
          <w:rFonts w:ascii="Arial" w:cs="Arial" w:eastAsia="Arial" w:hAnsi="Arial"/>
          <w:sz w:val="18"/>
          <w:szCs w:val="18"/>
          <w:color w:val="auto"/>
        </w:rPr>
        <w:t>Southern Pines Energy Investment Co., LLC to acquire SG Resources Mississippi, L.L.C., which owns the Southern Pines Energy Center natural gas storage facility (the “Southern Pines Acquisition”). Total consideration to be paid at closing is estimated at approximately $750 million, subject to adjustment as provided in the definitive agreement. Subject to regulatory approval and other customary closing conditions, the Southern Pines Acquisition is expected to close during the first quarter of 2011. There is no assurance that the acquisition will be completed or that the anticipated benefits of the acquisition will be realized. This offering is not conditioned on the closing of the Southern Pines Acquisition.</w:t>
      </w:r>
    </w:p>
    <w:p>
      <w:pPr>
        <w:spacing w:after="0" w:line="95" w:lineRule="exact"/>
        <w:rPr>
          <w:sz w:val="20"/>
          <w:szCs w:val="20"/>
          <w:color w:val="auto"/>
        </w:rPr>
      </w:pPr>
    </w:p>
    <w:p>
      <w:pPr>
        <w:ind w:left="920" w:right="180" w:firstLine="397"/>
        <w:spacing w:after="0" w:line="302" w:lineRule="auto"/>
        <w:rPr>
          <w:sz w:val="20"/>
          <w:szCs w:val="20"/>
          <w:color w:val="auto"/>
        </w:rPr>
      </w:pPr>
      <w:r>
        <w:rPr>
          <w:rFonts w:ascii="Arial" w:cs="Arial" w:eastAsia="Arial" w:hAnsi="Arial"/>
          <w:sz w:val="16"/>
          <w:szCs w:val="16"/>
          <w:color w:val="auto"/>
        </w:rPr>
        <w:t>The Southern Pines Energy Center is a FERC-regulated, high-performance, salt-cavern natural gas storage facility located in Greene County, Mississippi. The facility’s permits allow for 40 billion cubic feet (BCF) of working capacity from four storage caverns. The facility commenced service in 2008 and three caverns are currently in operation. A fourth cavern is currently being drilled and the facility has the capacity for further expansion if warranted by market demand and subject to availability of additional permits.</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20" w:right="20" w:firstLine="397"/>
        <w:spacing w:after="0" w:line="269" w:lineRule="auto"/>
        <w:rPr>
          <w:sz w:val="20"/>
          <w:szCs w:val="20"/>
          <w:color w:val="auto"/>
        </w:rPr>
      </w:pPr>
      <w:r>
        <w:rPr>
          <w:rFonts w:ascii="Arial" w:cs="Arial" w:eastAsia="Arial" w:hAnsi="Arial"/>
          <w:sz w:val="17"/>
          <w:szCs w:val="17"/>
          <w:color w:val="auto"/>
        </w:rPr>
        <w:t>The Partnership is a party to the Southern Pines Acquisition agreement for the limited purpose of providing certain indemnities regarding PNG’s obligation to fund the purchase price at closing. PNG has arranged financing of $800 million to fund the purchase price, closing costs, and the first 18 months of expected expansion capital. This financing is composed of $600 million of equity, approximately $262 million of which will be provided by a private placement by PNG of approximately 12.2 million of its common units to funds managed by Kayne Anderson Capital Advisors, Tortoise Capital, ClearBridge Advisors and other investors. The closing of the private placement is conditioned on the closing of the Southern Pines Acquisition. We will provide the remaining $338 million of equity capital through the purchase of approximately 15 million common units of PNG and a proportionate general partner capital contribution of approximately $12 million. The obligation of PNG to consummate the Southern Pines Acquisition is not conditioned on the receipt of any of the financing described in this paragraph. As a result of the Southern Pines Acquisition, our aggregate limited partnership interest in PNG is expected to decrease to 68.1% from 74.8% prior to the transaction. We will continue to own 100% of PNG’s general partner and PNG’s incentive distribution rights. We will also provide debt financing to PNG in the form of a $200 million three-year senior unsecured loan that is expected to bear interest at between 5 to 5.5%.</w:t>
      </w:r>
    </w:p>
    <w:p>
      <w:pPr>
        <w:spacing w:after="0" w:line="85" w:lineRule="exact"/>
        <w:rPr>
          <w:sz w:val="20"/>
          <w:szCs w:val="20"/>
          <w:color w:val="auto"/>
        </w:rPr>
      </w:pPr>
    </w:p>
    <w:p>
      <w:pPr>
        <w:ind w:left="920" w:right="40" w:firstLine="397"/>
        <w:spacing w:after="0" w:line="257" w:lineRule="auto"/>
        <w:rPr>
          <w:sz w:val="20"/>
          <w:szCs w:val="20"/>
          <w:color w:val="auto"/>
        </w:rPr>
      </w:pPr>
      <w:r>
        <w:rPr>
          <w:rFonts w:ascii="Arial" w:cs="Arial" w:eastAsia="Arial" w:hAnsi="Arial"/>
          <w:sz w:val="18"/>
          <w:szCs w:val="18"/>
          <w:i w:val="1"/>
          <w:iCs w:val="1"/>
          <w:color w:val="auto"/>
        </w:rPr>
        <w:t xml:space="preserve">Sale of General Partner Interest and Resulting Changes to Board of Directors. </w:t>
      </w:r>
      <w:r>
        <w:rPr>
          <w:rFonts w:ascii="Arial" w:cs="Arial" w:eastAsia="Arial" w:hAnsi="Arial"/>
          <w:sz w:val="18"/>
          <w:szCs w:val="18"/>
          <w:color w:val="auto"/>
        </w:rPr>
        <w:t>In December 2010, Vulcan Energy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(“VEC”) completed the sale of its 50.1% equity interest in our general partner, consisting of 50.1% of the Class A units in Plains AAP, L.P. (“Plains AAP”), the sole member of PAA GP LLC (“GP LLC”), which is our general partner, and a 50.1% member interest in Plains All American GP LLC, the general partner of Plains AAP. Substantially all of the interests were acquired by existing owners of our general partner or their affiliates.</w:t>
      </w:r>
    </w:p>
    <w:p>
      <w:pPr>
        <w:spacing w:after="0" w:line="94" w:lineRule="exact"/>
        <w:rPr>
          <w:sz w:val="20"/>
          <w:szCs w:val="20"/>
          <w:color w:val="auto"/>
        </w:rPr>
      </w:pPr>
    </w:p>
    <w:p>
      <w:pPr>
        <w:jc w:val="both"/>
        <w:ind w:left="920" w:firstLine="397"/>
        <w:spacing w:after="0" w:line="259" w:lineRule="auto"/>
        <w:rPr>
          <w:sz w:val="20"/>
          <w:szCs w:val="20"/>
          <w:color w:val="auto"/>
        </w:rPr>
      </w:pPr>
      <w:r>
        <w:rPr>
          <w:rFonts w:ascii="Arial" w:cs="Arial" w:eastAsia="Arial" w:hAnsi="Arial"/>
          <w:sz w:val="18"/>
          <w:szCs w:val="18"/>
          <w:color w:val="auto"/>
        </w:rPr>
        <w:t>As a result of the transaction described above, Vicky Sutil and John Raymond have been appointed to our general partner’s board of directors (the “Board”), and Geoff McKay and Arthur L. Smith both stepped down from the Board effective December 23rd. After giving effect to these changes, the Board includes Greg L. Armstrong, Everardo Goyanes, Gary R. Petersen, John T. Raymond, Robert V. Sinnott, Vicky Sutil, J. Taft Symonds and Christopher M. Temple.</w:t>
      </w:r>
    </w:p>
    <w:p>
      <w:pPr>
        <w:spacing w:after="0" w:line="92" w:lineRule="exact"/>
        <w:rPr>
          <w:sz w:val="20"/>
          <w:szCs w:val="20"/>
          <w:color w:val="auto"/>
        </w:rPr>
      </w:pPr>
    </w:p>
    <w:p>
      <w:pPr>
        <w:ind w:left="920" w:right="120" w:firstLine="397"/>
        <w:spacing w:after="0" w:line="269" w:lineRule="auto"/>
        <w:rPr>
          <w:sz w:val="20"/>
          <w:szCs w:val="20"/>
          <w:color w:val="auto"/>
        </w:rPr>
      </w:pPr>
      <w:r>
        <w:rPr>
          <w:rFonts w:ascii="Arial" w:cs="Arial" w:eastAsia="Arial" w:hAnsi="Arial"/>
          <w:sz w:val="17"/>
          <w:szCs w:val="17"/>
          <w:i w:val="1"/>
          <w:iCs w:val="1"/>
          <w:color w:val="auto"/>
        </w:rPr>
        <w:t xml:space="preserve">Nexen Acquisition. </w:t>
      </w:r>
      <w:r>
        <w:rPr>
          <w:rFonts w:ascii="Arial" w:cs="Arial" w:eastAsia="Arial" w:hAnsi="Arial"/>
          <w:sz w:val="17"/>
          <w:szCs w:val="17"/>
          <w:color w:val="auto"/>
        </w:rPr>
        <w:t>On December 30, 2010, we completed the acquisition from Nexen Holdings U.S.A. Inc. of certain entities that</w:t>
      </w:r>
      <w:r>
        <w:rPr>
          <w:rFonts w:ascii="Arial" w:cs="Arial" w:eastAsia="Arial" w:hAnsi="Arial"/>
          <w:sz w:val="17"/>
          <w:szCs w:val="17"/>
          <w:i w:val="1"/>
          <w:iCs w:val="1"/>
          <w:color w:val="auto"/>
        </w:rPr>
        <w:t xml:space="preserve"> </w:t>
      </w:r>
      <w:r>
        <w:rPr>
          <w:rFonts w:ascii="Arial" w:cs="Arial" w:eastAsia="Arial" w:hAnsi="Arial"/>
          <w:sz w:val="17"/>
          <w:szCs w:val="17"/>
          <w:color w:val="auto"/>
        </w:rPr>
        <w:t>hold crude oil gathering and transportation assets that primarily service Bakken area producers in North Dakota (the “Nexen Acquisition”). Total consideration paid at closing, which is subject to post-closing adjustments, was approximately $223 million, including approximately $170 million for the business and physical assets and approximately $53 million for approximately</w:t>
      </w:r>
    </w:p>
    <w:p>
      <w:pPr>
        <w:spacing w:after="0" w:line="2" w:lineRule="exact"/>
        <w:rPr>
          <w:sz w:val="20"/>
          <w:szCs w:val="20"/>
          <w:color w:val="auto"/>
        </w:rPr>
      </w:pPr>
    </w:p>
    <w:p>
      <w:pPr>
        <w:ind w:left="920" w:right="100"/>
        <w:spacing w:after="0" w:line="255" w:lineRule="auto"/>
        <w:rPr>
          <w:sz w:val="20"/>
          <w:szCs w:val="20"/>
          <w:color w:val="auto"/>
        </w:rPr>
      </w:pPr>
      <w:r>
        <w:rPr>
          <w:rFonts w:ascii="Arial" w:cs="Arial" w:eastAsia="Arial" w:hAnsi="Arial"/>
          <w:sz w:val="18"/>
          <w:szCs w:val="18"/>
          <w:color w:val="auto"/>
        </w:rPr>
        <w:t>450,000 barrels of inventory and other working capital adjustments. We believe this acquisition is consistent with our strategy to expand and strengthen our presence in long-lived, growing producing regions and is complementary to our existing Bakken area assets and activities, including our recently proposed Bakken North Pipeline project.</w:t>
      </w:r>
    </w:p>
    <w:p>
      <w:pPr>
        <w:spacing w:after="0" w:line="308"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Additional information</w:t>
      </w:r>
    </w:p>
    <w:p>
      <w:pPr>
        <w:spacing w:after="0" w:line="135"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For additional information about us, including our partnership structure and management, please see our Annual Report on</w:t>
      </w:r>
    </w:p>
    <w:p>
      <w:pPr>
        <w:spacing w:after="0" w:line="23" w:lineRule="exact"/>
        <w:rPr>
          <w:sz w:val="20"/>
          <w:szCs w:val="20"/>
          <w:color w:val="auto"/>
        </w:rPr>
      </w:pPr>
    </w:p>
    <w:p>
      <w:pPr>
        <w:ind w:left="920" w:right="60"/>
        <w:spacing w:after="0" w:line="255" w:lineRule="auto"/>
        <w:rPr>
          <w:sz w:val="20"/>
          <w:szCs w:val="20"/>
          <w:color w:val="auto"/>
        </w:rPr>
      </w:pPr>
      <w:r>
        <w:rPr>
          <w:rFonts w:ascii="Arial" w:cs="Arial" w:eastAsia="Arial" w:hAnsi="Arial"/>
          <w:sz w:val="18"/>
          <w:szCs w:val="18"/>
          <w:color w:val="auto"/>
        </w:rPr>
        <w:t>Form 10-K for the year ended December 31, 2009, our Quarterly Reports on Form 10-Q for the quarters ended March 31, 2010, June 30, 2010 and September 30, 2010 and our Current Reports on Form 8-K. Please refer to the section in this prospectus supplement entitled “Where You Can Find More Information.”</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THE OFFERING</w:t>
      </w:r>
    </w:p>
    <w:p>
      <w:pPr>
        <w:spacing w:after="0" w:line="135" w:lineRule="exact"/>
        <w:rPr>
          <w:sz w:val="20"/>
          <w:szCs w:val="20"/>
          <w:color w:val="auto"/>
        </w:rPr>
      </w:pPr>
    </w:p>
    <w:p>
      <w:pPr>
        <w:ind w:left="920" w:right="500" w:firstLine="397"/>
        <w:spacing w:after="0" w:line="312" w:lineRule="auto"/>
        <w:rPr>
          <w:sz w:val="20"/>
          <w:szCs w:val="20"/>
          <w:color w:val="auto"/>
        </w:rPr>
      </w:pPr>
      <w:r>
        <w:rPr>
          <w:rFonts w:ascii="Arial" w:cs="Arial" w:eastAsia="Arial" w:hAnsi="Arial"/>
          <w:sz w:val="16"/>
          <w:szCs w:val="16"/>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prospectus contain a more detailed description of the terms of the Notes.</w:t>
      </w:r>
    </w:p>
    <w:p>
      <w:pPr>
        <w:spacing w:after="0" w:line="52"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Issuers</w:t>
      </w:r>
      <w:r>
        <w:rPr>
          <w:sz w:val="20"/>
          <w:szCs w:val="20"/>
          <w:color w:val="auto"/>
        </w:rPr>
        <w:tab/>
      </w:r>
      <w:r>
        <w:rPr>
          <w:rFonts w:ascii="Arial" w:cs="Arial" w:eastAsia="Arial" w:hAnsi="Arial"/>
          <w:sz w:val="18"/>
          <w:szCs w:val="18"/>
          <w:color w:val="auto"/>
        </w:rPr>
        <w:t>Plains All American Pipeline, L.P. and PAA Finance Corp.</w:t>
      </w:r>
    </w:p>
    <w:p>
      <w:pPr>
        <w:spacing w:after="0" w:line="117" w:lineRule="exact"/>
        <w:rPr>
          <w:sz w:val="20"/>
          <w:szCs w:val="20"/>
          <w:color w:val="auto"/>
        </w:rPr>
      </w:pPr>
    </w:p>
    <w:p>
      <w:pPr>
        <w:ind w:left="4600" w:right="120"/>
        <w:spacing w:after="0" w:line="255" w:lineRule="auto"/>
        <w:rPr>
          <w:sz w:val="20"/>
          <w:szCs w:val="20"/>
          <w:color w:val="auto"/>
        </w:rPr>
      </w:pPr>
      <w:r>
        <w:rPr>
          <w:rFonts w:ascii="Arial" w:cs="Arial" w:eastAsia="Arial" w:hAnsi="Arial"/>
          <w:sz w:val="18"/>
          <w:szCs w:val="18"/>
          <w:color w:val="auto"/>
        </w:rPr>
        <w:t>PAA Finance Corp., a Delaware corporation, is a wholly owned subsidiary of Plains All American Pipeline, L.P. that has been organized for the purpose of co-issuing our existing notes, the Notes offered hereby and the notes issued in any future offerings. PAA Finance Corp. does not have operations of any kind and will not have any revenue other than as may be incidental to its activities as a co-issuer of our debt securities.</w:t>
      </w:r>
    </w:p>
    <w:p>
      <w:pPr>
        <w:spacing w:after="0" w:line="8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Guarantees</w:t>
            </w:r>
          </w:p>
        </w:tc>
        <w:tc>
          <w:tcPr>
            <w:tcW w:w="7280" w:type="dxa"/>
            <w:vAlign w:val="bottom"/>
            <w:gridSpan w:val="7"/>
          </w:tcPr>
          <w:p>
            <w:pPr>
              <w:ind w:left="1040"/>
              <w:spacing w:after="0"/>
              <w:rPr>
                <w:sz w:val="20"/>
                <w:szCs w:val="20"/>
                <w:color w:val="auto"/>
              </w:rPr>
            </w:pPr>
            <w:r>
              <w:rPr>
                <w:rFonts w:ascii="Arial" w:cs="Arial" w:eastAsia="Arial" w:hAnsi="Arial"/>
                <w:sz w:val="18"/>
                <w:szCs w:val="18"/>
                <w:color w:val="auto"/>
                <w:w w:val="94"/>
              </w:rPr>
              <w:t>Initially, all payments with respect to the Notes (including principal and interest) will</w:t>
            </w:r>
          </w:p>
        </w:tc>
      </w:tr>
      <w:tr>
        <w:trPr>
          <w:trHeight w:val="216"/>
        </w:trPr>
        <w:tc>
          <w:tcPr>
            <w:tcW w:w="2640" w:type="dxa"/>
            <w:vAlign w:val="bottom"/>
          </w:tcPr>
          <w:p>
            <w:pPr>
              <w:spacing w:after="0"/>
              <w:rPr>
                <w:sz w:val="18"/>
                <w:szCs w:val="18"/>
                <w:color w:val="auto"/>
              </w:rPr>
            </w:pPr>
          </w:p>
        </w:tc>
        <w:tc>
          <w:tcPr>
            <w:tcW w:w="7280" w:type="dxa"/>
            <w:vAlign w:val="bottom"/>
            <w:gridSpan w:val="7"/>
          </w:tcPr>
          <w:p>
            <w:pPr>
              <w:ind w:left="1040"/>
              <w:spacing w:after="0"/>
              <w:rPr>
                <w:sz w:val="20"/>
                <w:szCs w:val="20"/>
                <w:color w:val="auto"/>
              </w:rPr>
            </w:pPr>
            <w:r>
              <w:rPr>
                <w:rFonts w:ascii="Arial" w:cs="Arial" w:eastAsia="Arial" w:hAnsi="Arial"/>
                <w:sz w:val="18"/>
                <w:szCs w:val="18"/>
                <w:color w:val="auto"/>
                <w:w w:val="95"/>
              </w:rPr>
              <w:t>be fully and unconditionally guaranteed, jointly and severally, by all of our existing</w:t>
            </w:r>
          </w:p>
        </w:tc>
      </w:tr>
      <w:tr>
        <w:trPr>
          <w:trHeight w:val="216"/>
        </w:trPr>
        <w:tc>
          <w:tcPr>
            <w:tcW w:w="2640" w:type="dxa"/>
            <w:vAlign w:val="bottom"/>
          </w:tcPr>
          <w:p>
            <w:pPr>
              <w:spacing w:after="0"/>
              <w:rPr>
                <w:sz w:val="18"/>
                <w:szCs w:val="18"/>
                <w:color w:val="auto"/>
              </w:rPr>
            </w:pPr>
          </w:p>
        </w:tc>
        <w:tc>
          <w:tcPr>
            <w:tcW w:w="7280" w:type="dxa"/>
            <w:vAlign w:val="bottom"/>
            <w:gridSpan w:val="7"/>
          </w:tcPr>
          <w:p>
            <w:pPr>
              <w:ind w:left="1040"/>
              <w:spacing w:after="0"/>
              <w:rPr>
                <w:sz w:val="20"/>
                <w:szCs w:val="20"/>
                <w:color w:val="auto"/>
              </w:rPr>
            </w:pPr>
            <w:r>
              <w:rPr>
                <w:rFonts w:ascii="Arial" w:cs="Arial" w:eastAsia="Arial" w:hAnsi="Arial"/>
                <w:sz w:val="18"/>
                <w:szCs w:val="18"/>
                <w:color w:val="auto"/>
                <w:w w:val="93"/>
              </w:rPr>
              <w:t>subsidiaries other than (i) PAA Finance Corp., the co-issuer of the Notes, (ii) PNGS</w:t>
            </w:r>
          </w:p>
        </w:tc>
      </w:tr>
      <w:tr>
        <w:trPr>
          <w:trHeight w:val="216"/>
        </w:trPr>
        <w:tc>
          <w:tcPr>
            <w:tcW w:w="2640" w:type="dxa"/>
            <w:vAlign w:val="bottom"/>
          </w:tcPr>
          <w:p>
            <w:pPr>
              <w:spacing w:after="0"/>
              <w:rPr>
                <w:sz w:val="18"/>
                <w:szCs w:val="18"/>
                <w:color w:val="auto"/>
              </w:rPr>
            </w:pPr>
          </w:p>
        </w:tc>
        <w:tc>
          <w:tcPr>
            <w:tcW w:w="7280" w:type="dxa"/>
            <w:vAlign w:val="bottom"/>
            <w:gridSpan w:val="7"/>
          </w:tcPr>
          <w:p>
            <w:pPr>
              <w:ind w:left="1040"/>
              <w:spacing w:after="0"/>
              <w:rPr>
                <w:sz w:val="20"/>
                <w:szCs w:val="20"/>
                <w:color w:val="auto"/>
              </w:rPr>
            </w:pPr>
            <w:r>
              <w:rPr>
                <w:rFonts w:ascii="Arial" w:cs="Arial" w:eastAsia="Arial" w:hAnsi="Arial"/>
                <w:sz w:val="18"/>
                <w:szCs w:val="18"/>
                <w:color w:val="auto"/>
                <w:w w:val="90"/>
              </w:rPr>
              <w:t>GP, PNG and their respective subsidiaries, (iii) subsidiaries regulated by the California</w:t>
            </w:r>
          </w:p>
        </w:tc>
      </w:tr>
      <w:tr>
        <w:trPr>
          <w:trHeight w:val="216"/>
        </w:trPr>
        <w:tc>
          <w:tcPr>
            <w:tcW w:w="2640" w:type="dxa"/>
            <w:vAlign w:val="bottom"/>
          </w:tcPr>
          <w:p>
            <w:pPr>
              <w:spacing w:after="0"/>
              <w:rPr>
                <w:sz w:val="18"/>
                <w:szCs w:val="18"/>
                <w:color w:val="auto"/>
              </w:rPr>
            </w:pPr>
          </w:p>
        </w:tc>
        <w:tc>
          <w:tcPr>
            <w:tcW w:w="7280" w:type="dxa"/>
            <w:vAlign w:val="bottom"/>
            <w:gridSpan w:val="7"/>
          </w:tcPr>
          <w:p>
            <w:pPr>
              <w:ind w:left="1040"/>
              <w:spacing w:after="0"/>
              <w:rPr>
                <w:sz w:val="20"/>
                <w:szCs w:val="20"/>
                <w:color w:val="auto"/>
              </w:rPr>
            </w:pPr>
            <w:r>
              <w:rPr>
                <w:rFonts w:ascii="Arial" w:cs="Arial" w:eastAsia="Arial" w:hAnsi="Arial"/>
                <w:sz w:val="18"/>
                <w:szCs w:val="18"/>
                <w:color w:val="auto"/>
                <w:w w:val="91"/>
              </w:rPr>
              <w:t>Public Utilities Commission and (iv) subsidiaries that are minor. Subsidiaries acquired</w:t>
            </w:r>
          </w:p>
        </w:tc>
      </w:tr>
      <w:tr>
        <w:trPr>
          <w:trHeight w:val="216"/>
        </w:trPr>
        <w:tc>
          <w:tcPr>
            <w:tcW w:w="2640" w:type="dxa"/>
            <w:vAlign w:val="bottom"/>
          </w:tcPr>
          <w:p>
            <w:pPr>
              <w:spacing w:after="0"/>
              <w:rPr>
                <w:sz w:val="18"/>
                <w:szCs w:val="18"/>
                <w:color w:val="auto"/>
              </w:rPr>
            </w:pPr>
          </w:p>
        </w:tc>
        <w:tc>
          <w:tcPr>
            <w:tcW w:w="7280" w:type="dxa"/>
            <w:vAlign w:val="bottom"/>
            <w:gridSpan w:val="7"/>
          </w:tcPr>
          <w:p>
            <w:pPr>
              <w:ind w:left="1040"/>
              <w:spacing w:after="0"/>
              <w:rPr>
                <w:sz w:val="20"/>
                <w:szCs w:val="20"/>
                <w:color w:val="auto"/>
              </w:rPr>
            </w:pPr>
            <w:r>
              <w:rPr>
                <w:rFonts w:ascii="Arial" w:cs="Arial" w:eastAsia="Arial" w:hAnsi="Arial"/>
                <w:sz w:val="18"/>
                <w:szCs w:val="18"/>
                <w:color w:val="auto"/>
                <w:w w:val="92"/>
              </w:rPr>
              <w:t>in the future may or may not become guarantors, but any subsidiary that guarantees</w:t>
            </w:r>
          </w:p>
        </w:tc>
      </w:tr>
      <w:tr>
        <w:trPr>
          <w:trHeight w:val="216"/>
        </w:trPr>
        <w:tc>
          <w:tcPr>
            <w:tcW w:w="2640" w:type="dxa"/>
            <w:vAlign w:val="bottom"/>
          </w:tcPr>
          <w:p>
            <w:pPr>
              <w:spacing w:after="0"/>
              <w:rPr>
                <w:sz w:val="18"/>
                <w:szCs w:val="18"/>
                <w:color w:val="auto"/>
              </w:rPr>
            </w:pPr>
          </w:p>
        </w:tc>
        <w:tc>
          <w:tcPr>
            <w:tcW w:w="7280" w:type="dxa"/>
            <w:vAlign w:val="bottom"/>
            <w:gridSpan w:val="7"/>
          </w:tcPr>
          <w:p>
            <w:pPr>
              <w:ind w:left="1040"/>
              <w:spacing w:after="0"/>
              <w:rPr>
                <w:sz w:val="20"/>
                <w:szCs w:val="20"/>
                <w:color w:val="auto"/>
              </w:rPr>
            </w:pPr>
            <w:r>
              <w:rPr>
                <w:rFonts w:ascii="Arial" w:cs="Arial" w:eastAsia="Arial" w:hAnsi="Arial"/>
                <w:sz w:val="18"/>
                <w:szCs w:val="18"/>
                <w:color w:val="auto"/>
                <w:w w:val="91"/>
              </w:rPr>
              <w:t>other indebtedness of ours or another subsidiary must also guarantee the Notes. The</w:t>
            </w:r>
          </w:p>
        </w:tc>
      </w:tr>
      <w:tr>
        <w:trPr>
          <w:trHeight w:val="216"/>
        </w:trPr>
        <w:tc>
          <w:tcPr>
            <w:tcW w:w="2640" w:type="dxa"/>
            <w:vAlign w:val="bottom"/>
          </w:tcPr>
          <w:p>
            <w:pPr>
              <w:spacing w:after="0"/>
              <w:rPr>
                <w:sz w:val="18"/>
                <w:szCs w:val="18"/>
                <w:color w:val="auto"/>
              </w:rPr>
            </w:pPr>
          </w:p>
        </w:tc>
        <w:tc>
          <w:tcPr>
            <w:tcW w:w="7280" w:type="dxa"/>
            <w:vAlign w:val="bottom"/>
            <w:gridSpan w:val="7"/>
          </w:tcPr>
          <w:p>
            <w:pPr>
              <w:ind w:left="1040"/>
              <w:spacing w:after="0"/>
              <w:rPr>
                <w:sz w:val="20"/>
                <w:szCs w:val="20"/>
                <w:color w:val="auto"/>
              </w:rPr>
            </w:pPr>
            <w:r>
              <w:rPr>
                <w:rFonts w:ascii="Arial" w:cs="Arial" w:eastAsia="Arial" w:hAnsi="Arial"/>
                <w:sz w:val="18"/>
                <w:szCs w:val="18"/>
                <w:color w:val="auto"/>
                <w:w w:val="90"/>
              </w:rPr>
              <w:t>guarantees are also subject to release in certain circumstances. The guarantees of the</w:t>
            </w:r>
          </w:p>
        </w:tc>
      </w:tr>
      <w:tr>
        <w:trPr>
          <w:trHeight w:val="216"/>
        </w:trPr>
        <w:tc>
          <w:tcPr>
            <w:tcW w:w="2640" w:type="dxa"/>
            <w:vAlign w:val="bottom"/>
          </w:tcPr>
          <w:p>
            <w:pPr>
              <w:spacing w:after="0"/>
              <w:rPr>
                <w:sz w:val="18"/>
                <w:szCs w:val="18"/>
                <w:color w:val="auto"/>
              </w:rPr>
            </w:pPr>
          </w:p>
        </w:tc>
        <w:tc>
          <w:tcPr>
            <w:tcW w:w="7280" w:type="dxa"/>
            <w:vAlign w:val="bottom"/>
            <w:gridSpan w:val="7"/>
          </w:tcPr>
          <w:p>
            <w:pPr>
              <w:ind w:left="1040"/>
              <w:spacing w:after="0"/>
              <w:rPr>
                <w:sz w:val="20"/>
                <w:szCs w:val="20"/>
                <w:color w:val="auto"/>
              </w:rPr>
            </w:pPr>
            <w:r>
              <w:rPr>
                <w:rFonts w:ascii="Arial" w:cs="Arial" w:eastAsia="Arial" w:hAnsi="Arial"/>
                <w:sz w:val="18"/>
                <w:szCs w:val="18"/>
                <w:color w:val="auto"/>
                <w:w w:val="90"/>
              </w:rPr>
              <w:t>Notes are general unsecured obligations of the subsidiary guarantors and rank equally</w:t>
            </w:r>
          </w:p>
        </w:tc>
      </w:tr>
      <w:tr>
        <w:trPr>
          <w:trHeight w:val="216"/>
        </w:trPr>
        <w:tc>
          <w:tcPr>
            <w:tcW w:w="2640" w:type="dxa"/>
            <w:vAlign w:val="bottom"/>
          </w:tcPr>
          <w:p>
            <w:pPr>
              <w:spacing w:after="0"/>
              <w:rPr>
                <w:sz w:val="18"/>
                <w:szCs w:val="18"/>
                <w:color w:val="auto"/>
              </w:rPr>
            </w:pPr>
          </w:p>
        </w:tc>
        <w:tc>
          <w:tcPr>
            <w:tcW w:w="6580" w:type="dxa"/>
            <w:vAlign w:val="bottom"/>
            <w:gridSpan w:val="6"/>
          </w:tcPr>
          <w:p>
            <w:pPr>
              <w:ind w:left="1040"/>
              <w:spacing w:after="0"/>
              <w:rPr>
                <w:sz w:val="20"/>
                <w:szCs w:val="20"/>
                <w:color w:val="auto"/>
              </w:rPr>
            </w:pPr>
            <w:r>
              <w:rPr>
                <w:rFonts w:ascii="Arial" w:cs="Arial" w:eastAsia="Arial" w:hAnsi="Arial"/>
                <w:sz w:val="18"/>
                <w:szCs w:val="18"/>
                <w:color w:val="auto"/>
                <w:w w:val="90"/>
              </w:rPr>
              <w:t>with any existing and future senior unsecured indebtedness of the subsidiary</w:t>
            </w:r>
          </w:p>
        </w:tc>
        <w:tc>
          <w:tcPr>
            <w:tcW w:w="700" w:type="dxa"/>
            <w:vAlign w:val="bottom"/>
          </w:tcPr>
          <w:p>
            <w:pPr>
              <w:spacing w:after="0"/>
              <w:rPr>
                <w:sz w:val="18"/>
                <w:szCs w:val="18"/>
                <w:color w:val="auto"/>
              </w:rPr>
            </w:pPr>
          </w:p>
        </w:tc>
      </w:tr>
      <w:tr>
        <w:trPr>
          <w:trHeight w:val="230"/>
        </w:trPr>
        <w:tc>
          <w:tcPr>
            <w:tcW w:w="2640" w:type="dxa"/>
            <w:vAlign w:val="bottom"/>
          </w:tcPr>
          <w:p>
            <w:pPr>
              <w:spacing w:after="0"/>
              <w:rPr>
                <w:sz w:val="20"/>
                <w:szCs w:val="20"/>
                <w:color w:val="auto"/>
              </w:rPr>
            </w:pPr>
          </w:p>
        </w:tc>
        <w:tc>
          <w:tcPr>
            <w:tcW w:w="5560" w:type="dxa"/>
            <w:vAlign w:val="bottom"/>
            <w:gridSpan w:val="5"/>
          </w:tcPr>
          <w:p>
            <w:pPr>
              <w:ind w:left="1040"/>
              <w:spacing w:after="0"/>
              <w:rPr>
                <w:sz w:val="20"/>
                <w:szCs w:val="20"/>
                <w:color w:val="auto"/>
              </w:rPr>
            </w:pPr>
            <w:r>
              <w:rPr>
                <w:rFonts w:ascii="Arial" w:cs="Arial" w:eastAsia="Arial" w:hAnsi="Arial"/>
                <w:sz w:val="18"/>
                <w:szCs w:val="18"/>
                <w:color w:val="auto"/>
                <w:w w:val="96"/>
              </w:rPr>
              <w:t>guarantors. See “Description of Notes — The guarantees.”</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24"/>
        </w:trPr>
        <w:tc>
          <w:tcPr>
            <w:tcW w:w="2640" w:type="dxa"/>
            <w:vAlign w:val="bottom"/>
          </w:tcPr>
          <w:p>
            <w:pPr>
              <w:spacing w:after="0"/>
              <w:rPr>
                <w:sz w:val="20"/>
                <w:szCs w:val="20"/>
                <w:color w:val="auto"/>
              </w:rPr>
            </w:pPr>
            <w:r>
              <w:rPr>
                <w:rFonts w:ascii="Arial" w:cs="Arial" w:eastAsia="Arial" w:hAnsi="Arial"/>
                <w:sz w:val="18"/>
                <w:szCs w:val="18"/>
                <w:color w:val="auto"/>
              </w:rPr>
              <w:t>Notes offered</w:t>
            </w:r>
          </w:p>
        </w:tc>
        <w:tc>
          <w:tcPr>
            <w:tcW w:w="1200" w:type="dxa"/>
            <w:vAlign w:val="bottom"/>
          </w:tcPr>
          <w:p>
            <w:pPr>
              <w:ind w:left="1040"/>
              <w:spacing w:after="0"/>
              <w:rPr>
                <w:sz w:val="20"/>
                <w:szCs w:val="20"/>
                <w:color w:val="auto"/>
              </w:rPr>
            </w:pPr>
            <w:r>
              <w:rPr>
                <w:rFonts w:ascii="Arial" w:cs="Arial" w:eastAsia="Arial" w:hAnsi="Arial"/>
                <w:sz w:val="18"/>
                <w:szCs w:val="18"/>
                <w:color w:val="auto"/>
              </w:rPr>
              <w:t>$</w:t>
            </w:r>
          </w:p>
        </w:tc>
        <w:tc>
          <w:tcPr>
            <w:tcW w:w="2580" w:type="dxa"/>
            <w:vAlign w:val="bottom"/>
            <w:gridSpan w:val="3"/>
          </w:tcPr>
          <w:p>
            <w:pPr>
              <w:jc w:val="right"/>
              <w:ind w:right="130"/>
              <w:spacing w:after="0"/>
              <w:rPr>
                <w:sz w:val="20"/>
                <w:szCs w:val="20"/>
                <w:color w:val="auto"/>
              </w:rPr>
            </w:pPr>
            <w:r>
              <w:rPr>
                <w:rFonts w:ascii="Arial" w:cs="Arial" w:eastAsia="Arial" w:hAnsi="Arial"/>
                <w:sz w:val="18"/>
                <w:szCs w:val="18"/>
                <w:color w:val="auto"/>
                <w:w w:val="98"/>
              </w:rPr>
              <w:t>aggregate principal amount of</w:t>
            </w:r>
          </w:p>
        </w:tc>
        <w:tc>
          <w:tcPr>
            <w:tcW w:w="1780" w:type="dxa"/>
            <w:vAlign w:val="bottom"/>
          </w:tcPr>
          <w:p>
            <w:pPr>
              <w:spacing w:after="0"/>
              <w:rPr>
                <w:sz w:val="20"/>
                <w:szCs w:val="20"/>
                <w:color w:val="auto"/>
              </w:rPr>
            </w:pPr>
            <w:r>
              <w:rPr>
                <w:rFonts w:ascii="Arial" w:cs="Arial" w:eastAsia="Arial" w:hAnsi="Arial"/>
                <w:sz w:val="18"/>
                <w:szCs w:val="18"/>
                <w:color w:val="auto"/>
              </w:rPr>
              <w:t>% Senior Notes due</w:t>
            </w:r>
          </w:p>
        </w:tc>
        <w:tc>
          <w:tcPr>
            <w:tcW w:w="10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r>
      <w:tr>
        <w:trPr>
          <w:trHeight w:val="324"/>
        </w:trPr>
        <w:tc>
          <w:tcPr>
            <w:tcW w:w="2640" w:type="dxa"/>
            <w:vAlign w:val="bottom"/>
          </w:tcPr>
          <w:p>
            <w:pPr>
              <w:spacing w:after="0"/>
              <w:rPr>
                <w:sz w:val="20"/>
                <w:szCs w:val="20"/>
                <w:color w:val="auto"/>
              </w:rPr>
            </w:pPr>
            <w:r>
              <w:rPr>
                <w:rFonts w:ascii="Arial" w:cs="Arial" w:eastAsia="Arial" w:hAnsi="Arial"/>
                <w:sz w:val="18"/>
                <w:szCs w:val="18"/>
                <w:color w:val="auto"/>
              </w:rPr>
              <w:t>Maturity date</w:t>
            </w:r>
          </w:p>
        </w:tc>
        <w:tc>
          <w:tcPr>
            <w:tcW w:w="1200" w:type="dxa"/>
            <w:vAlign w:val="bottom"/>
          </w:tcPr>
          <w:p>
            <w:pPr>
              <w:spacing w:after="0"/>
              <w:rPr>
                <w:sz w:val="24"/>
                <w:szCs w:val="24"/>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4"/>
        </w:trPr>
        <w:tc>
          <w:tcPr>
            <w:tcW w:w="2640" w:type="dxa"/>
            <w:vAlign w:val="bottom"/>
          </w:tcPr>
          <w:p>
            <w:pPr>
              <w:spacing w:after="0"/>
              <w:rPr>
                <w:sz w:val="20"/>
                <w:szCs w:val="20"/>
                <w:color w:val="auto"/>
              </w:rPr>
            </w:pPr>
            <w:r>
              <w:rPr>
                <w:rFonts w:ascii="Arial" w:cs="Arial" w:eastAsia="Arial" w:hAnsi="Arial"/>
                <w:sz w:val="18"/>
                <w:szCs w:val="18"/>
                <w:color w:val="auto"/>
              </w:rPr>
              <w:t>Interest rate</w:t>
            </w:r>
          </w:p>
        </w:tc>
        <w:tc>
          <w:tcPr>
            <w:tcW w:w="1200" w:type="dxa"/>
            <w:vAlign w:val="bottom"/>
          </w:tcPr>
          <w:p>
            <w:pPr>
              <w:spacing w:after="0"/>
              <w:rPr>
                <w:sz w:val="24"/>
                <w:szCs w:val="24"/>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0"/>
        </w:trPr>
        <w:tc>
          <w:tcPr>
            <w:tcW w:w="26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5560" w:type="dxa"/>
            <w:vAlign w:val="bottom"/>
            <w:gridSpan w:val="5"/>
          </w:tcPr>
          <w:p>
            <w:pPr>
              <w:ind w:left="1040"/>
              <w:spacing w:after="0"/>
              <w:rPr>
                <w:sz w:val="20"/>
                <w:szCs w:val="20"/>
                <w:color w:val="auto"/>
              </w:rPr>
            </w:pPr>
            <w:r>
              <w:rPr>
                <w:rFonts w:ascii="Arial" w:cs="Arial" w:eastAsia="Arial" w:hAnsi="Arial"/>
                <w:sz w:val="18"/>
                <w:szCs w:val="18"/>
                <w:color w:val="auto"/>
                <w:w w:val="92"/>
              </w:rPr>
              <w:t>We will pay interest on the Notes semi-annually in arrears on</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and</w:t>
            </w:r>
          </w:p>
        </w:tc>
        <w:tc>
          <w:tcPr>
            <w:tcW w:w="700" w:type="dxa"/>
            <w:vAlign w:val="bottom"/>
          </w:tcPr>
          <w:p>
            <w:pPr>
              <w:ind w:left="60"/>
              <w:spacing w:after="0"/>
              <w:rPr>
                <w:sz w:val="20"/>
                <w:szCs w:val="20"/>
                <w:color w:val="auto"/>
              </w:rPr>
            </w:pPr>
            <w:r>
              <w:rPr>
                <w:rFonts w:ascii="Arial" w:cs="Arial" w:eastAsia="Arial" w:hAnsi="Arial"/>
                <w:sz w:val="18"/>
                <w:szCs w:val="18"/>
                <w:color w:val="auto"/>
              </w:rPr>
              <w:t>of each</w:t>
            </w:r>
          </w:p>
        </w:tc>
      </w:tr>
      <w:tr>
        <w:trPr>
          <w:trHeight w:val="230"/>
        </w:trPr>
        <w:tc>
          <w:tcPr>
            <w:tcW w:w="2640" w:type="dxa"/>
            <w:vAlign w:val="bottom"/>
          </w:tcPr>
          <w:p>
            <w:pPr>
              <w:spacing w:after="0"/>
              <w:rPr>
                <w:sz w:val="20"/>
                <w:szCs w:val="20"/>
                <w:color w:val="auto"/>
              </w:rPr>
            </w:pPr>
          </w:p>
        </w:tc>
        <w:tc>
          <w:tcPr>
            <w:tcW w:w="2600" w:type="dxa"/>
            <w:vAlign w:val="bottom"/>
            <w:gridSpan w:val="3"/>
          </w:tcPr>
          <w:p>
            <w:pPr>
              <w:ind w:left="1040"/>
              <w:spacing w:after="0"/>
              <w:rPr>
                <w:sz w:val="20"/>
                <w:szCs w:val="20"/>
                <w:color w:val="auto"/>
              </w:rPr>
            </w:pPr>
            <w:r>
              <w:rPr>
                <w:rFonts w:ascii="Arial" w:cs="Arial" w:eastAsia="Arial" w:hAnsi="Arial"/>
                <w:sz w:val="18"/>
                <w:szCs w:val="18"/>
                <w:color w:val="auto"/>
              </w:rPr>
              <w:t>year, beginning on</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 2011.</w:t>
            </w:r>
          </w:p>
        </w:tc>
        <w:tc>
          <w:tcPr>
            <w:tcW w:w="1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10"/>
        </w:trPr>
        <w:tc>
          <w:tcPr>
            <w:tcW w:w="2640" w:type="dxa"/>
            <w:vAlign w:val="bottom"/>
          </w:tcPr>
          <w:p>
            <w:pPr>
              <w:spacing w:after="0"/>
              <w:rPr>
                <w:sz w:val="20"/>
                <w:szCs w:val="20"/>
                <w:color w:val="auto"/>
              </w:rPr>
            </w:pPr>
            <w:r>
              <w:rPr>
                <w:rFonts w:ascii="Arial" w:cs="Arial" w:eastAsia="Arial" w:hAnsi="Arial"/>
                <w:sz w:val="18"/>
                <w:szCs w:val="18"/>
                <w:color w:val="auto"/>
              </w:rPr>
              <w:t>Optional redemption</w:t>
            </w:r>
          </w:p>
        </w:tc>
        <w:tc>
          <w:tcPr>
            <w:tcW w:w="7280" w:type="dxa"/>
            <w:vAlign w:val="bottom"/>
            <w:gridSpan w:val="7"/>
          </w:tcPr>
          <w:p>
            <w:pPr>
              <w:ind w:left="1040"/>
              <w:spacing w:after="0"/>
              <w:rPr>
                <w:sz w:val="20"/>
                <w:szCs w:val="20"/>
                <w:color w:val="auto"/>
              </w:rPr>
            </w:pPr>
            <w:r>
              <w:rPr>
                <w:rFonts w:ascii="Arial" w:cs="Arial" w:eastAsia="Arial" w:hAnsi="Arial"/>
                <w:sz w:val="18"/>
                <w:szCs w:val="18"/>
                <w:color w:val="auto"/>
                <w:w w:val="91"/>
              </w:rPr>
              <w:t>We may redeem the Notes, in whole or in part, at any time and from time to time prior</w:t>
            </w:r>
          </w:p>
        </w:tc>
      </w:tr>
      <w:tr>
        <w:trPr>
          <w:trHeight w:val="216"/>
        </w:trPr>
        <w:tc>
          <w:tcPr>
            <w:tcW w:w="2640" w:type="dxa"/>
            <w:vAlign w:val="bottom"/>
          </w:tcPr>
          <w:p>
            <w:pPr>
              <w:spacing w:after="0"/>
              <w:rPr>
                <w:sz w:val="18"/>
                <w:szCs w:val="18"/>
                <w:color w:val="auto"/>
              </w:rPr>
            </w:pPr>
          </w:p>
        </w:tc>
        <w:tc>
          <w:tcPr>
            <w:tcW w:w="7280" w:type="dxa"/>
            <w:vAlign w:val="bottom"/>
            <w:gridSpan w:val="7"/>
          </w:tcPr>
          <w:p>
            <w:pPr>
              <w:ind w:left="1040"/>
              <w:spacing w:after="0"/>
              <w:rPr>
                <w:sz w:val="20"/>
                <w:szCs w:val="20"/>
                <w:color w:val="auto"/>
              </w:rPr>
            </w:pPr>
            <w:r>
              <w:rPr>
                <w:rFonts w:ascii="Arial" w:cs="Arial" w:eastAsia="Arial" w:hAnsi="Arial"/>
                <w:sz w:val="18"/>
                <w:szCs w:val="18"/>
                <w:color w:val="auto"/>
                <w:w w:val="91"/>
              </w:rPr>
              <w:t>to maturity. If we redeem the Notes before a date that is 90 days prior to their maturity</w:t>
            </w:r>
          </w:p>
        </w:tc>
      </w:tr>
      <w:tr>
        <w:trPr>
          <w:trHeight w:val="216"/>
        </w:trPr>
        <w:tc>
          <w:tcPr>
            <w:tcW w:w="2640" w:type="dxa"/>
            <w:vAlign w:val="bottom"/>
          </w:tcPr>
          <w:p>
            <w:pPr>
              <w:spacing w:after="0"/>
              <w:rPr>
                <w:sz w:val="18"/>
                <w:szCs w:val="18"/>
                <w:color w:val="auto"/>
              </w:rPr>
            </w:pPr>
          </w:p>
        </w:tc>
        <w:tc>
          <w:tcPr>
            <w:tcW w:w="7280" w:type="dxa"/>
            <w:vAlign w:val="bottom"/>
            <w:gridSpan w:val="7"/>
          </w:tcPr>
          <w:p>
            <w:pPr>
              <w:ind w:left="1040"/>
              <w:spacing w:after="0"/>
              <w:rPr>
                <w:sz w:val="20"/>
                <w:szCs w:val="20"/>
                <w:color w:val="auto"/>
              </w:rPr>
            </w:pPr>
            <w:r>
              <w:rPr>
                <w:rFonts w:ascii="Arial" w:cs="Arial" w:eastAsia="Arial" w:hAnsi="Arial"/>
                <w:sz w:val="18"/>
                <w:szCs w:val="18"/>
                <w:color w:val="auto"/>
                <w:w w:val="95"/>
              </w:rPr>
              <w:t>date, the Notes may be redeemed at a price equal to the greater of (i) 100% of the</w:t>
            </w:r>
          </w:p>
        </w:tc>
      </w:tr>
      <w:tr>
        <w:trPr>
          <w:trHeight w:val="216"/>
        </w:trPr>
        <w:tc>
          <w:tcPr>
            <w:tcW w:w="2640" w:type="dxa"/>
            <w:vAlign w:val="bottom"/>
          </w:tcPr>
          <w:p>
            <w:pPr>
              <w:spacing w:after="0"/>
              <w:rPr>
                <w:sz w:val="18"/>
                <w:szCs w:val="18"/>
                <w:color w:val="auto"/>
              </w:rPr>
            </w:pPr>
          </w:p>
        </w:tc>
        <w:tc>
          <w:tcPr>
            <w:tcW w:w="7280" w:type="dxa"/>
            <w:vAlign w:val="bottom"/>
            <w:gridSpan w:val="7"/>
          </w:tcPr>
          <w:p>
            <w:pPr>
              <w:ind w:left="1040"/>
              <w:spacing w:after="0"/>
              <w:rPr>
                <w:sz w:val="20"/>
                <w:szCs w:val="20"/>
                <w:color w:val="auto"/>
              </w:rPr>
            </w:pPr>
            <w:r>
              <w:rPr>
                <w:rFonts w:ascii="Arial" w:cs="Arial" w:eastAsia="Arial" w:hAnsi="Arial"/>
                <w:sz w:val="18"/>
                <w:szCs w:val="18"/>
                <w:color w:val="auto"/>
                <w:w w:val="92"/>
              </w:rPr>
              <w:t>principal amount of the Notes to be redeemed or (ii) the sum of the present values of</w:t>
            </w:r>
          </w:p>
        </w:tc>
      </w:tr>
      <w:tr>
        <w:trPr>
          <w:trHeight w:val="216"/>
        </w:trPr>
        <w:tc>
          <w:tcPr>
            <w:tcW w:w="2640" w:type="dxa"/>
            <w:vAlign w:val="bottom"/>
          </w:tcPr>
          <w:p>
            <w:pPr>
              <w:spacing w:after="0"/>
              <w:rPr>
                <w:sz w:val="18"/>
                <w:szCs w:val="18"/>
                <w:color w:val="auto"/>
              </w:rPr>
            </w:pPr>
          </w:p>
        </w:tc>
        <w:tc>
          <w:tcPr>
            <w:tcW w:w="7280" w:type="dxa"/>
            <w:vAlign w:val="bottom"/>
            <w:gridSpan w:val="7"/>
          </w:tcPr>
          <w:p>
            <w:pPr>
              <w:ind w:left="1040"/>
              <w:spacing w:after="0"/>
              <w:rPr>
                <w:sz w:val="20"/>
                <w:szCs w:val="20"/>
                <w:color w:val="auto"/>
              </w:rPr>
            </w:pPr>
            <w:r>
              <w:rPr>
                <w:rFonts w:ascii="Arial" w:cs="Arial" w:eastAsia="Arial" w:hAnsi="Arial"/>
                <w:sz w:val="18"/>
                <w:szCs w:val="18"/>
                <w:color w:val="auto"/>
                <w:w w:val="96"/>
              </w:rPr>
              <w:t>the remaining scheduled payments of principal of and interest on the Notes to be</w:t>
            </w:r>
          </w:p>
        </w:tc>
      </w:tr>
      <w:tr>
        <w:trPr>
          <w:trHeight w:val="216"/>
        </w:trPr>
        <w:tc>
          <w:tcPr>
            <w:tcW w:w="2640" w:type="dxa"/>
            <w:vAlign w:val="bottom"/>
          </w:tcPr>
          <w:p>
            <w:pPr>
              <w:spacing w:after="0"/>
              <w:rPr>
                <w:sz w:val="18"/>
                <w:szCs w:val="18"/>
                <w:color w:val="auto"/>
              </w:rPr>
            </w:pPr>
          </w:p>
        </w:tc>
        <w:tc>
          <w:tcPr>
            <w:tcW w:w="7280" w:type="dxa"/>
            <w:vAlign w:val="bottom"/>
            <w:gridSpan w:val="7"/>
          </w:tcPr>
          <w:p>
            <w:pPr>
              <w:ind w:left="1040"/>
              <w:spacing w:after="0"/>
              <w:rPr>
                <w:sz w:val="20"/>
                <w:szCs w:val="20"/>
                <w:color w:val="auto"/>
              </w:rPr>
            </w:pPr>
            <w:r>
              <w:rPr>
                <w:rFonts w:ascii="Arial" w:cs="Arial" w:eastAsia="Arial" w:hAnsi="Arial"/>
                <w:sz w:val="18"/>
                <w:szCs w:val="18"/>
                <w:color w:val="auto"/>
                <w:w w:val="92"/>
              </w:rPr>
              <w:t>redeemed, discounted to the redemption date on a semiannual basis at the Adjusted</w:t>
            </w:r>
          </w:p>
        </w:tc>
      </w:tr>
      <w:tr>
        <w:trPr>
          <w:trHeight w:val="230"/>
        </w:trPr>
        <w:tc>
          <w:tcPr>
            <w:tcW w:w="2640" w:type="dxa"/>
            <w:vAlign w:val="bottom"/>
          </w:tcPr>
          <w:p>
            <w:pPr>
              <w:spacing w:after="0"/>
              <w:rPr>
                <w:sz w:val="20"/>
                <w:szCs w:val="20"/>
                <w:color w:val="auto"/>
              </w:rPr>
            </w:pPr>
          </w:p>
        </w:tc>
        <w:tc>
          <w:tcPr>
            <w:tcW w:w="3780" w:type="dxa"/>
            <w:vAlign w:val="bottom"/>
            <w:gridSpan w:val="4"/>
          </w:tcPr>
          <w:p>
            <w:pPr>
              <w:ind w:left="1040"/>
              <w:spacing w:after="0"/>
              <w:rPr>
                <w:sz w:val="20"/>
                <w:szCs w:val="20"/>
                <w:color w:val="auto"/>
              </w:rPr>
            </w:pPr>
            <w:r>
              <w:rPr>
                <w:rFonts w:ascii="Arial" w:cs="Arial" w:eastAsia="Arial" w:hAnsi="Arial"/>
                <w:sz w:val="18"/>
                <w:szCs w:val="18"/>
                <w:color w:val="auto"/>
                <w:w w:val="88"/>
              </w:rPr>
              <w:t>Treasury Rate (as defined herein) plus</w:t>
            </w:r>
          </w:p>
        </w:tc>
        <w:tc>
          <w:tcPr>
            <w:tcW w:w="3500" w:type="dxa"/>
            <w:vAlign w:val="bottom"/>
            <w:gridSpan w:val="3"/>
          </w:tcPr>
          <w:p>
            <w:pPr>
              <w:ind w:left="280"/>
              <w:spacing w:after="0"/>
              <w:rPr>
                <w:sz w:val="20"/>
                <w:szCs w:val="20"/>
                <w:color w:val="auto"/>
              </w:rPr>
            </w:pPr>
            <w:r>
              <w:rPr>
                <w:rFonts w:ascii="Arial" w:cs="Arial" w:eastAsia="Arial" w:hAnsi="Arial"/>
                <w:sz w:val="18"/>
                <w:szCs w:val="18"/>
                <w:color w:val="auto"/>
                <w:w w:val="93"/>
              </w:rPr>
              <w:t>basis points, together with accrued interest</w:t>
            </w:r>
          </w:p>
        </w:tc>
      </w:tr>
    </w:tbl>
    <w:p>
      <w:pPr>
        <w:ind w:left="4600" w:right="100"/>
        <w:spacing w:after="0" w:line="254" w:lineRule="auto"/>
        <w:rPr>
          <w:sz w:val="20"/>
          <w:szCs w:val="20"/>
          <w:color w:val="auto"/>
        </w:rPr>
      </w:pPr>
      <w:r>
        <w:rPr>
          <w:rFonts w:ascii="Arial" w:cs="Arial" w:eastAsia="Arial" w:hAnsi="Arial"/>
          <w:sz w:val="18"/>
          <w:szCs w:val="18"/>
          <w:color w:val="auto"/>
        </w:rPr>
        <w:t>to the date of redemption. If we redeem the Notes on or after a date that is 90 days prior to their maturity date, the redemption price will equal 100% of the principal amount of the Notes to be redeemed plus accrued interest to the redemption date. See “Description of Notes — Optional redemption.”</w:t>
      </w:r>
    </w:p>
    <w:p>
      <w:pPr>
        <w:sectPr>
          <w:pgSz w:w="11900" w:h="16838" w:orient="portrait"/>
          <w:cols w:equalWidth="0" w:num="1">
            <w:col w:w="10840"/>
          </w:cols>
          <w:pgMar w:left="240" w:top="419"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Ranking</w:t>
            </w: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w w:val="95"/>
              </w:rPr>
              <w:t>The Notes will be general senior unsecured obligations of the issuers and will rank</w:t>
            </w:r>
          </w:p>
        </w:tc>
      </w:tr>
      <w:tr>
        <w:trPr>
          <w:trHeight w:val="216"/>
        </w:trPr>
        <w:tc>
          <w:tcPr>
            <w:tcW w:w="2920" w:type="dxa"/>
            <w:vAlign w:val="bottom"/>
          </w:tcPr>
          <w:p>
            <w:pPr>
              <w:spacing w:after="0"/>
              <w:rPr>
                <w:sz w:val="18"/>
                <w:szCs w:val="18"/>
                <w:color w:val="auto"/>
              </w:rPr>
            </w:pP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w w:val="96"/>
              </w:rPr>
              <w:t>equally in right of payment with the existing and future senior indebtedness of the</w:t>
            </w:r>
          </w:p>
        </w:tc>
      </w:tr>
      <w:tr>
        <w:trPr>
          <w:trHeight w:val="230"/>
        </w:trPr>
        <w:tc>
          <w:tcPr>
            <w:tcW w:w="2920" w:type="dxa"/>
            <w:vAlign w:val="bottom"/>
          </w:tcPr>
          <w:p>
            <w:pPr>
              <w:spacing w:after="0"/>
              <w:rPr>
                <w:sz w:val="20"/>
                <w:szCs w:val="20"/>
                <w:color w:val="auto"/>
              </w:rPr>
            </w:pPr>
          </w:p>
        </w:tc>
        <w:tc>
          <w:tcPr>
            <w:tcW w:w="5600" w:type="dxa"/>
            <w:vAlign w:val="bottom"/>
          </w:tcPr>
          <w:p>
            <w:pPr>
              <w:ind w:left="760"/>
              <w:spacing w:after="0"/>
              <w:rPr>
                <w:sz w:val="20"/>
                <w:szCs w:val="20"/>
                <w:color w:val="auto"/>
              </w:rPr>
            </w:pPr>
            <w:r>
              <w:rPr>
                <w:rFonts w:ascii="Arial" w:cs="Arial" w:eastAsia="Arial" w:hAnsi="Arial"/>
                <w:sz w:val="18"/>
                <w:szCs w:val="18"/>
                <w:color w:val="auto"/>
              </w:rPr>
              <w:t>issuers.</w:t>
            </w:r>
          </w:p>
        </w:tc>
        <w:tc>
          <w:tcPr>
            <w:tcW w:w="1400" w:type="dxa"/>
            <w:vAlign w:val="bottom"/>
          </w:tcPr>
          <w:p>
            <w:pPr>
              <w:spacing w:after="0"/>
              <w:rPr>
                <w:sz w:val="20"/>
                <w:szCs w:val="20"/>
                <w:color w:val="auto"/>
              </w:rPr>
            </w:pPr>
          </w:p>
        </w:tc>
      </w:tr>
      <w:tr>
        <w:trPr>
          <w:trHeight w:val="310"/>
        </w:trPr>
        <w:tc>
          <w:tcPr>
            <w:tcW w:w="2920" w:type="dxa"/>
            <w:vAlign w:val="bottom"/>
          </w:tcPr>
          <w:p>
            <w:pPr>
              <w:spacing w:after="0"/>
              <w:rPr>
                <w:sz w:val="20"/>
                <w:szCs w:val="20"/>
                <w:color w:val="auto"/>
              </w:rPr>
            </w:pPr>
            <w:r>
              <w:rPr>
                <w:rFonts w:ascii="Arial" w:cs="Arial" w:eastAsia="Arial" w:hAnsi="Arial"/>
                <w:sz w:val="18"/>
                <w:szCs w:val="18"/>
                <w:color w:val="auto"/>
              </w:rPr>
              <w:t>Certain covenants</w:t>
            </w: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w w:val="94"/>
              </w:rPr>
              <w:t>The Notes will be issued under an indenture containing covenants for your benefit.</w:t>
            </w:r>
          </w:p>
        </w:tc>
      </w:tr>
      <w:tr>
        <w:trPr>
          <w:trHeight w:val="230"/>
        </w:trPr>
        <w:tc>
          <w:tcPr>
            <w:tcW w:w="2920" w:type="dxa"/>
            <w:vAlign w:val="bottom"/>
          </w:tcPr>
          <w:p>
            <w:pPr>
              <w:spacing w:after="0"/>
              <w:rPr>
                <w:sz w:val="20"/>
                <w:szCs w:val="20"/>
                <w:color w:val="auto"/>
              </w:rPr>
            </w:pPr>
          </w:p>
        </w:tc>
        <w:tc>
          <w:tcPr>
            <w:tcW w:w="5600" w:type="dxa"/>
            <w:vAlign w:val="bottom"/>
          </w:tcPr>
          <w:p>
            <w:pPr>
              <w:ind w:left="760"/>
              <w:spacing w:after="0"/>
              <w:rPr>
                <w:sz w:val="20"/>
                <w:szCs w:val="20"/>
                <w:color w:val="auto"/>
              </w:rPr>
            </w:pPr>
            <w:r>
              <w:rPr>
                <w:rFonts w:ascii="Arial" w:cs="Arial" w:eastAsia="Arial" w:hAnsi="Arial"/>
                <w:sz w:val="18"/>
                <w:szCs w:val="18"/>
                <w:color w:val="auto"/>
                <w:w w:val="96"/>
              </w:rPr>
              <w:t>These covenants restrict our ability, with certain exceptions, to:</w:t>
            </w:r>
          </w:p>
        </w:tc>
        <w:tc>
          <w:tcPr>
            <w:tcW w:w="1400" w:type="dxa"/>
            <w:vAlign w:val="bottom"/>
          </w:tcPr>
          <w:p>
            <w:pPr>
              <w:spacing w:after="0"/>
              <w:rPr>
                <w:sz w:val="20"/>
                <w:szCs w:val="20"/>
                <w:color w:val="auto"/>
              </w:rPr>
            </w:pPr>
          </w:p>
        </w:tc>
      </w:tr>
      <w:tr>
        <w:trPr>
          <w:trHeight w:val="324"/>
        </w:trPr>
        <w:tc>
          <w:tcPr>
            <w:tcW w:w="2920" w:type="dxa"/>
            <w:vAlign w:val="bottom"/>
          </w:tcPr>
          <w:p>
            <w:pPr>
              <w:spacing w:after="0"/>
              <w:rPr>
                <w:sz w:val="24"/>
                <w:szCs w:val="24"/>
                <w:color w:val="auto"/>
              </w:rPr>
            </w:pPr>
          </w:p>
        </w:tc>
        <w:tc>
          <w:tcPr>
            <w:tcW w:w="5600" w:type="dxa"/>
            <w:vAlign w:val="bottom"/>
          </w:tcPr>
          <w:p>
            <w:pPr>
              <w:ind w:left="760"/>
              <w:spacing w:after="0"/>
              <w:rPr>
                <w:sz w:val="20"/>
                <w:szCs w:val="20"/>
                <w:color w:val="auto"/>
              </w:rPr>
            </w:pPr>
            <w:r>
              <w:rPr>
                <w:rFonts w:ascii="Arial" w:cs="Arial" w:eastAsia="Arial" w:hAnsi="Arial"/>
                <w:sz w:val="18"/>
                <w:szCs w:val="18"/>
                <w:color w:val="auto"/>
              </w:rPr>
              <w:t>• incur liens on principal properties to secure debt;</w:t>
            </w:r>
          </w:p>
        </w:tc>
        <w:tc>
          <w:tcPr>
            <w:tcW w:w="1400" w:type="dxa"/>
            <w:vAlign w:val="bottom"/>
          </w:tcPr>
          <w:p>
            <w:pPr>
              <w:spacing w:after="0"/>
              <w:rPr>
                <w:sz w:val="24"/>
                <w:szCs w:val="24"/>
                <w:color w:val="auto"/>
              </w:rPr>
            </w:pPr>
          </w:p>
        </w:tc>
      </w:tr>
      <w:tr>
        <w:trPr>
          <w:trHeight w:val="324"/>
        </w:trPr>
        <w:tc>
          <w:tcPr>
            <w:tcW w:w="2920" w:type="dxa"/>
            <w:vAlign w:val="bottom"/>
          </w:tcPr>
          <w:p>
            <w:pPr>
              <w:spacing w:after="0"/>
              <w:rPr>
                <w:sz w:val="24"/>
                <w:szCs w:val="24"/>
                <w:color w:val="auto"/>
              </w:rPr>
            </w:pPr>
          </w:p>
        </w:tc>
        <w:tc>
          <w:tcPr>
            <w:tcW w:w="5600" w:type="dxa"/>
            <w:vAlign w:val="bottom"/>
          </w:tcPr>
          <w:p>
            <w:pPr>
              <w:ind w:left="760"/>
              <w:spacing w:after="0"/>
              <w:rPr>
                <w:sz w:val="20"/>
                <w:szCs w:val="20"/>
                <w:color w:val="auto"/>
              </w:rPr>
            </w:pPr>
            <w:r>
              <w:rPr>
                <w:rFonts w:ascii="Arial" w:cs="Arial" w:eastAsia="Arial" w:hAnsi="Arial"/>
                <w:sz w:val="18"/>
                <w:szCs w:val="18"/>
                <w:color w:val="auto"/>
              </w:rPr>
              <w:t>• engage in sale-leaseback transactions; and</w:t>
            </w:r>
          </w:p>
        </w:tc>
        <w:tc>
          <w:tcPr>
            <w:tcW w:w="1400" w:type="dxa"/>
            <w:vAlign w:val="bottom"/>
          </w:tcPr>
          <w:p>
            <w:pPr>
              <w:spacing w:after="0"/>
              <w:rPr>
                <w:sz w:val="24"/>
                <w:szCs w:val="24"/>
                <w:color w:val="auto"/>
              </w:rPr>
            </w:pPr>
          </w:p>
        </w:tc>
      </w:tr>
      <w:tr>
        <w:trPr>
          <w:trHeight w:val="310"/>
        </w:trPr>
        <w:tc>
          <w:tcPr>
            <w:tcW w:w="2920" w:type="dxa"/>
            <w:vAlign w:val="bottom"/>
          </w:tcPr>
          <w:p>
            <w:pPr>
              <w:spacing w:after="0"/>
              <w:rPr>
                <w:sz w:val="24"/>
                <w:szCs w:val="24"/>
                <w:color w:val="auto"/>
              </w:rPr>
            </w:pP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w w:val="92"/>
              </w:rPr>
              <w:t>• merge or consolidate with another entity or sell, lease or transfer substantially all of</w:t>
            </w:r>
          </w:p>
        </w:tc>
      </w:tr>
      <w:tr>
        <w:trPr>
          <w:trHeight w:val="230"/>
        </w:trPr>
        <w:tc>
          <w:tcPr>
            <w:tcW w:w="2920" w:type="dxa"/>
            <w:vAlign w:val="bottom"/>
          </w:tcPr>
          <w:p>
            <w:pPr>
              <w:spacing w:after="0"/>
              <w:rPr>
                <w:sz w:val="20"/>
                <w:szCs w:val="20"/>
                <w:color w:val="auto"/>
              </w:rPr>
            </w:pPr>
          </w:p>
        </w:tc>
        <w:tc>
          <w:tcPr>
            <w:tcW w:w="5600" w:type="dxa"/>
            <w:vAlign w:val="bottom"/>
          </w:tcPr>
          <w:p>
            <w:pPr>
              <w:ind w:left="920"/>
              <w:spacing w:after="0"/>
              <w:rPr>
                <w:sz w:val="20"/>
                <w:szCs w:val="20"/>
                <w:color w:val="auto"/>
              </w:rPr>
            </w:pPr>
            <w:r>
              <w:rPr>
                <w:rFonts w:ascii="Arial" w:cs="Arial" w:eastAsia="Arial" w:hAnsi="Arial"/>
                <w:sz w:val="18"/>
                <w:szCs w:val="18"/>
                <w:color w:val="auto"/>
              </w:rPr>
              <w:t>our properties or assets to another entity.</w:t>
            </w:r>
          </w:p>
        </w:tc>
        <w:tc>
          <w:tcPr>
            <w:tcW w:w="1400" w:type="dxa"/>
            <w:vAlign w:val="bottom"/>
          </w:tcPr>
          <w:p>
            <w:pPr>
              <w:spacing w:after="0"/>
              <w:rPr>
                <w:sz w:val="20"/>
                <w:szCs w:val="20"/>
                <w:color w:val="auto"/>
              </w:rPr>
            </w:pPr>
          </w:p>
        </w:tc>
      </w:tr>
      <w:tr>
        <w:trPr>
          <w:trHeight w:val="324"/>
        </w:trPr>
        <w:tc>
          <w:tcPr>
            <w:tcW w:w="2920" w:type="dxa"/>
            <w:vAlign w:val="bottom"/>
          </w:tcPr>
          <w:p>
            <w:pPr>
              <w:spacing w:after="0"/>
              <w:rPr>
                <w:sz w:val="24"/>
                <w:szCs w:val="24"/>
                <w:color w:val="auto"/>
              </w:rPr>
            </w:pPr>
          </w:p>
        </w:tc>
        <w:tc>
          <w:tcPr>
            <w:tcW w:w="5600" w:type="dxa"/>
            <w:vAlign w:val="bottom"/>
          </w:tcPr>
          <w:p>
            <w:pPr>
              <w:ind w:left="760"/>
              <w:spacing w:after="0"/>
              <w:rPr>
                <w:sz w:val="20"/>
                <w:szCs w:val="20"/>
                <w:color w:val="auto"/>
              </w:rPr>
            </w:pPr>
            <w:r>
              <w:rPr>
                <w:rFonts w:ascii="Arial" w:cs="Arial" w:eastAsia="Arial" w:hAnsi="Arial"/>
                <w:sz w:val="18"/>
                <w:szCs w:val="18"/>
                <w:color w:val="auto"/>
              </w:rPr>
              <w:t>See “Description of Notes — Covenants.”</w:t>
            </w:r>
          </w:p>
        </w:tc>
        <w:tc>
          <w:tcPr>
            <w:tcW w:w="1400" w:type="dxa"/>
            <w:vAlign w:val="bottom"/>
          </w:tcPr>
          <w:p>
            <w:pPr>
              <w:spacing w:after="0"/>
              <w:rPr>
                <w:sz w:val="24"/>
                <w:szCs w:val="24"/>
                <w:color w:val="auto"/>
              </w:rPr>
            </w:pPr>
          </w:p>
        </w:tc>
      </w:tr>
      <w:tr>
        <w:trPr>
          <w:trHeight w:val="310"/>
        </w:trPr>
        <w:tc>
          <w:tcPr>
            <w:tcW w:w="2920" w:type="dxa"/>
            <w:vAlign w:val="bottom"/>
          </w:tcPr>
          <w:p>
            <w:pPr>
              <w:spacing w:after="0"/>
              <w:rPr>
                <w:sz w:val="20"/>
                <w:szCs w:val="20"/>
                <w:color w:val="auto"/>
              </w:rPr>
            </w:pPr>
            <w:r>
              <w:rPr>
                <w:rFonts w:ascii="Arial" w:cs="Arial" w:eastAsia="Arial" w:hAnsi="Arial"/>
                <w:sz w:val="18"/>
                <w:szCs w:val="18"/>
                <w:color w:val="auto"/>
              </w:rPr>
              <w:t>Use of proceeds</w:t>
            </w:r>
          </w:p>
        </w:tc>
        <w:tc>
          <w:tcPr>
            <w:tcW w:w="5600" w:type="dxa"/>
            <w:vAlign w:val="bottom"/>
          </w:tcPr>
          <w:p>
            <w:pPr>
              <w:ind w:left="760"/>
              <w:spacing w:after="0"/>
              <w:rPr>
                <w:sz w:val="20"/>
                <w:szCs w:val="20"/>
                <w:color w:val="auto"/>
              </w:rPr>
            </w:pPr>
            <w:r>
              <w:rPr>
                <w:rFonts w:ascii="Arial" w:cs="Arial" w:eastAsia="Arial" w:hAnsi="Arial"/>
                <w:sz w:val="18"/>
                <w:szCs w:val="18"/>
                <w:color w:val="auto"/>
                <w:w w:val="92"/>
              </w:rPr>
              <w:t>We expect the net proceeds of this offering to be approximately $</w:t>
            </w:r>
          </w:p>
        </w:tc>
        <w:tc>
          <w:tcPr>
            <w:tcW w:w="1400" w:type="dxa"/>
            <w:vAlign w:val="bottom"/>
          </w:tcPr>
          <w:p>
            <w:pPr>
              <w:ind w:left="140"/>
              <w:spacing w:after="0"/>
              <w:rPr>
                <w:sz w:val="20"/>
                <w:szCs w:val="20"/>
                <w:color w:val="auto"/>
              </w:rPr>
            </w:pPr>
            <w:r>
              <w:rPr>
                <w:rFonts w:ascii="Arial" w:cs="Arial" w:eastAsia="Arial" w:hAnsi="Arial"/>
                <w:sz w:val="18"/>
                <w:szCs w:val="18"/>
                <w:color w:val="auto"/>
              </w:rPr>
              <w:t>million after</w:t>
            </w:r>
          </w:p>
        </w:tc>
      </w:tr>
      <w:tr>
        <w:trPr>
          <w:trHeight w:val="216"/>
        </w:trPr>
        <w:tc>
          <w:tcPr>
            <w:tcW w:w="2920" w:type="dxa"/>
            <w:vAlign w:val="bottom"/>
          </w:tcPr>
          <w:p>
            <w:pPr>
              <w:spacing w:after="0"/>
              <w:rPr>
                <w:sz w:val="18"/>
                <w:szCs w:val="18"/>
                <w:color w:val="auto"/>
              </w:rPr>
            </w:pP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w w:val="94"/>
              </w:rPr>
              <w:t>deducting the underwriters’ discounts and commissions and our estimated offering</w:t>
            </w:r>
          </w:p>
        </w:tc>
      </w:tr>
      <w:tr>
        <w:trPr>
          <w:trHeight w:val="216"/>
        </w:trPr>
        <w:tc>
          <w:tcPr>
            <w:tcW w:w="2920" w:type="dxa"/>
            <w:vAlign w:val="bottom"/>
          </w:tcPr>
          <w:p>
            <w:pPr>
              <w:spacing w:after="0"/>
              <w:rPr>
                <w:sz w:val="18"/>
                <w:szCs w:val="18"/>
                <w:color w:val="auto"/>
              </w:rPr>
            </w:pP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w w:val="92"/>
              </w:rPr>
              <w:t>expenses. We expect to use the net proceeds from this offering to repay outstanding</w:t>
            </w:r>
          </w:p>
        </w:tc>
      </w:tr>
      <w:tr>
        <w:trPr>
          <w:trHeight w:val="230"/>
        </w:trPr>
        <w:tc>
          <w:tcPr>
            <w:tcW w:w="2920" w:type="dxa"/>
            <w:vAlign w:val="bottom"/>
          </w:tcPr>
          <w:p>
            <w:pPr>
              <w:spacing w:after="0"/>
              <w:rPr>
                <w:sz w:val="20"/>
                <w:szCs w:val="20"/>
                <w:color w:val="auto"/>
              </w:rPr>
            </w:pP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rPr>
              <w:t>borrowings under our credit facilities and for general partnership purposes.</w:t>
            </w:r>
          </w:p>
        </w:tc>
      </w:tr>
      <w:tr>
        <w:trPr>
          <w:trHeight w:val="310"/>
        </w:trPr>
        <w:tc>
          <w:tcPr>
            <w:tcW w:w="2920" w:type="dxa"/>
            <w:vAlign w:val="bottom"/>
          </w:tcPr>
          <w:p>
            <w:pPr>
              <w:spacing w:after="0"/>
              <w:rPr>
                <w:sz w:val="24"/>
                <w:szCs w:val="24"/>
                <w:color w:val="auto"/>
              </w:rPr>
            </w:pP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w w:val="93"/>
              </w:rPr>
              <w:t>Amounts repaid under our credit facilities may be reborrowed, as necessary, to fund</w:t>
            </w:r>
          </w:p>
        </w:tc>
      </w:tr>
      <w:tr>
        <w:trPr>
          <w:trHeight w:val="216"/>
        </w:trPr>
        <w:tc>
          <w:tcPr>
            <w:tcW w:w="2920" w:type="dxa"/>
            <w:vAlign w:val="bottom"/>
          </w:tcPr>
          <w:p>
            <w:pPr>
              <w:spacing w:after="0"/>
              <w:rPr>
                <w:sz w:val="18"/>
                <w:szCs w:val="18"/>
                <w:color w:val="auto"/>
              </w:rPr>
            </w:pP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w w:val="93"/>
              </w:rPr>
              <w:t>our ongoing expansion capital program, future acquisitions, retirement of other long-</w:t>
            </w:r>
          </w:p>
        </w:tc>
      </w:tr>
      <w:tr>
        <w:trPr>
          <w:trHeight w:val="216"/>
        </w:trPr>
        <w:tc>
          <w:tcPr>
            <w:tcW w:w="2920" w:type="dxa"/>
            <w:vAlign w:val="bottom"/>
          </w:tcPr>
          <w:p>
            <w:pPr>
              <w:spacing w:after="0"/>
              <w:rPr>
                <w:sz w:val="18"/>
                <w:szCs w:val="18"/>
                <w:color w:val="auto"/>
              </w:rPr>
            </w:pP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w w:val="90"/>
              </w:rPr>
              <w:t>term debt, investments in PNG, including for purposes of financing the Southern Pines</w:t>
            </w:r>
          </w:p>
        </w:tc>
      </w:tr>
      <w:tr>
        <w:trPr>
          <w:trHeight w:val="230"/>
        </w:trPr>
        <w:tc>
          <w:tcPr>
            <w:tcW w:w="2920" w:type="dxa"/>
            <w:vAlign w:val="bottom"/>
          </w:tcPr>
          <w:p>
            <w:pPr>
              <w:spacing w:after="0"/>
              <w:rPr>
                <w:sz w:val="20"/>
                <w:szCs w:val="20"/>
                <w:color w:val="auto"/>
              </w:rPr>
            </w:pPr>
          </w:p>
        </w:tc>
        <w:tc>
          <w:tcPr>
            <w:tcW w:w="5600" w:type="dxa"/>
            <w:vAlign w:val="bottom"/>
          </w:tcPr>
          <w:p>
            <w:pPr>
              <w:ind w:left="760"/>
              <w:spacing w:after="0"/>
              <w:rPr>
                <w:sz w:val="20"/>
                <w:szCs w:val="20"/>
                <w:color w:val="auto"/>
              </w:rPr>
            </w:pPr>
            <w:r>
              <w:rPr>
                <w:rFonts w:ascii="Arial" w:cs="Arial" w:eastAsia="Arial" w:hAnsi="Arial"/>
                <w:sz w:val="18"/>
                <w:szCs w:val="18"/>
                <w:color w:val="auto"/>
              </w:rPr>
              <w:t>Acquisition, or for general partnership purposes.</w:t>
            </w:r>
          </w:p>
        </w:tc>
        <w:tc>
          <w:tcPr>
            <w:tcW w:w="1400" w:type="dxa"/>
            <w:vAlign w:val="bottom"/>
          </w:tcPr>
          <w:p>
            <w:pPr>
              <w:spacing w:after="0"/>
              <w:rPr>
                <w:sz w:val="20"/>
                <w:szCs w:val="20"/>
                <w:color w:val="auto"/>
              </w:rPr>
            </w:pPr>
          </w:p>
        </w:tc>
      </w:tr>
      <w:tr>
        <w:trPr>
          <w:trHeight w:val="310"/>
        </w:trPr>
        <w:tc>
          <w:tcPr>
            <w:tcW w:w="2920" w:type="dxa"/>
            <w:vAlign w:val="bottom"/>
          </w:tcPr>
          <w:p>
            <w:pPr>
              <w:spacing w:after="0"/>
              <w:rPr>
                <w:sz w:val="20"/>
                <w:szCs w:val="20"/>
                <w:color w:val="auto"/>
              </w:rPr>
            </w:pPr>
            <w:r>
              <w:rPr>
                <w:rFonts w:ascii="Arial" w:cs="Arial" w:eastAsia="Arial" w:hAnsi="Arial"/>
                <w:sz w:val="18"/>
                <w:szCs w:val="18"/>
                <w:color w:val="auto"/>
              </w:rPr>
              <w:t>Book entry, delivery and form</w:t>
            </w: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w w:val="94"/>
              </w:rPr>
              <w:t>The Notes will be represented by one or more permanent global certificates in fully</w:t>
            </w:r>
          </w:p>
        </w:tc>
      </w:tr>
      <w:tr>
        <w:trPr>
          <w:trHeight w:val="216"/>
        </w:trPr>
        <w:tc>
          <w:tcPr>
            <w:tcW w:w="2920" w:type="dxa"/>
            <w:vAlign w:val="bottom"/>
          </w:tcPr>
          <w:p>
            <w:pPr>
              <w:spacing w:after="0"/>
              <w:rPr>
                <w:sz w:val="18"/>
                <w:szCs w:val="18"/>
                <w:color w:val="auto"/>
              </w:rPr>
            </w:pP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w w:val="98"/>
              </w:rPr>
              <w:t>registered form deposited with a custodian for, and registered in the name of, a</w:t>
            </w:r>
          </w:p>
        </w:tc>
      </w:tr>
      <w:tr>
        <w:trPr>
          <w:trHeight w:val="230"/>
        </w:trPr>
        <w:tc>
          <w:tcPr>
            <w:tcW w:w="2920" w:type="dxa"/>
            <w:vAlign w:val="bottom"/>
          </w:tcPr>
          <w:p>
            <w:pPr>
              <w:spacing w:after="0"/>
              <w:rPr>
                <w:sz w:val="20"/>
                <w:szCs w:val="20"/>
                <w:color w:val="auto"/>
              </w:rPr>
            </w:pPr>
          </w:p>
        </w:tc>
        <w:tc>
          <w:tcPr>
            <w:tcW w:w="5600" w:type="dxa"/>
            <w:vAlign w:val="bottom"/>
          </w:tcPr>
          <w:p>
            <w:pPr>
              <w:ind w:left="760"/>
              <w:spacing w:after="0"/>
              <w:rPr>
                <w:sz w:val="20"/>
                <w:szCs w:val="20"/>
                <w:color w:val="auto"/>
              </w:rPr>
            </w:pPr>
            <w:r>
              <w:rPr>
                <w:rFonts w:ascii="Arial" w:cs="Arial" w:eastAsia="Arial" w:hAnsi="Arial"/>
                <w:sz w:val="18"/>
                <w:szCs w:val="18"/>
                <w:color w:val="auto"/>
              </w:rPr>
              <w:t>nominee of The Depository Trust Company.</w:t>
            </w:r>
          </w:p>
        </w:tc>
        <w:tc>
          <w:tcPr>
            <w:tcW w:w="1400" w:type="dxa"/>
            <w:vAlign w:val="bottom"/>
          </w:tcPr>
          <w:p>
            <w:pPr>
              <w:spacing w:after="0"/>
              <w:rPr>
                <w:sz w:val="20"/>
                <w:szCs w:val="20"/>
                <w:color w:val="auto"/>
              </w:rPr>
            </w:pPr>
          </w:p>
        </w:tc>
      </w:tr>
      <w:tr>
        <w:trPr>
          <w:trHeight w:val="310"/>
        </w:trPr>
        <w:tc>
          <w:tcPr>
            <w:tcW w:w="2920" w:type="dxa"/>
            <w:vAlign w:val="bottom"/>
          </w:tcPr>
          <w:p>
            <w:pPr>
              <w:spacing w:after="0"/>
              <w:rPr>
                <w:sz w:val="20"/>
                <w:szCs w:val="20"/>
                <w:color w:val="auto"/>
              </w:rPr>
            </w:pPr>
            <w:r>
              <w:rPr>
                <w:rFonts w:ascii="Arial" w:cs="Arial" w:eastAsia="Arial" w:hAnsi="Arial"/>
                <w:sz w:val="18"/>
                <w:szCs w:val="18"/>
                <w:color w:val="auto"/>
              </w:rPr>
              <w:t>Further issuances</w:t>
            </w: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w w:val="91"/>
              </w:rPr>
              <w:t>We may create and issue additional Notes ranking equally and ratably with the Notes</w:t>
            </w:r>
          </w:p>
        </w:tc>
      </w:tr>
      <w:tr>
        <w:trPr>
          <w:trHeight w:val="216"/>
        </w:trPr>
        <w:tc>
          <w:tcPr>
            <w:tcW w:w="2920" w:type="dxa"/>
            <w:vAlign w:val="bottom"/>
          </w:tcPr>
          <w:p>
            <w:pPr>
              <w:spacing w:after="0"/>
              <w:rPr>
                <w:sz w:val="18"/>
                <w:szCs w:val="18"/>
                <w:color w:val="auto"/>
              </w:rPr>
            </w:pP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w w:val="94"/>
              </w:rPr>
              <w:t>offered by this prospectus supplement in all respects, so that such additional Notes</w:t>
            </w:r>
          </w:p>
        </w:tc>
      </w:tr>
      <w:tr>
        <w:trPr>
          <w:trHeight w:val="216"/>
        </w:trPr>
        <w:tc>
          <w:tcPr>
            <w:tcW w:w="2920" w:type="dxa"/>
            <w:vAlign w:val="bottom"/>
          </w:tcPr>
          <w:p>
            <w:pPr>
              <w:spacing w:after="0"/>
              <w:rPr>
                <w:sz w:val="18"/>
                <w:szCs w:val="18"/>
                <w:color w:val="auto"/>
              </w:rPr>
            </w:pP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w w:val="94"/>
              </w:rPr>
              <w:t>will be consolidated and form a single series with the Notes and will have the same</w:t>
            </w:r>
          </w:p>
        </w:tc>
      </w:tr>
      <w:tr>
        <w:trPr>
          <w:trHeight w:val="216"/>
        </w:trPr>
        <w:tc>
          <w:tcPr>
            <w:tcW w:w="2920" w:type="dxa"/>
            <w:vAlign w:val="bottom"/>
          </w:tcPr>
          <w:p>
            <w:pPr>
              <w:spacing w:after="0"/>
              <w:rPr>
                <w:sz w:val="18"/>
                <w:szCs w:val="18"/>
                <w:color w:val="auto"/>
              </w:rPr>
            </w:pP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w w:val="98"/>
              </w:rPr>
              <w:t>terms, as to status, redemption or otherwise except for the issue date, the initial</w:t>
            </w:r>
          </w:p>
        </w:tc>
      </w:tr>
      <w:tr>
        <w:trPr>
          <w:trHeight w:val="216"/>
        </w:trPr>
        <w:tc>
          <w:tcPr>
            <w:tcW w:w="2920" w:type="dxa"/>
            <w:vAlign w:val="bottom"/>
          </w:tcPr>
          <w:p>
            <w:pPr>
              <w:spacing w:after="0"/>
              <w:rPr>
                <w:sz w:val="18"/>
                <w:szCs w:val="18"/>
                <w:color w:val="auto"/>
              </w:rPr>
            </w:pP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w w:val="92"/>
              </w:rPr>
              <w:t>interest payment date, if applicable, and the payment of interest accruing prior to the</w:t>
            </w:r>
          </w:p>
        </w:tc>
      </w:tr>
      <w:tr>
        <w:trPr>
          <w:trHeight w:val="230"/>
        </w:trPr>
        <w:tc>
          <w:tcPr>
            <w:tcW w:w="2920" w:type="dxa"/>
            <w:vAlign w:val="bottom"/>
          </w:tcPr>
          <w:p>
            <w:pPr>
              <w:spacing w:after="0"/>
              <w:rPr>
                <w:sz w:val="20"/>
                <w:szCs w:val="20"/>
                <w:color w:val="auto"/>
              </w:rPr>
            </w:pPr>
          </w:p>
        </w:tc>
        <w:tc>
          <w:tcPr>
            <w:tcW w:w="5600" w:type="dxa"/>
            <w:vAlign w:val="bottom"/>
          </w:tcPr>
          <w:p>
            <w:pPr>
              <w:ind w:left="760"/>
              <w:spacing w:after="0"/>
              <w:rPr>
                <w:sz w:val="20"/>
                <w:szCs w:val="20"/>
                <w:color w:val="auto"/>
              </w:rPr>
            </w:pPr>
            <w:r>
              <w:rPr>
                <w:rFonts w:ascii="Arial" w:cs="Arial" w:eastAsia="Arial" w:hAnsi="Arial"/>
                <w:sz w:val="18"/>
                <w:szCs w:val="18"/>
                <w:color w:val="auto"/>
              </w:rPr>
              <w:t>issue date of such additional notes.</w:t>
            </w:r>
          </w:p>
        </w:tc>
        <w:tc>
          <w:tcPr>
            <w:tcW w:w="1400" w:type="dxa"/>
            <w:vAlign w:val="bottom"/>
          </w:tcPr>
          <w:p>
            <w:pPr>
              <w:spacing w:after="0"/>
              <w:rPr>
                <w:sz w:val="20"/>
                <w:szCs w:val="20"/>
                <w:color w:val="auto"/>
              </w:rPr>
            </w:pPr>
          </w:p>
        </w:tc>
      </w:tr>
      <w:tr>
        <w:trPr>
          <w:trHeight w:val="310"/>
        </w:trPr>
        <w:tc>
          <w:tcPr>
            <w:tcW w:w="2920" w:type="dxa"/>
            <w:vAlign w:val="bottom"/>
          </w:tcPr>
          <w:p>
            <w:pPr>
              <w:spacing w:after="0"/>
              <w:rPr>
                <w:sz w:val="20"/>
                <w:szCs w:val="20"/>
                <w:color w:val="auto"/>
              </w:rPr>
            </w:pPr>
            <w:r>
              <w:rPr>
                <w:rFonts w:ascii="Arial" w:cs="Arial" w:eastAsia="Arial" w:hAnsi="Arial"/>
                <w:sz w:val="18"/>
                <w:szCs w:val="18"/>
                <w:color w:val="auto"/>
              </w:rPr>
              <w:t>No listing</w:t>
            </w: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w w:val="93"/>
              </w:rPr>
              <w:t>The Notes will not be listed on any securities exchange. Currently, there is no public</w:t>
            </w:r>
          </w:p>
        </w:tc>
      </w:tr>
      <w:tr>
        <w:trPr>
          <w:trHeight w:val="216"/>
        </w:trPr>
        <w:tc>
          <w:tcPr>
            <w:tcW w:w="2920" w:type="dxa"/>
            <w:vAlign w:val="bottom"/>
          </w:tcPr>
          <w:p>
            <w:pPr>
              <w:spacing w:after="0"/>
              <w:rPr>
                <w:sz w:val="18"/>
                <w:szCs w:val="18"/>
                <w:color w:val="auto"/>
              </w:rPr>
            </w:pP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w w:val="93"/>
              </w:rPr>
              <w:t>market for the Notes. See “Risk Factors — Your ability to transfer the Notes may be</w:t>
            </w:r>
          </w:p>
        </w:tc>
      </w:tr>
      <w:tr>
        <w:trPr>
          <w:trHeight w:val="230"/>
        </w:trPr>
        <w:tc>
          <w:tcPr>
            <w:tcW w:w="2920" w:type="dxa"/>
            <w:vAlign w:val="bottom"/>
          </w:tcPr>
          <w:p>
            <w:pPr>
              <w:spacing w:after="0"/>
              <w:rPr>
                <w:sz w:val="20"/>
                <w:szCs w:val="20"/>
                <w:color w:val="auto"/>
              </w:rPr>
            </w:pPr>
          </w:p>
        </w:tc>
        <w:tc>
          <w:tcPr>
            <w:tcW w:w="5600" w:type="dxa"/>
            <w:vAlign w:val="bottom"/>
          </w:tcPr>
          <w:p>
            <w:pPr>
              <w:ind w:left="760"/>
              <w:spacing w:after="0"/>
              <w:rPr>
                <w:sz w:val="20"/>
                <w:szCs w:val="20"/>
                <w:color w:val="auto"/>
              </w:rPr>
            </w:pPr>
            <w:r>
              <w:rPr>
                <w:rFonts w:ascii="Arial" w:cs="Arial" w:eastAsia="Arial" w:hAnsi="Arial"/>
                <w:sz w:val="18"/>
                <w:szCs w:val="18"/>
                <w:color w:val="auto"/>
              </w:rPr>
              <w:t>limited by the absence of an organized trading market.”</w:t>
            </w:r>
          </w:p>
        </w:tc>
        <w:tc>
          <w:tcPr>
            <w:tcW w:w="1400" w:type="dxa"/>
            <w:vAlign w:val="bottom"/>
          </w:tcPr>
          <w:p>
            <w:pPr>
              <w:spacing w:after="0"/>
              <w:rPr>
                <w:sz w:val="20"/>
                <w:szCs w:val="20"/>
                <w:color w:val="auto"/>
              </w:rPr>
            </w:pP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Governing law</w:t>
            </w:r>
          </w:p>
        </w:tc>
        <w:tc>
          <w:tcPr>
            <w:tcW w:w="5600" w:type="dxa"/>
            <w:vAlign w:val="bottom"/>
          </w:tcPr>
          <w:p>
            <w:pPr>
              <w:ind w:left="760"/>
              <w:spacing w:after="0"/>
              <w:rPr>
                <w:sz w:val="20"/>
                <w:szCs w:val="20"/>
                <w:color w:val="auto"/>
              </w:rPr>
            </w:pPr>
            <w:r>
              <w:rPr>
                <w:rFonts w:ascii="Arial" w:cs="Arial" w:eastAsia="Arial" w:hAnsi="Arial"/>
                <w:sz w:val="18"/>
                <w:szCs w:val="18"/>
                <w:color w:val="auto"/>
              </w:rPr>
              <w:t>New York.</w:t>
            </w:r>
          </w:p>
        </w:tc>
        <w:tc>
          <w:tcPr>
            <w:tcW w:w="1400" w:type="dxa"/>
            <w:vAlign w:val="bottom"/>
          </w:tcPr>
          <w:p>
            <w:pPr>
              <w:spacing w:after="0"/>
              <w:rPr>
                <w:sz w:val="24"/>
                <w:szCs w:val="24"/>
                <w:color w:val="auto"/>
              </w:rPr>
            </w:pPr>
          </w:p>
        </w:tc>
      </w:tr>
      <w:tr>
        <w:trPr>
          <w:trHeight w:val="324"/>
        </w:trPr>
        <w:tc>
          <w:tcPr>
            <w:tcW w:w="2920" w:type="dxa"/>
            <w:vAlign w:val="bottom"/>
          </w:tcPr>
          <w:p>
            <w:pPr>
              <w:spacing w:after="0"/>
              <w:rPr>
                <w:sz w:val="20"/>
                <w:szCs w:val="20"/>
                <w:color w:val="auto"/>
              </w:rPr>
            </w:pPr>
            <w:r>
              <w:rPr>
                <w:rFonts w:ascii="Arial" w:cs="Arial" w:eastAsia="Arial" w:hAnsi="Arial"/>
                <w:sz w:val="18"/>
                <w:szCs w:val="18"/>
                <w:color w:val="auto"/>
              </w:rPr>
              <w:t>Trustee</w:t>
            </w:r>
          </w:p>
        </w:tc>
        <w:tc>
          <w:tcPr>
            <w:tcW w:w="5600" w:type="dxa"/>
            <w:vAlign w:val="bottom"/>
          </w:tcPr>
          <w:p>
            <w:pPr>
              <w:ind w:left="760"/>
              <w:spacing w:after="0"/>
              <w:rPr>
                <w:sz w:val="20"/>
                <w:szCs w:val="20"/>
                <w:color w:val="auto"/>
              </w:rPr>
            </w:pPr>
            <w:r>
              <w:rPr>
                <w:rFonts w:ascii="Arial" w:cs="Arial" w:eastAsia="Arial" w:hAnsi="Arial"/>
                <w:sz w:val="18"/>
                <w:szCs w:val="18"/>
                <w:color w:val="auto"/>
              </w:rPr>
              <w:t>U.S. Bank National Association.</w:t>
            </w:r>
          </w:p>
        </w:tc>
        <w:tc>
          <w:tcPr>
            <w:tcW w:w="1400" w:type="dxa"/>
            <w:vAlign w:val="bottom"/>
          </w:tcPr>
          <w:p>
            <w:pPr>
              <w:spacing w:after="0"/>
              <w:rPr>
                <w:sz w:val="24"/>
                <w:szCs w:val="24"/>
                <w:color w:val="auto"/>
              </w:rPr>
            </w:pPr>
          </w:p>
        </w:tc>
      </w:tr>
      <w:tr>
        <w:trPr>
          <w:trHeight w:val="310"/>
        </w:trPr>
        <w:tc>
          <w:tcPr>
            <w:tcW w:w="2920" w:type="dxa"/>
            <w:vAlign w:val="bottom"/>
          </w:tcPr>
          <w:p>
            <w:pPr>
              <w:spacing w:after="0"/>
              <w:rPr>
                <w:sz w:val="20"/>
                <w:szCs w:val="20"/>
                <w:color w:val="auto"/>
              </w:rPr>
            </w:pPr>
            <w:r>
              <w:rPr>
                <w:rFonts w:ascii="Arial" w:cs="Arial" w:eastAsia="Arial" w:hAnsi="Arial"/>
                <w:sz w:val="18"/>
                <w:szCs w:val="18"/>
                <w:color w:val="auto"/>
              </w:rPr>
              <w:t>Risk factors</w:t>
            </w: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rPr>
              <w:t>Investing in the Notes involves risks. You should consider carefully all of the</w:t>
            </w:r>
          </w:p>
        </w:tc>
      </w:tr>
      <w:tr>
        <w:trPr>
          <w:trHeight w:val="216"/>
        </w:trPr>
        <w:tc>
          <w:tcPr>
            <w:tcW w:w="2920" w:type="dxa"/>
            <w:vAlign w:val="bottom"/>
          </w:tcPr>
          <w:p>
            <w:pPr>
              <w:spacing w:after="0"/>
              <w:rPr>
                <w:sz w:val="18"/>
                <w:szCs w:val="18"/>
                <w:color w:val="auto"/>
              </w:rPr>
            </w:pP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w w:val="96"/>
              </w:rPr>
              <w:t>information in this prospectus supplement, the accompanying prospectus and the</w:t>
            </w:r>
          </w:p>
        </w:tc>
      </w:tr>
      <w:tr>
        <w:trPr>
          <w:trHeight w:val="216"/>
        </w:trPr>
        <w:tc>
          <w:tcPr>
            <w:tcW w:w="2920" w:type="dxa"/>
            <w:vAlign w:val="bottom"/>
          </w:tcPr>
          <w:p>
            <w:pPr>
              <w:spacing w:after="0"/>
              <w:rPr>
                <w:sz w:val="18"/>
                <w:szCs w:val="18"/>
                <w:color w:val="auto"/>
              </w:rPr>
            </w:pP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w w:val="95"/>
              </w:rPr>
              <w:t>documents incorporated by reference herein and therein. In particular, you should</w:t>
            </w:r>
          </w:p>
        </w:tc>
      </w:tr>
      <w:tr>
        <w:trPr>
          <w:trHeight w:val="216"/>
        </w:trPr>
        <w:tc>
          <w:tcPr>
            <w:tcW w:w="2920" w:type="dxa"/>
            <w:vAlign w:val="bottom"/>
          </w:tcPr>
          <w:p>
            <w:pPr>
              <w:spacing w:after="0"/>
              <w:rPr>
                <w:sz w:val="18"/>
                <w:szCs w:val="18"/>
                <w:color w:val="auto"/>
              </w:rPr>
            </w:pP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w w:val="92"/>
              </w:rPr>
              <w:t>consider carefully the specific risks set forth in “Risk Factors” beginning on page S-7</w:t>
            </w:r>
          </w:p>
        </w:tc>
      </w:tr>
      <w:tr>
        <w:trPr>
          <w:trHeight w:val="216"/>
        </w:trPr>
        <w:tc>
          <w:tcPr>
            <w:tcW w:w="2920" w:type="dxa"/>
            <w:vAlign w:val="bottom"/>
          </w:tcPr>
          <w:p>
            <w:pPr>
              <w:spacing w:after="0"/>
              <w:rPr>
                <w:sz w:val="18"/>
                <w:szCs w:val="18"/>
                <w:color w:val="auto"/>
              </w:rPr>
            </w:pPr>
          </w:p>
        </w:tc>
        <w:tc>
          <w:tcPr>
            <w:tcW w:w="7000" w:type="dxa"/>
            <w:vAlign w:val="bottom"/>
            <w:gridSpan w:val="2"/>
          </w:tcPr>
          <w:p>
            <w:pPr>
              <w:ind w:left="760"/>
              <w:spacing w:after="0"/>
              <w:rPr>
                <w:sz w:val="20"/>
                <w:szCs w:val="20"/>
                <w:color w:val="auto"/>
              </w:rPr>
            </w:pPr>
            <w:r>
              <w:rPr>
                <w:rFonts w:ascii="Arial" w:cs="Arial" w:eastAsia="Arial" w:hAnsi="Arial"/>
                <w:sz w:val="18"/>
                <w:szCs w:val="18"/>
                <w:color w:val="auto"/>
              </w:rPr>
              <w:t>of this prospectus supplement and beginning on page 6 of the accompanying</w:t>
            </w:r>
          </w:p>
        </w:tc>
      </w:tr>
      <w:tr>
        <w:trPr>
          <w:trHeight w:val="230"/>
        </w:trPr>
        <w:tc>
          <w:tcPr>
            <w:tcW w:w="2920" w:type="dxa"/>
            <w:vAlign w:val="bottom"/>
          </w:tcPr>
          <w:p>
            <w:pPr>
              <w:spacing w:after="0"/>
              <w:rPr>
                <w:sz w:val="20"/>
                <w:szCs w:val="20"/>
                <w:color w:val="auto"/>
              </w:rPr>
            </w:pPr>
          </w:p>
        </w:tc>
        <w:tc>
          <w:tcPr>
            <w:tcW w:w="5600" w:type="dxa"/>
            <w:vAlign w:val="bottom"/>
          </w:tcPr>
          <w:p>
            <w:pPr>
              <w:ind w:left="760"/>
              <w:spacing w:after="0"/>
              <w:rPr>
                <w:sz w:val="20"/>
                <w:szCs w:val="20"/>
                <w:color w:val="auto"/>
              </w:rPr>
            </w:pPr>
            <w:r>
              <w:rPr>
                <w:rFonts w:ascii="Arial" w:cs="Arial" w:eastAsia="Arial" w:hAnsi="Arial"/>
                <w:sz w:val="18"/>
                <w:szCs w:val="18"/>
                <w:color w:val="auto"/>
              </w:rPr>
              <w:t>prospectus.</w:t>
            </w:r>
          </w:p>
        </w:tc>
        <w:tc>
          <w:tcPr>
            <w:tcW w:w="14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Conflicts of interest</w:t>
      </w:r>
      <w:r>
        <w:rPr>
          <w:sz w:val="20"/>
          <w:szCs w:val="20"/>
          <w:color w:val="auto"/>
        </w:rPr>
        <w:tab/>
      </w:r>
      <w:r>
        <w:rPr>
          <w:rFonts w:ascii="Arial" w:cs="Arial" w:eastAsia="Arial" w:hAnsi="Arial"/>
          <w:sz w:val="16"/>
          <w:szCs w:val="16"/>
          <w:color w:val="auto"/>
        </w:rPr>
        <w:t>Affiliates of each of the underwriters are lenders under our credit facilities. These</w:t>
      </w:r>
    </w:p>
    <w:p>
      <w:pPr>
        <w:spacing w:after="0" w:line="23" w:lineRule="exact"/>
        <w:rPr>
          <w:sz w:val="20"/>
          <w:szCs w:val="20"/>
          <w:color w:val="auto"/>
        </w:rPr>
      </w:pPr>
    </w:p>
    <w:p>
      <w:pPr>
        <w:ind w:left="4600"/>
        <w:spacing w:after="0" w:line="268" w:lineRule="auto"/>
        <w:rPr>
          <w:sz w:val="20"/>
          <w:szCs w:val="20"/>
          <w:color w:val="auto"/>
        </w:rPr>
      </w:pPr>
      <w:r>
        <w:rPr>
          <w:rFonts w:ascii="Arial" w:cs="Arial" w:eastAsia="Arial" w:hAnsi="Arial"/>
          <w:sz w:val="17"/>
          <w:szCs w:val="17"/>
          <w:color w:val="auto"/>
        </w:rPr>
        <w:t>affiliates may receive their respective share of any repayment by us of amounts outstanding under our credit facilities from the proceeds of this offering. Each of the underwriters whose affiliates will receive at least 5% of the net proceeds is considered by the Financial Industry Regulatory Authority, Inc. to have a conflict of interest with us in regards to this offering. However, the appointment of a qualified independent underwriter is not necessary in connection with the offering because the offering is of a class of securities that are investment grade rated. See “Use of Proceeds” and “Underwriting — Conflicts of interest.”</w:t>
      </w:r>
    </w:p>
    <w:p>
      <w:pPr>
        <w:sectPr>
          <w:pgSz w:w="11900" w:h="16838" w:orient="portrait"/>
          <w:cols w:equalWidth="0" w:num="1">
            <w:col w:w="10800"/>
          </w:cols>
          <w:pgMar w:left="240" w:top="419"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right="160" w:firstLine="397"/>
        <w:spacing w:after="0" w:line="273" w:lineRule="auto"/>
        <w:rPr>
          <w:sz w:val="20"/>
          <w:szCs w:val="20"/>
          <w:color w:val="auto"/>
        </w:rPr>
      </w:pPr>
      <w:r>
        <w:rPr>
          <w:rFonts w:ascii="Arial" w:cs="Arial" w:eastAsia="Arial" w:hAnsi="Arial"/>
          <w:sz w:val="17"/>
          <w:szCs w:val="17"/>
          <w:i w:val="1"/>
          <w:iCs w:val="1"/>
          <w:color w:val="auto"/>
        </w:rPr>
        <w:t>Before making an investment in the Notes offered hereby, you should carefully consider the risk factors included below, as well as the risk factors beginning on page 6 of the accompanying prospectus and those included in Item 1A. “Risk Factors” in our Annual Report on Form 10-K for the year ended December 31, 2009 (File No. 001-14569), which is incorporated into this prospectus supplement by reference, together with all of the other information included or incorporated by reference in this prospectus. If any of these risks were to occur, our business, financial condition or results of operations could be materially adversely affected. In such case, the value of the Notes could decline, and you could lose all or part of your investment.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the Notes</w:t>
      </w:r>
    </w:p>
    <w:p>
      <w:pPr>
        <w:spacing w:after="0" w:line="135" w:lineRule="exact"/>
        <w:rPr>
          <w:sz w:val="20"/>
          <w:szCs w:val="20"/>
          <w:color w:val="auto"/>
        </w:rPr>
      </w:pPr>
    </w:p>
    <w:p>
      <w:pPr>
        <w:ind w:left="900" w:right="40"/>
        <w:spacing w:after="0" w:line="264" w:lineRule="auto"/>
        <w:rPr>
          <w:sz w:val="20"/>
          <w:szCs w:val="20"/>
          <w:color w:val="auto"/>
        </w:rPr>
      </w:pPr>
      <w:r>
        <w:rPr>
          <w:rFonts w:ascii="Arial" w:cs="Arial" w:eastAsia="Arial" w:hAnsi="Arial"/>
          <w:sz w:val="18"/>
          <w:szCs w:val="18"/>
          <w:b w:val="1"/>
          <w:bCs w:val="1"/>
          <w:i w:val="1"/>
          <w:iCs w:val="1"/>
          <w:color w:val="auto"/>
        </w:rPr>
        <w:t>Your right to receive payments on the Notes and subsidiary guarantees is unsecured and will be effectively subordinated to our and our subsidiary guarantors’ existing and future secured indebtedness as well as to any existing and future indebtedness of our subsidiaries that do not guarantee the Notes.</w:t>
      </w:r>
    </w:p>
    <w:p>
      <w:pPr>
        <w:spacing w:after="0" w:line="87" w:lineRule="exact"/>
        <w:rPr>
          <w:sz w:val="20"/>
          <w:szCs w:val="20"/>
          <w:color w:val="auto"/>
        </w:rPr>
      </w:pPr>
    </w:p>
    <w:p>
      <w:pPr>
        <w:ind w:left="700" w:right="120" w:firstLine="397"/>
        <w:spacing w:after="0" w:line="257" w:lineRule="auto"/>
        <w:rPr>
          <w:sz w:val="20"/>
          <w:szCs w:val="20"/>
          <w:color w:val="auto"/>
        </w:rPr>
      </w:pPr>
      <w:r>
        <w:rPr>
          <w:rFonts w:ascii="Arial" w:cs="Arial" w:eastAsia="Arial" w:hAnsi="Arial"/>
          <w:sz w:val="18"/>
          <w:szCs w:val="18"/>
          <w:color w:val="auto"/>
        </w:rPr>
        <w:t>The Notes are effectively subordinated to claims of our secured creditors, and the guarantees are effectively subordinated to the claims of our secured creditors as well as the secured creditors of our subsidiary guarantors. As of September 30, 2010, on an adjusted basis as described under “Capitalization,” and as further adjusted to give effect to this offering and the application of the net proceeds therefrom as described under “Use of Proceeds,” the Notes and the guarantees would have been effectively subordinated to $ million of short-term secured indebtedness.</w:t>
      </w:r>
    </w:p>
    <w:p>
      <w:pPr>
        <w:spacing w:after="0" w:line="94"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Although our subsidiaries other than (i) PAA Finance Corp., the co-issuer of the Notes, (ii) PNGS GP, PNG and their respective subsidiaries, (iii) subsidiaries regulated by the California Public Utilities Commission and (iv) minor subsidiaries, will initially guarantee the Notes, the guarantees are subject to release under certain circumstances and in the future we may have other subsidiaries that are not guarantors. The Notes will be effectively subordinated to the claims of all creditors, including trade creditors and tort claimants, of our subsidiaries that are not guarantors. In the event of the insolvency, bankruptcy, liquidation, reorganization, dissolution or winding up of the business of a subsidiary that is not a guarantor, creditors of that subsidiary would generally have the right to be paid in full before any distribution is made to us or the holders of the Notes.</w:t>
      </w:r>
    </w:p>
    <w:p>
      <w:pPr>
        <w:spacing w:after="0" w:line="191" w:lineRule="exact"/>
        <w:rPr>
          <w:sz w:val="20"/>
          <w:szCs w:val="20"/>
          <w:color w:val="auto"/>
        </w:rPr>
      </w:pPr>
    </w:p>
    <w:p>
      <w:pPr>
        <w:ind w:left="900" w:right="100"/>
        <w:spacing w:after="0" w:line="277" w:lineRule="auto"/>
        <w:rPr>
          <w:sz w:val="20"/>
          <w:szCs w:val="20"/>
          <w:color w:val="auto"/>
        </w:rPr>
      </w:pPr>
      <w:r>
        <w:rPr>
          <w:rFonts w:ascii="Arial" w:cs="Arial" w:eastAsia="Arial" w:hAnsi="Arial"/>
          <w:sz w:val="18"/>
          <w:szCs w:val="18"/>
          <w:b w:val="1"/>
          <w:bCs w:val="1"/>
          <w:i w:val="1"/>
          <w:iCs w:val="1"/>
          <w:color w:val="auto"/>
        </w:rPr>
        <w:t>Our leverage may limit our ability to borrow additional funds, comply with the terms of our indebtedness or capitalize on business opportunities.</w:t>
      </w:r>
    </w:p>
    <w:p>
      <w:pPr>
        <w:spacing w:after="0" w:line="76" w:lineRule="exact"/>
        <w:rPr>
          <w:sz w:val="20"/>
          <w:szCs w:val="20"/>
          <w:color w:val="auto"/>
        </w:rPr>
      </w:pPr>
    </w:p>
    <w:p>
      <w:pPr>
        <w:ind w:left="700" w:right="220" w:firstLine="397"/>
        <w:spacing w:after="0" w:line="293" w:lineRule="auto"/>
        <w:rPr>
          <w:sz w:val="20"/>
          <w:szCs w:val="20"/>
          <w:color w:val="auto"/>
        </w:rPr>
      </w:pPr>
      <w:r>
        <w:rPr>
          <w:rFonts w:ascii="Arial" w:cs="Arial" w:eastAsia="Arial" w:hAnsi="Arial"/>
          <w:sz w:val="16"/>
          <w:szCs w:val="16"/>
          <w:color w:val="auto"/>
        </w:rPr>
        <w:t>Our leverage is significant in relation to our partners’ capital. As of September 30, 2010, on an adjusted basis as described under “Capitalization,” and as further adjusted to give effect to this offering and the application of the net proceeds therefrom as described under “Use of Proceeds,” our total outstanding long-term debt, including the portion of our revolving credit facility classified as short-term, was approximately $ billion. See “Capitalization.”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70"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w:t>
      </w:r>
    </w:p>
    <w:p>
      <w:pPr>
        <w:spacing w:after="0" w:line="3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64" w:lineRule="auto"/>
        <w:rPr>
          <w:sz w:val="20"/>
          <w:szCs w:val="20"/>
          <w:color w:val="auto"/>
        </w:rPr>
      </w:pPr>
      <w:r>
        <w:rPr>
          <w:rFonts w:ascii="Arial" w:cs="Arial" w:eastAsia="Arial" w:hAnsi="Arial"/>
          <w:sz w:val="18"/>
          <w:szCs w:val="18"/>
          <w:color w:val="auto"/>
        </w:rPr>
        <w:t>would be able to refinance our existing indebtedness or sell assets on terms that are commercially reasonable. In addition, if one or more rating agencies were to lower our debt ratings, we could be required by some of our counterparties to post additional collateral, which would reduce our available liquidity and cash flow.</w:t>
      </w:r>
    </w:p>
    <w:p>
      <w:pPr>
        <w:spacing w:after="0" w:line="87" w:lineRule="exact"/>
        <w:rPr>
          <w:sz w:val="20"/>
          <w:szCs w:val="20"/>
          <w:color w:val="auto"/>
        </w:rPr>
      </w:pPr>
    </w:p>
    <w:p>
      <w:pPr>
        <w:ind w:left="700" w:right="100" w:firstLine="397"/>
        <w:spacing w:after="0" w:line="293" w:lineRule="auto"/>
        <w:rPr>
          <w:sz w:val="20"/>
          <w:szCs w:val="20"/>
          <w:color w:val="auto"/>
        </w:rPr>
      </w:pPr>
      <w:r>
        <w:rPr>
          <w:rFonts w:ascii="Arial" w:cs="Arial" w:eastAsia="Arial" w:hAnsi="Arial"/>
          <w:sz w:val="16"/>
          <w:szCs w:val="16"/>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 court may use fraudulent conveyance considerations to avoid or subordinate the subsidiary guarantees.</w:t>
      </w:r>
    </w:p>
    <w:p>
      <w:pPr>
        <w:spacing w:after="0" w:line="131" w:lineRule="exact"/>
        <w:rPr>
          <w:sz w:val="20"/>
          <w:szCs w:val="20"/>
          <w:color w:val="auto"/>
        </w:rPr>
      </w:pPr>
    </w:p>
    <w:p>
      <w:pPr>
        <w:ind w:left="700" w:right="200" w:firstLine="397"/>
        <w:spacing w:after="0" w:line="259" w:lineRule="auto"/>
        <w:rPr>
          <w:sz w:val="20"/>
          <w:szCs w:val="20"/>
          <w:color w:val="auto"/>
        </w:rPr>
      </w:pPr>
      <w:r>
        <w:rPr>
          <w:rFonts w:ascii="Arial" w:cs="Arial" w:eastAsia="Arial" w:hAnsi="Arial"/>
          <w:sz w:val="18"/>
          <w:szCs w:val="18"/>
          <w:color w:val="auto"/>
        </w:rPr>
        <w:t>Various applicable fraudulent conveyance laws have been enacted for the protection of creditors. A court may use fraudulent conveyance laws to subordinate or avoid the subsidiary guarantees of the Notes issued by any of our subsidiary guarantors. It is also possible that under certain circumstances a court could hold that the direct obligations of a subsidiary guaranteeing the Notes could be superior to the obligations under that guarantee.</w:t>
      </w:r>
    </w:p>
    <w:p>
      <w:pPr>
        <w:spacing w:after="0" w:line="92" w:lineRule="exact"/>
        <w:rPr>
          <w:sz w:val="20"/>
          <w:szCs w:val="20"/>
          <w:color w:val="auto"/>
        </w:rPr>
      </w:pPr>
    </w:p>
    <w:p>
      <w:pPr>
        <w:ind w:left="700" w:right="40" w:firstLine="397"/>
        <w:spacing w:after="0" w:line="342" w:lineRule="auto"/>
        <w:rPr>
          <w:sz w:val="20"/>
          <w:szCs w:val="20"/>
          <w:color w:val="auto"/>
        </w:rPr>
      </w:pPr>
      <w:r>
        <w:rPr>
          <w:rFonts w:ascii="Arial" w:cs="Arial" w:eastAsia="Arial" w:hAnsi="Arial"/>
          <w:sz w:val="16"/>
          <w:szCs w:val="16"/>
          <w:color w:val="auto"/>
        </w:rPr>
        <w:t>A court could avoid or subordinate the guarantee of the Notes by any of our subsidiaries in favor of that subsidiary’s other debts or liabilities to the extent that the court determined either of the following were true at the time the subsidiary issued the guarantee:</w:t>
      </w:r>
    </w:p>
    <w:p>
      <w:pPr>
        <w:spacing w:after="0" w:line="29" w:lineRule="exact"/>
        <w:rPr>
          <w:sz w:val="20"/>
          <w:szCs w:val="20"/>
          <w:color w:val="auto"/>
        </w:rPr>
      </w:pPr>
    </w:p>
    <w:p>
      <w:pPr>
        <w:ind w:left="1300" w:right="280" w:hanging="202"/>
        <w:spacing w:after="0" w:line="342"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that subsidiary incurred the guarantee with the intent to hinder, delay or defraud any of its present or future creditors or that subsidiary contemplated insolvency with a design to favor one or more creditors to the total or partial exclusion of others; or</w:t>
      </w:r>
    </w:p>
    <w:p>
      <w:pPr>
        <w:spacing w:after="0" w:line="15" w:lineRule="exact"/>
        <w:rPr>
          <w:rFonts w:ascii="Arial" w:cs="Arial" w:eastAsia="Arial" w:hAnsi="Arial"/>
          <w:sz w:val="16"/>
          <w:szCs w:val="16"/>
          <w:color w:val="auto"/>
        </w:rPr>
      </w:pPr>
    </w:p>
    <w:p>
      <w:pPr>
        <w:ind w:left="1300" w:right="400" w:hanging="20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subsidiary did not receive fair consideration or reasonable equivalent value for issuing the guarantee and, at the time it issued the guarantee, that subsidiary:</w:t>
      </w:r>
    </w:p>
    <w:p>
      <w:pPr>
        <w:spacing w:after="0" w:line="75" w:lineRule="exact"/>
        <w:rPr>
          <w:rFonts w:ascii="Arial" w:cs="Arial" w:eastAsia="Arial" w:hAnsi="Arial"/>
          <w:sz w:val="18"/>
          <w:szCs w:val="18"/>
          <w:color w:val="auto"/>
        </w:rPr>
      </w:pPr>
    </w:p>
    <w:p>
      <w:pPr>
        <w:ind w:left="1480" w:hanging="180"/>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was insolvent or rendered insolvent by reason of the issuance of the guarantee;</w:t>
      </w:r>
    </w:p>
    <w:p>
      <w:pPr>
        <w:spacing w:after="0" w:line="117" w:lineRule="exact"/>
        <w:rPr>
          <w:rFonts w:ascii="Arial" w:cs="Arial" w:eastAsia="Arial" w:hAnsi="Arial"/>
          <w:sz w:val="18"/>
          <w:szCs w:val="18"/>
          <w:color w:val="auto"/>
        </w:rPr>
      </w:pPr>
    </w:p>
    <w:p>
      <w:pPr>
        <w:ind w:left="1480" w:right="380" w:hanging="180"/>
        <w:spacing w:after="0" w:line="277"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was engaged or about to engage in a business or transaction for which the remaining assets of that subsidiary constituted unreasonably small capital; or</w:t>
      </w:r>
    </w:p>
    <w:p>
      <w:pPr>
        <w:spacing w:after="0" w:line="62" w:lineRule="exact"/>
        <w:rPr>
          <w:rFonts w:ascii="Arial" w:cs="Arial" w:eastAsia="Arial" w:hAnsi="Arial"/>
          <w:sz w:val="18"/>
          <w:szCs w:val="18"/>
          <w:color w:val="auto"/>
        </w:rPr>
      </w:pPr>
    </w:p>
    <w:p>
      <w:pPr>
        <w:ind w:left="1480" w:hanging="180"/>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matured.</w:t>
      </w:r>
    </w:p>
    <w:p>
      <w:pPr>
        <w:spacing w:after="0" w:line="131"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The measure of insolvency for purposes of the foregoing will vary depending upon the law of the relevant jurisdiction. Generally, however, an entity would be considered insolvent for purposes of the foregoing if the sum of its debts, including contingent liabilities, were greater than the fair saleable value of all of its assets at a fair valuation, or if the present fair saleable value of its assets were less than the amount that would be required to pay its probable liability on its existing debts, including contingent liabilities, as they become absolute and matured.</w:t>
      </w:r>
    </w:p>
    <w:p>
      <w:pPr>
        <w:spacing w:after="0" w:line="94" w:lineRule="exact"/>
        <w:rPr>
          <w:sz w:val="20"/>
          <w:szCs w:val="20"/>
          <w:color w:val="auto"/>
        </w:rPr>
      </w:pPr>
    </w:p>
    <w:p>
      <w:pPr>
        <w:jc w:val="both"/>
        <w:ind w:left="700" w:firstLine="397"/>
        <w:spacing w:after="0" w:line="259" w:lineRule="auto"/>
        <w:rPr>
          <w:sz w:val="20"/>
          <w:szCs w:val="20"/>
          <w:color w:val="auto"/>
        </w:rPr>
      </w:pPr>
      <w:r>
        <w:rPr>
          <w:rFonts w:ascii="Arial" w:cs="Arial" w:eastAsia="Arial" w:hAnsi="Arial"/>
          <w:sz w:val="18"/>
          <w:szCs w:val="18"/>
          <w:color w:val="auto"/>
        </w:rPr>
        <w:t>Among other things, a legal challenge of a subsidiary’s guarantee of the Notes on fraudulent conveyance grounds may focus on the benefits, if any, realized by that subsidiary as a result of our issuance of the Notes. To the extent a subsidiary’s guarantee of the Notes is avoided as a result of fraudulent conveyance or held unenforceable for any other reason, the note holders would cease to have any claim in respect of that guarantee.</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Your ability to transfer the Notes may be limited by the absence of an organized trading market.</w:t>
      </w:r>
    </w:p>
    <w:p>
      <w:pPr>
        <w:spacing w:after="0" w:line="131"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The Notes will be new securities for which currently there is no organized trading market. We do not currently intend to apply for listing of the Notes on any securities exchange or other market. Although certain</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9" w:lineRule="auto"/>
        <w:rPr>
          <w:sz w:val="20"/>
          <w:szCs w:val="20"/>
          <w:color w:val="auto"/>
        </w:rPr>
      </w:pPr>
      <w:r>
        <w:rPr>
          <w:rFonts w:ascii="Arial" w:cs="Arial" w:eastAsia="Arial" w:hAnsi="Arial"/>
          <w:sz w:val="17"/>
          <w:szCs w:val="17"/>
          <w:color w:val="auto"/>
        </w:rPr>
        <w:t>of the underwriters have informed us that they currently intend to make a market in the Notes, they are not obligated to do so. In addition, the underwriters may discontinue any such market making at any time without notice. The liquidity of any market for the Notes will depend on the number of holders of the Notes, the interest of securities dealers in making a market in those Notes and other factors. Accordingly, we can give no assurance as to the development, continuation or liquidity of any market for the Notes.</w:t>
      </w:r>
    </w:p>
    <w:p>
      <w:pPr>
        <w:spacing w:after="0" w:line="18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13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192" w:lineRule="exact"/>
        <w:rPr>
          <w:sz w:val="20"/>
          <w:szCs w:val="20"/>
          <w:color w:val="auto"/>
        </w:rPr>
      </w:pPr>
    </w:p>
    <w:p>
      <w:pPr>
        <w:ind w:left="900" w:right="240"/>
        <w:spacing w:after="0" w:line="277"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the Notes or to repay them at maturity.</w:t>
      </w:r>
    </w:p>
    <w:p>
      <w:pPr>
        <w:spacing w:after="0" w:line="76"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94" w:lineRule="exact"/>
        <w:rPr>
          <w:sz w:val="20"/>
          <w:szCs w:val="20"/>
          <w:color w:val="auto"/>
        </w:rPr>
      </w:pPr>
    </w:p>
    <w:p>
      <w:pPr>
        <w:ind w:left="1300" w:right="120" w:hanging="20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62"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provide funds for distributions to our unitholders and the general partner for any one or more of the next four calendar quarters;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131"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w:t>
      </w:r>
    </w:p>
    <w:p>
      <w:pPr>
        <w:spacing w:after="0" w:line="3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100" w:firstLine="397"/>
        <w:spacing w:after="0" w:line="276" w:lineRule="auto"/>
        <w:rPr>
          <w:sz w:val="20"/>
          <w:szCs w:val="20"/>
          <w:color w:val="auto"/>
        </w:rPr>
      </w:pPr>
      <w:r>
        <w:rPr>
          <w:rFonts w:ascii="Arial" w:cs="Arial" w:eastAsia="Arial" w:hAnsi="Arial"/>
          <w:sz w:val="17"/>
          <w:szCs w:val="17"/>
          <w:color w:val="auto"/>
        </w:rPr>
        <w:t>We expect the net proceeds of this offering to be approximately $ million after deducting the underwriters’ discounts and commissions and our estimated offering expenses. We expect to use the net proceeds from this offering to repay outstanding borrowings under our credit facilities and for general partnership purposes. Amounts repaid under our credit facilities may be reborrowed, as necessary, to fund our ongoing expansion capital program, future acquisitions, retirement of other long-term debt, investments in PNG, including for purposes of financing the Southern Pines Acquisition, or for general partnership purposes.</w:t>
      </w:r>
    </w:p>
    <w:p>
      <w:pPr>
        <w:spacing w:after="0" w:line="78" w:lineRule="exact"/>
        <w:rPr>
          <w:sz w:val="20"/>
          <w:szCs w:val="20"/>
          <w:color w:val="auto"/>
        </w:rPr>
      </w:pPr>
    </w:p>
    <w:p>
      <w:pPr>
        <w:jc w:val="both"/>
        <w:ind w:left="700" w:right="120" w:firstLine="397"/>
        <w:spacing w:after="0" w:line="264" w:lineRule="auto"/>
        <w:rPr>
          <w:sz w:val="20"/>
          <w:szCs w:val="20"/>
          <w:color w:val="auto"/>
        </w:rPr>
      </w:pPr>
      <w:r>
        <w:rPr>
          <w:rFonts w:ascii="Arial" w:cs="Arial" w:eastAsia="Arial" w:hAnsi="Arial"/>
          <w:sz w:val="18"/>
          <w:szCs w:val="18"/>
          <w:color w:val="auto"/>
        </w:rPr>
        <w:t>Affiliates of each of the underwriters are lenders under our credit facilities, and accordingly, may receive a portion of the proceeds from this offering pursuant to the repayment of borrowings under such facilities. Please read “Underwriting — Conflicts of interest” in this prospectus supplement for further information.</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As of December 31, 2010, we had approximately $1.6 billion of debt outstanding under our credit facilities with a weighted average interest rate of approximately 1.6%. Substantially all of the borrowings we expect to repay were incurred for working capital requirements.</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9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Nine</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Months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6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5"/>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260" w:type="dxa"/>
            <w:vAlign w:val="bottom"/>
          </w:tcPr>
          <w:p>
            <w:pPr>
              <w:spacing w:after="0"/>
              <w:rPr>
                <w:sz w:val="12"/>
                <w:szCs w:val="12"/>
                <w:color w:val="auto"/>
              </w:rPr>
            </w:pPr>
          </w:p>
        </w:tc>
        <w:tc>
          <w:tcPr>
            <w:tcW w:w="5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5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5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2"/>
                <w:szCs w:val="12"/>
                <w:color w:val="auto"/>
              </w:rPr>
            </w:pPr>
          </w:p>
        </w:tc>
        <w:tc>
          <w:tcPr>
            <w:tcW w:w="5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64"/>
        </w:trPr>
        <w:tc>
          <w:tcPr>
            <w:tcW w:w="4960" w:type="dxa"/>
            <w:vAlign w:val="bottom"/>
          </w:tcPr>
          <w:p>
            <w:pPr>
              <w:spacing w:after="0"/>
              <w:rPr>
                <w:sz w:val="20"/>
                <w:szCs w:val="20"/>
                <w:color w:val="auto"/>
              </w:rPr>
            </w:pPr>
            <w:r>
              <w:rPr>
                <w:rFonts w:ascii="Arial" w:cs="Arial" w:eastAsia="Arial" w:hAnsi="Arial"/>
                <w:sz w:val="18"/>
                <w:szCs w:val="18"/>
                <w:color w:val="auto"/>
              </w:rPr>
              <w:t>Ratio of Earnings to Fixed Charges(1)</w:t>
            </w:r>
          </w:p>
        </w:tc>
        <w:tc>
          <w:tcPr>
            <w:tcW w:w="1380" w:type="dxa"/>
            <w:vAlign w:val="bottom"/>
            <w:gridSpan w:val="2"/>
          </w:tcPr>
          <w:p>
            <w:pPr>
              <w:ind w:left="400"/>
              <w:spacing w:after="0"/>
              <w:rPr>
                <w:sz w:val="20"/>
                <w:szCs w:val="20"/>
                <w:color w:val="auto"/>
              </w:rPr>
            </w:pPr>
            <w:r>
              <w:rPr>
                <w:rFonts w:ascii="Arial" w:cs="Arial" w:eastAsia="Arial" w:hAnsi="Arial"/>
                <w:sz w:val="18"/>
                <w:szCs w:val="18"/>
                <w:color w:val="auto"/>
              </w:rPr>
              <w:t>2.48x</w:t>
            </w:r>
          </w:p>
        </w:tc>
        <w:tc>
          <w:tcPr>
            <w:tcW w:w="500" w:type="dxa"/>
            <w:vAlign w:val="bottom"/>
          </w:tcPr>
          <w:p>
            <w:pPr>
              <w:ind w:left="100"/>
              <w:spacing w:after="0"/>
              <w:rPr>
                <w:sz w:val="20"/>
                <w:szCs w:val="20"/>
                <w:color w:val="auto"/>
              </w:rPr>
            </w:pPr>
            <w:r>
              <w:rPr>
                <w:rFonts w:ascii="Arial" w:cs="Arial" w:eastAsia="Arial" w:hAnsi="Arial"/>
                <w:sz w:val="18"/>
                <w:szCs w:val="18"/>
                <w:color w:val="auto"/>
                <w:w w:val="86"/>
              </w:rPr>
              <w:t>3.00x</w:t>
            </w:r>
          </w:p>
        </w:tc>
        <w:tc>
          <w:tcPr>
            <w:tcW w:w="260" w:type="dxa"/>
            <w:vAlign w:val="bottom"/>
          </w:tcPr>
          <w:p>
            <w:pPr>
              <w:spacing w:after="0"/>
              <w:rPr>
                <w:sz w:val="22"/>
                <w:szCs w:val="22"/>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90"/>
              </w:rPr>
              <w:t>2.60x</w:t>
            </w:r>
          </w:p>
        </w:tc>
        <w:tc>
          <w:tcPr>
            <w:tcW w:w="260" w:type="dxa"/>
            <w:vAlign w:val="bottom"/>
          </w:tcPr>
          <w:p>
            <w:pPr>
              <w:spacing w:after="0"/>
              <w:rPr>
                <w:sz w:val="22"/>
                <w:szCs w:val="22"/>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w w:val="86"/>
              </w:rPr>
              <w:t>2.45x</w:t>
            </w:r>
          </w:p>
        </w:tc>
        <w:tc>
          <w:tcPr>
            <w:tcW w:w="260" w:type="dxa"/>
            <w:vAlign w:val="bottom"/>
          </w:tcPr>
          <w:p>
            <w:pPr>
              <w:spacing w:after="0"/>
              <w:rPr>
                <w:sz w:val="22"/>
                <w:szCs w:val="22"/>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90"/>
              </w:rPr>
              <w:t>2.83x</w:t>
            </w:r>
          </w:p>
        </w:tc>
        <w:tc>
          <w:tcPr>
            <w:tcW w:w="240" w:type="dxa"/>
            <w:vAlign w:val="bottom"/>
          </w:tcPr>
          <w:p>
            <w:pPr>
              <w:spacing w:after="0"/>
              <w:rPr>
                <w:sz w:val="22"/>
                <w:szCs w:val="22"/>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6"/>
              </w:rPr>
              <w:t>3.34x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000" w:right="100" w:hanging="301"/>
        <w:spacing w:after="0" w:line="291"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interest costs attributable to borrowings for inventory stored in a contango market of $24 million, $49 million, $44 million, $21 million and $11 million for each of the years ended December 31, 2005, 2006, 2007, 2008 and 2009, respectively, and</w:t>
      </w:r>
    </w:p>
    <w:p>
      <w:pPr>
        <w:ind w:left="1000"/>
        <w:spacing w:after="0"/>
        <w:rPr>
          <w:rFonts w:ascii="Arial" w:cs="Arial" w:eastAsia="Arial" w:hAnsi="Arial"/>
          <w:sz w:val="16"/>
          <w:szCs w:val="16"/>
          <w:color w:val="auto"/>
        </w:rPr>
      </w:pPr>
      <w:r>
        <w:rPr>
          <w:rFonts w:ascii="Arial" w:cs="Arial" w:eastAsia="Arial" w:hAnsi="Arial"/>
          <w:sz w:val="18"/>
          <w:szCs w:val="18"/>
          <w:color w:val="auto"/>
        </w:rPr>
        <w:t>$13 million for the nine months ended September 30, 2010.</w:t>
      </w:r>
    </w:p>
    <w:p>
      <w:pPr>
        <w:spacing w:after="0" w:line="3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right"/>
        <w:ind w:right="4980"/>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jc w:val="right"/>
        <w:ind w:right="4980"/>
        <w:spacing w:after="0"/>
        <w:rPr>
          <w:sz w:val="20"/>
          <w:szCs w:val="20"/>
          <w:color w:val="auto"/>
        </w:rPr>
      </w:pPr>
      <w:r>
        <w:rPr>
          <w:rFonts w:ascii="Arial" w:cs="Arial" w:eastAsia="Arial" w:hAnsi="Arial"/>
          <w:sz w:val="18"/>
          <w:szCs w:val="18"/>
          <w:color w:val="auto"/>
        </w:rPr>
        <w:t>The following table sets forth our capitalization as of September 30, 2010:</w:t>
      </w:r>
    </w:p>
    <w:p>
      <w:pPr>
        <w:spacing w:after="0" w:line="131"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 historical basis;</w:t>
      </w:r>
    </w:p>
    <w:p>
      <w:pPr>
        <w:spacing w:after="0" w:line="117" w:lineRule="exact"/>
        <w:rPr>
          <w:rFonts w:ascii="Arial" w:cs="Arial" w:eastAsia="Arial" w:hAnsi="Arial"/>
          <w:sz w:val="18"/>
          <w:szCs w:val="18"/>
          <w:color w:val="auto"/>
        </w:rPr>
      </w:pPr>
    </w:p>
    <w:p>
      <w:pPr>
        <w:ind w:left="1300" w:right="860" w:hanging="202"/>
        <w:spacing w:after="0" w:line="255"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 adjusted basis to give effect to (i) the application of the net proceeds (including our general partner’s proportionate capital contribution) of our November 2010 offering of a total of 4,780,000 common units (including 580,000 common units issued in December 2010 pursuant to the exercise of the underwriters’ over-allotment option) to reduce outstanding indebtedness under our credit facilities, (ii) the Nexen Acquisition (See “Summary — Recent Developments — Nexen Acquisition”), (iii) the Southern Pines Acquisition and related financing (See “Summary — Recent Developments — Southern Pines Acquisition”) and (iv) our new $500 million, 364-day credit facility (See “Summary — Recent Developments — New Revolving Credit Facility”); and</w:t>
      </w:r>
    </w:p>
    <w:p>
      <w:pPr>
        <w:spacing w:after="0" w:line="81" w:lineRule="exact"/>
        <w:rPr>
          <w:rFonts w:ascii="Arial" w:cs="Arial" w:eastAsia="Arial" w:hAnsi="Arial"/>
          <w:sz w:val="18"/>
          <w:szCs w:val="18"/>
          <w:color w:val="auto"/>
        </w:rPr>
      </w:pPr>
    </w:p>
    <w:p>
      <w:pPr>
        <w:ind w:left="1300" w:right="860" w:hanging="20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 further adjusted basis to give effect to the sale of the Notes offered hereby and the application of the net proceeds therefrom as described under “Use of Proceeds” in this prospectus supplement.</w:t>
      </w:r>
    </w:p>
    <w:p>
      <w:pPr>
        <w:spacing w:after="0" w:line="76" w:lineRule="exact"/>
        <w:rPr>
          <w:sz w:val="20"/>
          <w:szCs w:val="20"/>
          <w:color w:val="auto"/>
        </w:rPr>
      </w:pPr>
    </w:p>
    <w:p>
      <w:pPr>
        <w:ind w:left="700" w:right="960" w:firstLine="397"/>
        <w:spacing w:after="0" w:line="264" w:lineRule="auto"/>
        <w:rPr>
          <w:sz w:val="20"/>
          <w:szCs w:val="20"/>
          <w:color w:val="auto"/>
        </w:rPr>
      </w:pPr>
      <w:r>
        <w:rPr>
          <w:rFonts w:ascii="Arial" w:cs="Arial" w:eastAsia="Arial" w:hAnsi="Arial"/>
          <w:sz w:val="18"/>
          <w:szCs w:val="18"/>
          <w:color w:val="auto"/>
        </w:rPr>
        <w:t>This table should also be read in conjunction with our financial statements and the notes thereto that are incorporated by reference into this prospectus supplement. As of December 31, 2010, we had approximately $1.6 billion of debt outstanding under our credit facilities with a weighted average interest rate of approximately 1.6%. See “Use of Proceeds.”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September 30, 2010</w:t>
            </w:r>
          </w:p>
        </w:tc>
        <w:tc>
          <w:tcPr>
            <w:tcW w:w="1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0"/>
              </w:rPr>
              <w:t>Historical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As Adjusted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jc w:val="center"/>
              <w:ind w:right="33"/>
              <w:spacing w:after="0" w:line="119" w:lineRule="exact"/>
              <w:rPr>
                <w:sz w:val="20"/>
                <w:szCs w:val="20"/>
                <w:color w:val="auto"/>
              </w:rPr>
            </w:pPr>
            <w:r>
              <w:rPr>
                <w:rFonts w:ascii="Arial" w:cs="Arial" w:eastAsia="Arial" w:hAnsi="Arial"/>
                <w:sz w:val="13"/>
                <w:szCs w:val="13"/>
                <w:b w:val="1"/>
                <w:bCs w:val="1"/>
                <w:color w:val="auto"/>
              </w:rPr>
              <w:t>As Further Adjusted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(as described above)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 this Offering</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00" w:type="dxa"/>
            <w:vAlign w:val="bottom"/>
          </w:tcPr>
          <w:p>
            <w:pPr>
              <w:spacing w:after="0"/>
              <w:rPr>
                <w:sz w:val="20"/>
                <w:szCs w:val="20"/>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ind w:left="700"/>
              <w:spacing w:after="0"/>
              <w:rPr>
                <w:sz w:val="20"/>
                <w:szCs w:val="20"/>
                <w:color w:val="auto"/>
              </w:rPr>
            </w:pPr>
            <w:r>
              <w:rPr>
                <w:rFonts w:ascii="Arial" w:cs="Arial" w:eastAsia="Arial" w:hAnsi="Arial"/>
                <w:sz w:val="18"/>
                <w:szCs w:val="18"/>
                <w:b w:val="1"/>
                <w:bCs w:val="1"/>
                <w:color w:val="auto"/>
              </w:rPr>
              <w:t>SHORT-TERM DEBT</w:t>
            </w: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3"/>
            <w:vMerge w:val="continue"/>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Hedged inventory facility</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00" w:type="dxa"/>
            <w:vAlign w:val="bottom"/>
            <w:gridSpan w:val="2"/>
          </w:tcPr>
          <w:p>
            <w:pPr>
              <w:ind w:left="180"/>
              <w:spacing w:after="0"/>
              <w:rPr>
                <w:sz w:val="20"/>
                <w:szCs w:val="20"/>
                <w:color w:val="auto"/>
              </w:rPr>
            </w:pPr>
            <w:r>
              <w:rPr>
                <w:rFonts w:ascii="Arial" w:cs="Arial" w:eastAsia="Arial" w:hAnsi="Arial"/>
                <w:sz w:val="18"/>
                <w:szCs w:val="18"/>
                <w:color w:val="auto"/>
              </w:rPr>
              <w:t>Working capital borrowings(1)</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300" w:type="dxa"/>
            <w:vAlign w:val="bottom"/>
            <w:gridSpan w:val="2"/>
          </w:tcPr>
          <w:p>
            <w:pPr>
              <w:ind w:left="360"/>
              <w:spacing w:after="0"/>
              <w:rPr>
                <w:sz w:val="20"/>
                <w:szCs w:val="20"/>
                <w:color w:val="auto"/>
              </w:rPr>
            </w:pPr>
            <w:r>
              <w:rPr>
                <w:rFonts w:ascii="Arial" w:cs="Arial" w:eastAsia="Arial" w:hAnsi="Arial"/>
                <w:sz w:val="18"/>
                <w:szCs w:val="18"/>
                <w:color w:val="auto"/>
              </w:rPr>
              <w:t>Total short-term debt</w:t>
            </w:r>
          </w:p>
        </w:tc>
        <w:tc>
          <w:tcPr>
            <w:tcW w:w="10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00" w:type="dxa"/>
            <w:vAlign w:val="bottom"/>
            <w:gridSpan w:val="2"/>
          </w:tcPr>
          <w:p>
            <w:pPr>
              <w:ind w:left="180"/>
              <w:spacing w:after="0"/>
              <w:rPr>
                <w:sz w:val="20"/>
                <w:szCs w:val="20"/>
                <w:color w:val="auto"/>
              </w:rPr>
            </w:pPr>
            <w:r>
              <w:rPr>
                <w:rFonts w:ascii="Arial" w:cs="Arial" w:eastAsia="Arial" w:hAnsi="Arial"/>
                <w:sz w:val="18"/>
                <w:szCs w:val="18"/>
                <w:color w:val="auto"/>
              </w:rPr>
              <w:t>Long-term debt under credit facilities and other(2)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621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4.25%</w:t>
            </w: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2012(3)</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90"/>
              </w:rPr>
              <w:t>7.75%</w:t>
            </w:r>
          </w:p>
        </w:tc>
        <w:tc>
          <w:tcPr>
            <w:tcW w:w="3640" w:type="dxa"/>
            <w:vAlign w:val="bottom"/>
          </w:tcPr>
          <w:p>
            <w:pPr>
              <w:ind w:left="20"/>
              <w:spacing w:after="0"/>
              <w:rPr>
                <w:sz w:val="20"/>
                <w:szCs w:val="20"/>
                <w:color w:val="auto"/>
              </w:rPr>
            </w:pPr>
            <w:r>
              <w:rPr>
                <w:rFonts w:ascii="Arial" w:cs="Arial" w:eastAsia="Arial" w:hAnsi="Arial"/>
                <w:sz w:val="18"/>
                <w:szCs w:val="18"/>
                <w:color w:val="auto"/>
              </w:rPr>
              <w:t>Senior Notes due 2012</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5.63%</w:t>
            </w: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2013</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90"/>
              </w:rPr>
              <w:t>5.25%</w:t>
            </w:r>
          </w:p>
        </w:tc>
        <w:tc>
          <w:tcPr>
            <w:tcW w:w="3640" w:type="dxa"/>
            <w:vAlign w:val="bottom"/>
          </w:tcPr>
          <w:p>
            <w:pPr>
              <w:ind w:left="20"/>
              <w:spacing w:after="0"/>
              <w:rPr>
                <w:sz w:val="20"/>
                <w:szCs w:val="20"/>
                <w:color w:val="auto"/>
              </w:rPr>
            </w:pPr>
            <w:r>
              <w:rPr>
                <w:rFonts w:ascii="Arial" w:cs="Arial" w:eastAsia="Arial" w:hAnsi="Arial"/>
                <w:sz w:val="18"/>
                <w:szCs w:val="18"/>
                <w:color w:val="auto"/>
              </w:rPr>
              <w:t>Senior Notes due 2015</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3.95%</w:t>
            </w: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2015</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90"/>
              </w:rPr>
              <w:t>5.88%</w:t>
            </w:r>
          </w:p>
        </w:tc>
        <w:tc>
          <w:tcPr>
            <w:tcW w:w="3640" w:type="dxa"/>
            <w:vAlign w:val="bottom"/>
          </w:tcPr>
          <w:p>
            <w:pPr>
              <w:ind w:left="20"/>
              <w:spacing w:after="0"/>
              <w:rPr>
                <w:sz w:val="20"/>
                <w:szCs w:val="20"/>
                <w:color w:val="auto"/>
              </w:rPr>
            </w:pPr>
            <w:r>
              <w:rPr>
                <w:rFonts w:ascii="Arial" w:cs="Arial" w:eastAsia="Arial" w:hAnsi="Arial"/>
                <w:sz w:val="18"/>
                <w:szCs w:val="18"/>
                <w:color w:val="auto"/>
              </w:rPr>
              <w:t>Senior Notes due 2016</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6.13%</w:t>
            </w: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2017</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90"/>
              </w:rPr>
              <w:t>6.50%</w:t>
            </w:r>
          </w:p>
        </w:tc>
        <w:tc>
          <w:tcPr>
            <w:tcW w:w="3640" w:type="dxa"/>
            <w:vAlign w:val="bottom"/>
          </w:tcPr>
          <w:p>
            <w:pPr>
              <w:ind w:left="20"/>
              <w:spacing w:after="0"/>
              <w:rPr>
                <w:sz w:val="20"/>
                <w:szCs w:val="20"/>
                <w:color w:val="auto"/>
              </w:rPr>
            </w:pPr>
            <w:r>
              <w:rPr>
                <w:rFonts w:ascii="Arial" w:cs="Arial" w:eastAsia="Arial" w:hAnsi="Arial"/>
                <w:sz w:val="18"/>
                <w:szCs w:val="18"/>
                <w:color w:val="auto"/>
              </w:rPr>
              <w:t>Senior Notes due 2018</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8.75%</w:t>
            </w: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2019</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90"/>
              </w:rPr>
              <w:t>5.75%</w:t>
            </w:r>
          </w:p>
        </w:tc>
        <w:tc>
          <w:tcPr>
            <w:tcW w:w="3640" w:type="dxa"/>
            <w:vAlign w:val="bottom"/>
          </w:tcPr>
          <w:p>
            <w:pPr>
              <w:ind w:left="20"/>
              <w:spacing w:after="0"/>
              <w:rPr>
                <w:sz w:val="20"/>
                <w:szCs w:val="20"/>
                <w:color w:val="auto"/>
              </w:rPr>
            </w:pPr>
            <w:r>
              <w:rPr>
                <w:rFonts w:ascii="Arial" w:cs="Arial" w:eastAsia="Arial" w:hAnsi="Arial"/>
                <w:sz w:val="18"/>
                <w:szCs w:val="18"/>
                <w:color w:val="auto"/>
              </w:rPr>
              <w:t>Senior Notes due 2020</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6.70%</w:t>
            </w: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2036</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w w:val="90"/>
              </w:rPr>
              <w:t>6.65%</w:t>
            </w:r>
          </w:p>
        </w:tc>
        <w:tc>
          <w:tcPr>
            <w:tcW w:w="3640" w:type="dxa"/>
            <w:vAlign w:val="bottom"/>
          </w:tcPr>
          <w:p>
            <w:pPr>
              <w:ind w:left="20"/>
              <w:spacing w:after="0"/>
              <w:rPr>
                <w:sz w:val="20"/>
                <w:szCs w:val="20"/>
                <w:color w:val="auto"/>
              </w:rPr>
            </w:pPr>
            <w:r>
              <w:rPr>
                <w:rFonts w:ascii="Arial" w:cs="Arial" w:eastAsia="Arial" w:hAnsi="Arial"/>
                <w:sz w:val="18"/>
                <w:szCs w:val="18"/>
                <w:color w:val="auto"/>
              </w:rPr>
              <w:t>Senior Notes due 2037</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Notes offered hereby</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00" w:type="dxa"/>
            <w:vAlign w:val="bottom"/>
            <w:gridSpan w:val="2"/>
          </w:tcPr>
          <w:p>
            <w:pPr>
              <w:ind w:left="180"/>
              <w:spacing w:after="0"/>
              <w:rPr>
                <w:sz w:val="20"/>
                <w:szCs w:val="20"/>
                <w:color w:val="auto"/>
              </w:rPr>
            </w:pPr>
            <w:r>
              <w:rPr>
                <w:rFonts w:ascii="Arial" w:cs="Arial" w:eastAsia="Arial" w:hAnsi="Arial"/>
                <w:sz w:val="18"/>
                <w:szCs w:val="18"/>
                <w:color w:val="auto"/>
              </w:rPr>
              <w:t>Unamortized discount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4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4,593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ind w:left="700"/>
              <w:spacing w:after="0"/>
              <w:rPr>
                <w:sz w:val="20"/>
                <w:szCs w:val="20"/>
                <w:color w:val="auto"/>
              </w:rPr>
            </w:pPr>
            <w:r>
              <w:rPr>
                <w:rFonts w:ascii="Arial" w:cs="Arial" w:eastAsia="Arial" w:hAnsi="Arial"/>
                <w:sz w:val="18"/>
                <w:szCs w:val="18"/>
                <w:b w:val="1"/>
                <w:bCs w:val="1"/>
                <w:color w:val="auto"/>
              </w:rPr>
              <w:t>PARTNERS’ CAPITAL</w:t>
            </w: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3"/>
            <w:vMerge w:val="continue"/>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4,343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300" w:type="dxa"/>
            <w:vAlign w:val="bottom"/>
            <w:gridSpan w:val="2"/>
          </w:tcPr>
          <w:p>
            <w:pPr>
              <w:ind w:left="180"/>
              <w:spacing w:after="0"/>
              <w:rPr>
                <w:sz w:val="20"/>
                <w:szCs w:val="20"/>
                <w:color w:val="auto"/>
              </w:rPr>
            </w:pPr>
            <w:r>
              <w:rPr>
                <w:rFonts w:ascii="Arial" w:cs="Arial" w:eastAsia="Arial" w:hAnsi="Arial"/>
                <w:sz w:val="18"/>
                <w:szCs w:val="18"/>
                <w:color w:val="auto"/>
              </w:rPr>
              <w:t>Total capitalization</w:t>
            </w:r>
          </w:p>
        </w:tc>
        <w:tc>
          <w:tcPr>
            <w:tcW w:w="10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8,936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20" w:type="dxa"/>
            <w:vAlign w:val="bottom"/>
            <w:gridSpan w:val="2"/>
          </w:tcPr>
          <w:p>
            <w:pPr>
              <w:jc w:val="right"/>
              <w:ind w:right="326"/>
              <w:spacing w:after="0"/>
              <w:rPr>
                <w:sz w:val="20"/>
                <w:szCs w:val="20"/>
                <w:color w:val="auto"/>
              </w:rPr>
            </w:pPr>
            <w:r>
              <w:rPr>
                <w:rFonts w:ascii="Arial" w:cs="Arial" w:eastAsia="Arial" w:hAnsi="Arial"/>
                <w:sz w:val="18"/>
                <w:szCs w:val="18"/>
                <w:color w:val="auto"/>
              </w:rPr>
              <w:t>S-12</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8147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84" w:lineRule="exact"/>
        <w:rPr>
          <w:sz w:val="20"/>
          <w:szCs w:val="20"/>
          <w:color w:val="auto"/>
        </w:rPr>
      </w:pPr>
    </w:p>
    <w:p>
      <w:pPr>
        <w:ind w:left="1000" w:hanging="301"/>
        <w:spacing w:after="0" w:line="264"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classify as short term our borrowings under our senior unsecured revolving credit facility. These borrowings are designated as working capital borrowings, must be repaid within one year and are primarily for hedged LPG and crude oil inventory purchases and NYMEX and ICE margin deposits.</w:t>
      </w:r>
    </w:p>
    <w:p>
      <w:pPr>
        <w:spacing w:after="0" w:line="19" w:lineRule="exact"/>
        <w:rPr>
          <w:rFonts w:ascii="Arial" w:cs="Arial" w:eastAsia="Arial" w:hAnsi="Arial"/>
          <w:sz w:val="18"/>
          <w:szCs w:val="18"/>
          <w:color w:val="auto"/>
        </w:rPr>
      </w:pPr>
    </w:p>
    <w:p>
      <w:pPr>
        <w:ind w:left="1000" w:right="20" w:hanging="301"/>
        <w:spacing w:after="0" w:line="25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April 2010, our consolidated subsidiary PNG entered into a three year, $400 million senior unsecured revolving credit facility that matures in May 2013. This credit facility, which bears interest based on LIBOR plus an applicable margin (as defined by the credit agreement), may be expanded to $600 million, subject to additional lender commitments and with approval of the administrative agent for the credit facility. As of December 31, 2010, borrowings of approximately $260 million were outstanding under this facility.</w:t>
      </w:r>
    </w:p>
    <w:p>
      <w:pPr>
        <w:spacing w:after="0" w:line="26" w:lineRule="exact"/>
        <w:rPr>
          <w:rFonts w:ascii="Arial" w:cs="Arial" w:eastAsia="Arial" w:hAnsi="Arial"/>
          <w:sz w:val="18"/>
          <w:szCs w:val="18"/>
          <w:color w:val="auto"/>
        </w:rPr>
      </w:pPr>
    </w:p>
    <w:p>
      <w:pPr>
        <w:ind w:left="1000" w:right="300" w:hanging="301"/>
        <w:spacing w:after="0" w:line="264"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notes were issued in July 2009 and the proceeds are being used to supplement capital available from our hedged inventory facility. At September 30, 2010, approximately $500 million had been used to fund hedged inventory and would be classified as short-term debt if funded on our credit facilities.</w:t>
      </w:r>
    </w:p>
    <w:p>
      <w:pPr>
        <w:spacing w:after="0" w:line="3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NOTES</w:t>
      </w:r>
    </w:p>
    <w:p>
      <w:pPr>
        <w:spacing w:after="0" w:line="13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We will issue the Notes under an indenture (the “Base Indenture”) dated as of September 25, 2002, among us, the subsidiary</w:t>
      </w:r>
    </w:p>
    <w:p>
      <w:pPr>
        <w:spacing w:after="0" w:line="23" w:lineRule="exact"/>
        <w:rPr>
          <w:sz w:val="20"/>
          <w:szCs w:val="20"/>
          <w:color w:val="auto"/>
        </w:rPr>
      </w:pPr>
    </w:p>
    <w:p>
      <w:pPr>
        <w:ind w:left="700"/>
        <w:spacing w:after="0" w:line="254" w:lineRule="auto"/>
        <w:rPr>
          <w:sz w:val="20"/>
          <w:szCs w:val="20"/>
          <w:color w:val="auto"/>
        </w:rPr>
      </w:pPr>
      <w:r>
        <w:rPr>
          <w:rFonts w:ascii="Arial" w:cs="Arial" w:eastAsia="Arial" w:hAnsi="Arial"/>
          <w:sz w:val="18"/>
          <w:szCs w:val="18"/>
          <w:color w:val="auto"/>
        </w:rPr>
        <w:t>guarantors and U.S. Bank National Association, as successor trustee, and a supplemental indenture thereto to be dated as of , 2011 (such supplemental indenture, together with the Base Indenture, the “Indenture”). The Notes will constitute a new series of debt securities under the Indenture, and twelve other series are now outstanding under the Base Indenture, each issued under a separate supplemental indenture.</w:t>
      </w:r>
    </w:p>
    <w:p>
      <w:pPr>
        <w:spacing w:after="0" w:line="95"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 Entry, Delivery and Form.”</w:t>
      </w:r>
    </w:p>
    <w:p>
      <w:pPr>
        <w:spacing w:after="0" w:line="95" w:lineRule="exact"/>
        <w:rPr>
          <w:sz w:val="20"/>
          <w:szCs w:val="20"/>
          <w:color w:val="auto"/>
        </w:rPr>
      </w:pPr>
    </w:p>
    <w:p>
      <w:pPr>
        <w:jc w:val="both"/>
        <w:ind w:left="700" w:firstLine="397"/>
        <w:spacing w:after="0" w:line="286" w:lineRule="auto"/>
        <w:rPr>
          <w:sz w:val="20"/>
          <w:szCs w:val="20"/>
          <w:color w:val="auto"/>
        </w:rPr>
      </w:pPr>
      <w:r>
        <w:rPr>
          <w:rFonts w:ascii="Arial" w:cs="Arial" w:eastAsia="Arial" w:hAnsi="Arial"/>
          <w:sz w:val="17"/>
          <w:szCs w:val="17"/>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Indenture from us as set forth under “Where You Can Find More Information.”</w:t>
      </w:r>
    </w:p>
    <w:p>
      <w:pPr>
        <w:spacing w:after="0" w:line="71" w:lineRule="exact"/>
        <w:rPr>
          <w:sz w:val="20"/>
          <w:szCs w:val="20"/>
          <w:color w:val="auto"/>
        </w:rPr>
      </w:pPr>
    </w:p>
    <w:p>
      <w:pPr>
        <w:ind w:left="700" w:right="400" w:firstLine="397"/>
        <w:spacing w:after="0" w:line="259" w:lineRule="auto"/>
        <w:rPr>
          <w:sz w:val="20"/>
          <w:szCs w:val="20"/>
          <w:color w:val="auto"/>
        </w:rPr>
      </w:pPr>
      <w:r>
        <w:rPr>
          <w:rFonts w:ascii="Arial" w:cs="Arial" w:eastAsia="Arial" w:hAnsi="Arial"/>
          <w:sz w:val="18"/>
          <w:szCs w:val="18"/>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is only a summary, you should refer to the Indenture for a complete description of our obligations and your rights.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description of the Notes and the guarantees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Notes will be:</w:t>
      </w:r>
    </w:p>
    <w:p>
      <w:pPr>
        <w:spacing w:after="0" w:line="131" w:lineRule="exact"/>
        <w:rPr>
          <w:sz w:val="20"/>
          <w:szCs w:val="20"/>
          <w:color w:val="auto"/>
        </w:rPr>
      </w:pPr>
    </w:p>
    <w:p>
      <w:pPr>
        <w:ind w:left="1300" w:hanging="202"/>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senior unsecured indebtedness ranking equally in right of payment with all of our existing and future unsubordinated debt;</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unconditionally guaranteed by the subsidiary guarantors;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series of debt securities issued under the Indenture;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non-recourse to our general partner;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senior in right of payment to any of our future subordinated debt;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effectively junior to any of our existing and future secured debt, to the extent of the security for that debt;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effectively junior to any existing and future debt of our subsidiaries that do not guarantee the Notes.</w:t>
      </w:r>
    </w:p>
    <w:p>
      <w:pPr>
        <w:spacing w:after="0" w:line="131"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Initially our obligations under the Notes will be jointly and severally guaranteed by all of the existing subsidiaries of Plains All American Pipeline other than (i) PAA Finance Corp., (ii) PNGS GP and PNG and their respective subsidiaries, (iii) subsidiaries regulated by the California Public Utilities Commission and (iv) subsidiaries that are minor, which we sometimes refer to collectively as the “non-guarantor subsidiaries.” Each guarantee by a subsidiary guarantor of the Notes will be:</w:t>
      </w:r>
    </w:p>
    <w:p>
      <w:pPr>
        <w:spacing w:after="0" w:line="92" w:lineRule="exact"/>
        <w:rPr>
          <w:sz w:val="20"/>
          <w:szCs w:val="20"/>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general unsecured obligation of that subsidiary guarantor;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equal in right of payment with all other existing and future unsubordinated debt of that subsidiary guarantor;</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senior in right of payment to any future subordinated debt of that subsidiary guarantor;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junior to any secured debt of that subsidiary guarantor, to the extent of the security for that debt.</w:t>
      </w:r>
    </w:p>
    <w:p>
      <w:pPr>
        <w:spacing w:after="0" w:line="131"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As of September 30, 2010, on an adjusted basis as described under “Capitalization,” and as further adjusted to give effect to this offering and the application of the net proceeds therefrom as described under “Use of Proceeds,” the Notes and the guarantees would have been effectively subordinated to $ million of short-term secured indebtedness. See “Risk Factors — Risks related to the Notes — Your right to receive payments on the Notes and subsidiary guarantees is unsecured and will be effectively subordinated to our and our subsidiary guarantors’ existing and future secured indebtedness as well as to any existing and future indebtedness of our subsidiaries that do not guarantee the Notes.”</w:t>
      </w:r>
    </w:p>
    <w:p>
      <w:pPr>
        <w:spacing w:after="0" w:line="99"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6"/>
          <w:szCs w:val="16"/>
          <w:color w:val="auto"/>
        </w:rPr>
        <w:t>The Indenture does not limit the aggregate principal amount of debt securities that may be issued thereunder and provides that debt securities may be issued thereunder from time to time in one or more series. Except to the extent described under “— Covenants,” the Indenture does not limit our ability or the ability of our subsidiaries to incur either secured or unsecured additional indebtedness.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Further issuances</w:t>
      </w:r>
    </w:p>
    <w:p>
      <w:pPr>
        <w:spacing w:after="0" w:line="135" w:lineRule="exact"/>
        <w:rPr>
          <w:sz w:val="20"/>
          <w:szCs w:val="20"/>
          <w:color w:val="auto"/>
        </w:rPr>
      </w:pPr>
    </w:p>
    <w:p>
      <w:pPr>
        <w:ind w:left="700" w:right="200" w:firstLine="397"/>
        <w:spacing w:after="0" w:line="279" w:lineRule="auto"/>
        <w:rPr>
          <w:sz w:val="20"/>
          <w:szCs w:val="20"/>
          <w:color w:val="auto"/>
        </w:rPr>
      </w:pPr>
      <w:r>
        <w:rPr>
          <w:rFonts w:ascii="Arial" w:cs="Arial" w:eastAsia="Arial" w:hAnsi="Arial"/>
          <w:sz w:val="17"/>
          <w:szCs w:val="17"/>
          <w:color w:val="auto"/>
        </w:rPr>
        <w:t>We may, from time to time, without notice to or the consent of the holders of the Notes, create and issue additional notes ranking equally and ratably with the Notes offered hereby in all respects, so that such additional notes form a single series with the Notes and have the same terms as to status, redemption or otherwise as the Notes (except for the issue date, the initial payment date, if applicable, and the payment of interest accruing prior to the issue date of such additional notes).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Principal, maturity and interest</w:t>
      </w:r>
    </w:p>
    <w:p>
      <w:pPr>
        <w:spacing w:after="0" w:line="135" w:lineRule="exact"/>
        <w:rPr>
          <w:sz w:val="20"/>
          <w:szCs w:val="20"/>
          <w:color w:val="auto"/>
        </w:rPr>
      </w:pPr>
    </w:p>
    <w:p>
      <w:pPr>
        <w:ind w:left="700" w:right="60" w:firstLine="397"/>
        <w:spacing w:after="0" w:line="254" w:lineRule="auto"/>
        <w:rPr>
          <w:sz w:val="20"/>
          <w:szCs w:val="20"/>
          <w:color w:val="auto"/>
        </w:rPr>
      </w:pPr>
      <w:r>
        <w:rPr>
          <w:rFonts w:ascii="Arial" w:cs="Arial" w:eastAsia="Arial" w:hAnsi="Arial"/>
          <w:sz w:val="18"/>
          <w:szCs w:val="18"/>
          <w:color w:val="auto"/>
        </w:rPr>
        <w:t>We will issue the Notes in an initial aggregate principal amount of $ . The Notes will mature on . The Notes will bear interest at the annual rate of %. Interest on the Notes will accrue from January , 2011 and will be payable semi-annually in arrears on and of each year, beginning , 2011. We will make each interest payment to the holders of record at the close of business on the and preceding such interest payment dates. Interest will be computed on the basis of a 360-day year</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consisting of twelve 30-day months. We will issue the Notes in minimum denominations of $2,000 and integral multiples of $1,000.</w:t>
      </w:r>
    </w:p>
    <w:p>
      <w:pPr>
        <w:spacing w:after="0" w:line="23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liability of general partner</w:t>
      </w:r>
    </w:p>
    <w:p>
      <w:pPr>
        <w:spacing w:after="0" w:line="135"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Plains All American Pipeline’s general partner and its directors, officers, employees and member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guarantees</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Initially, our payment obligations under the Notes will be jointly and severally guaranteed by all of the existing Subsidiaries of Plains All American Pipeline other than the non-guarantor subsidiaries. The obligations of each subsidiary guarantor under its guarantee will be limited to the maximum amount that will, after giving effect to all other contingent and fixed liabilities of the subsidiary guarantor and to any collections from or payments made by or on behalf of any other subsidiary guarantor in respect of the obligations of the other subsidiary guarantor under its guarantee, result in the obligations of the subsidiary guarantor under the guarantee not constituting a fraudulent conveyance or fraudulent transfer under federal or state law.</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940" w:firstLine="397"/>
        <w:spacing w:after="0" w:line="277" w:lineRule="auto"/>
        <w:rPr>
          <w:sz w:val="20"/>
          <w:szCs w:val="20"/>
          <w:color w:val="auto"/>
        </w:rPr>
      </w:pPr>
      <w:r>
        <w:rPr>
          <w:rFonts w:ascii="Arial" w:cs="Arial" w:eastAsia="Arial" w:hAnsi="Arial"/>
          <w:sz w:val="18"/>
          <w:szCs w:val="18"/>
          <w:color w:val="auto"/>
        </w:rPr>
        <w:t>Provided that no default shall have occurred and shall be continuing under the Indenture, a subsidiary guarantor will be unconditionally released and discharged from its guarantee:</w:t>
      </w:r>
    </w:p>
    <w:p>
      <w:pPr>
        <w:spacing w:after="0" w:line="76" w:lineRule="exact"/>
        <w:rPr>
          <w:sz w:val="20"/>
          <w:szCs w:val="20"/>
          <w:color w:val="auto"/>
        </w:rPr>
      </w:pPr>
    </w:p>
    <w:p>
      <w:pPr>
        <w:ind w:left="1300" w:right="20" w:hanging="202"/>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73"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any sale or other disposition of all of our direct or indirect equity interests in that subsidiary guarantor to any person that is not our affiliate; or</w:t>
      </w:r>
    </w:p>
    <w:p>
      <w:pPr>
        <w:spacing w:after="0" w:line="62"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following delivery of a written notice of the release from the guarantee by us to the trustee, upon the release of all guarantees by the subsidiary guarantor of any debt of ours and any Subsidiary of Plains All American Pipeline (other than debt securities issued under the Indenture).</w:t>
      </w:r>
    </w:p>
    <w:p>
      <w:pPr>
        <w:spacing w:after="0" w:line="87"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If at any time after the issuance of the Notes, including following any release of a subsidiary guarantor from its guarantee under the Indenture, a Subsidiary of Plains All American Pipeline (including any future Subsidiary) guarantees any of our debt or any debt of Plains All American Pipeline’s other Subsidiaries, we will cause such Subsidiary to guarantee the Notes in accordance with the Indenture by simultaneously executing and delivering a supplemental indenture.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Optional redemption</w:t>
      </w:r>
    </w:p>
    <w:p>
      <w:pPr>
        <w:spacing w:after="0" w:line="135" w:lineRule="exact"/>
        <w:rPr>
          <w:sz w:val="20"/>
          <w:szCs w:val="20"/>
          <w:color w:val="auto"/>
        </w:rPr>
      </w:pPr>
    </w:p>
    <w:p>
      <w:pPr>
        <w:ind w:left="700" w:right="20" w:firstLine="397"/>
        <w:spacing w:after="0" w:line="285" w:lineRule="auto"/>
        <w:rPr>
          <w:sz w:val="20"/>
          <w:szCs w:val="20"/>
          <w:color w:val="auto"/>
        </w:rPr>
      </w:pPr>
      <w:r>
        <w:rPr>
          <w:rFonts w:ascii="Arial" w:cs="Arial" w:eastAsia="Arial" w:hAnsi="Arial"/>
          <w:sz w:val="16"/>
          <w:szCs w:val="16"/>
          <w:color w:val="auto"/>
        </w:rPr>
        <w:t>The Notes will be redeemable, in whole or in part, at our option at any time and from time to time prior to maturity. If we redeem the Notes before a date that is 90 days prior to their maturity date, the Notes may be redeemed at a redemption price equal to the greater of (a) 100% of the principal amount of the Notes to be redeemed, and (b) as determined by the Quotation Agent, the sum of the present values of the remaining scheduled payments of principal and interest on the Notes to be redeemed (not including any portion of those payments of interest accrued as of the date of redemption) discounted to the date of redemption on a semiannual basis (assuming 360-day</w:t>
      </w:r>
    </w:p>
    <w:p>
      <w:pPr>
        <w:spacing w:after="0" w:line="2" w:lineRule="exact"/>
        <w:rPr>
          <w:sz w:val="20"/>
          <w:szCs w:val="20"/>
          <w:color w:val="auto"/>
        </w:rPr>
      </w:pPr>
    </w:p>
    <w:p>
      <w:pPr>
        <w:ind w:left="700" w:right="580"/>
        <w:spacing w:after="0" w:line="261" w:lineRule="auto"/>
        <w:rPr>
          <w:sz w:val="20"/>
          <w:szCs w:val="20"/>
          <w:color w:val="auto"/>
        </w:rPr>
      </w:pPr>
      <w:r>
        <w:rPr>
          <w:rFonts w:ascii="Arial" w:cs="Arial" w:eastAsia="Arial" w:hAnsi="Arial"/>
          <w:sz w:val="18"/>
          <w:szCs w:val="18"/>
          <w:color w:val="auto"/>
        </w:rPr>
        <w:t>years, each consisting of twelve 30-day months), at the Adjusted Treasury Rate plus basis points, in each case together with accrued interest to the date of redemption.</w:t>
      </w:r>
    </w:p>
    <w:p>
      <w:pPr>
        <w:spacing w:after="0" w:line="89"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If we redeem the Notes on or after a date that is 90 days prior to their maturity date, the redemption price will equal 100% of the principal amount of the Notes to be redeemed plus accrued interest to the redemption date.</w:t>
      </w:r>
    </w:p>
    <w:p>
      <w:pPr>
        <w:spacing w:after="0" w:line="76"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w:t>
      </w:r>
    </w:p>
    <w:p>
      <w:pPr>
        <w:spacing w:after="0" w:line="87" w:lineRule="exact"/>
        <w:rPr>
          <w:sz w:val="20"/>
          <w:szCs w:val="20"/>
          <w:color w:val="auto"/>
        </w:rPr>
      </w:pPr>
    </w:p>
    <w:p>
      <w:pPr>
        <w:jc w:val="both"/>
        <w:ind w:left="700" w:right="340" w:firstLine="3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those Notes.</w:t>
      </w:r>
    </w:p>
    <w:p>
      <w:pPr>
        <w:spacing w:after="0" w:line="92" w:lineRule="exact"/>
        <w:rPr>
          <w:sz w:val="20"/>
          <w:szCs w:val="20"/>
          <w:color w:val="auto"/>
        </w:rPr>
      </w:pPr>
    </w:p>
    <w:p>
      <w:pPr>
        <w:ind w:left="700" w:right="140" w:firstLine="3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date of redemption (a) the average of the Reference Treasury Dealer Quotations for the date of redemption, after excluding the highest and lowest Reference Treasury Dealer Quotations, or (b) if the trustee obtains fewer than four Reference Treasury Dealer Quotations, the average of all such Reference Treasury Dealer Quotations.</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a Primary Treasury Dealer (as defined below) appointed by us.</w:t>
      </w:r>
    </w:p>
    <w:p>
      <w:pPr>
        <w:spacing w:after="0" w:line="131" w:lineRule="exact"/>
        <w:rPr>
          <w:sz w:val="20"/>
          <w:szCs w:val="20"/>
          <w:color w:val="auto"/>
        </w:rPr>
      </w:pPr>
    </w:p>
    <w:p>
      <w:pPr>
        <w:jc w:val="both"/>
        <w:ind w:left="700" w:right="100" w:firstLine="3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each of (i) J.P. Morgan Securities LLC, a Primary Treasury Dealer (as defined below) selected by SunTrust Robinson Humphrey, Inc., and a Primary Treasury Dealer (as defined below) selected by Wells Fargo Securities, LLC, and each of their successors, provided, however, that if any of the foregoing shall cease to be a primary U.S. government securities dealer in the United States (a “Primary Treasury Dealer”), we shall substitute another Primary Treasury Dealer; and (ii) one other dealer selected by us that is a Primary Treasury Dealer.</w:t>
      </w:r>
    </w:p>
    <w:p>
      <w:pPr>
        <w:spacing w:after="0" w:line="37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92"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Unless we default in payment of the redemption price, on and after the date of redemption, interest will cease to accrue on the Notes or portions thereof called for redemption.</w:t>
      </w:r>
    </w:p>
    <w:p>
      <w:pPr>
        <w:spacing w:after="0" w:line="76"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On or before a redemption date, we will deposit with a paying agent (or with the trustee) sufficient money to pay the redemption price and accrued interest on the Notes to be redeemed.</w:t>
      </w:r>
    </w:p>
    <w:p>
      <w:pPr>
        <w:spacing w:after="0" w:line="76" w:lineRule="exact"/>
        <w:rPr>
          <w:sz w:val="20"/>
          <w:szCs w:val="20"/>
          <w:color w:val="auto"/>
        </w:rPr>
      </w:pPr>
    </w:p>
    <w:p>
      <w:pPr>
        <w:ind w:left="700" w:right="700" w:firstLine="397"/>
        <w:spacing w:after="0" w:line="277" w:lineRule="auto"/>
        <w:rPr>
          <w:sz w:val="20"/>
          <w:szCs w:val="20"/>
          <w:color w:val="auto"/>
        </w:rPr>
      </w:pPr>
      <w:r>
        <w:rPr>
          <w:rFonts w:ascii="Arial" w:cs="Arial" w:eastAsia="Arial" w:hAnsi="Arial"/>
          <w:sz w:val="18"/>
          <w:szCs w:val="18"/>
          <w:color w:val="auto"/>
        </w:rPr>
        <w:t>If less than all of the Notes are to be redeemed at any time, the trustee will select Notes (or any portion of Notes in integral multiples of $1,000) for redemption as follows:</w:t>
      </w:r>
    </w:p>
    <w:p>
      <w:pPr>
        <w:spacing w:after="0" w:line="76" w:lineRule="exact"/>
        <w:rPr>
          <w:sz w:val="20"/>
          <w:szCs w:val="20"/>
          <w:color w:val="auto"/>
        </w:rPr>
      </w:pPr>
    </w:p>
    <w:p>
      <w:pPr>
        <w:ind w:left="1300" w:right="14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Notes are listed, in compliance with the requirements of the principal national securities exchange on which the Notes are listed; or</w:t>
      </w:r>
    </w:p>
    <w:p>
      <w:pPr>
        <w:spacing w:after="0" w:line="62" w:lineRule="exact"/>
        <w:rPr>
          <w:rFonts w:ascii="Arial" w:cs="Arial" w:eastAsia="Arial" w:hAnsi="Arial"/>
          <w:sz w:val="18"/>
          <w:szCs w:val="18"/>
          <w:color w:val="auto"/>
        </w:rPr>
      </w:pPr>
    </w:p>
    <w:p>
      <w:pPr>
        <w:ind w:left="1300" w:right="20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Notes are not so listed or there are no such requirements, on a pro rata basis, by lot or by such method as the trustee shall deem fair and appropriate.</w:t>
      </w:r>
    </w:p>
    <w:p>
      <w:pPr>
        <w:spacing w:after="0" w:line="76"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However, no Note with a principal amount of $2,000 or less will be redeemed in part. Notice of optional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Events of Default</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of the following is an “Event of Default” with respect to the Notes:</w:t>
      </w:r>
    </w:p>
    <w:p>
      <w:pPr>
        <w:spacing w:after="0" w:line="131" w:lineRule="exact"/>
        <w:rPr>
          <w:sz w:val="20"/>
          <w:szCs w:val="20"/>
          <w:color w:val="auto"/>
        </w:rPr>
      </w:pPr>
    </w:p>
    <w:p>
      <w:pPr>
        <w:ind w:left="1300" w:hanging="202"/>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default in payment when due of the principal of or any premium on any Note at maturity, upon redemption or otherwise;</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for 60 days in the payment when due of interest on any Note;</w:t>
      </w:r>
    </w:p>
    <w:p>
      <w:pPr>
        <w:spacing w:after="0" w:line="117" w:lineRule="exact"/>
        <w:rPr>
          <w:rFonts w:ascii="Arial" w:cs="Arial" w:eastAsia="Arial" w:hAnsi="Arial"/>
          <w:sz w:val="18"/>
          <w:szCs w:val="18"/>
          <w:color w:val="auto"/>
        </w:rPr>
      </w:pPr>
    </w:p>
    <w:p>
      <w:pPr>
        <w:ind w:left="1300" w:right="300" w:hanging="202"/>
        <w:spacing w:after="0" w:line="259"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us or, so long as the Notes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 Consolidation, merger or sale”);</w:t>
      </w:r>
    </w:p>
    <w:p>
      <w:pPr>
        <w:spacing w:after="0" w:line="78" w:lineRule="exact"/>
        <w:rPr>
          <w:rFonts w:ascii="Arial" w:cs="Arial" w:eastAsia="Arial" w:hAnsi="Arial"/>
          <w:sz w:val="18"/>
          <w:szCs w:val="18"/>
          <w:color w:val="auto"/>
        </w:rPr>
      </w:pPr>
    </w:p>
    <w:p>
      <w:pPr>
        <w:ind w:left="1300" w:right="20" w:hanging="202"/>
        <w:spacing w:after="0" w:line="269"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36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600" w:hanging="20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specified events in bankruptcy, insolvency or reorganization of us or, so long as the Notes are guaranteed by a subsidiary guarantor, by such subsidiary guarantor;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 long as the Notes are guaranteed by a subsidiary guarantor:</w:t>
      </w:r>
    </w:p>
    <w:p>
      <w:pPr>
        <w:spacing w:after="0" w:line="130" w:lineRule="exact"/>
        <w:rPr>
          <w:rFonts w:ascii="Arial" w:cs="Arial" w:eastAsia="Arial" w:hAnsi="Arial"/>
          <w:sz w:val="18"/>
          <w:szCs w:val="18"/>
          <w:color w:val="auto"/>
        </w:rPr>
      </w:pPr>
    </w:p>
    <w:p>
      <w:pPr>
        <w:ind w:left="1480" w:hanging="180"/>
        <w:spacing w:after="0"/>
        <w:tabs>
          <w:tab w:leader="none" w:pos="14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guarantee by such subsidiary guarantor ceases to be in full force and effect, except as otherwise provided in the Indenture;</w:t>
      </w:r>
    </w:p>
    <w:p>
      <w:pPr>
        <w:spacing w:after="0" w:line="140" w:lineRule="exact"/>
        <w:rPr>
          <w:rFonts w:ascii="Arial" w:cs="Arial" w:eastAsia="Arial" w:hAnsi="Arial"/>
          <w:sz w:val="16"/>
          <w:szCs w:val="16"/>
          <w:color w:val="auto"/>
        </w:rPr>
      </w:pPr>
    </w:p>
    <w:p>
      <w:pPr>
        <w:ind w:left="1480" w:hanging="180"/>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131"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color w:val="auto"/>
        </w:rPr>
        <w:t>An Event of Default regarding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w:t>
      </w:r>
    </w:p>
    <w:p>
      <w:pPr>
        <w:spacing w:after="0" w:line="64"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Within five days after any of our officers becomes aware of the occurrence of any Default (meaning an event that is, or after the giving of notice or passage of time or both would be, an Event of Default) or Event of Default with respect to the Notes, we are required to give an officers’ certificate to the trustee specifying the Default or Event of Default and what action we are taking or propose to take to cure it. In addition, we and the subsidiary guarantors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99"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If a Default with respect to the Notes occurs and is continuing and is known to the trustee, the trustee must mail to each holder a notice of the Default within 90 days after the Default occurs. Except in the case of a Default in the payment of principal, premium, if any, or interest with respect to the Notes, the trustee may withhold such notice, but only if and so long as a committee of responsible officers of the trustee in good faith determines that withholding such notice is in the interests of the holders.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Consolidation, merger or sale</w:t>
      </w:r>
    </w:p>
    <w:p>
      <w:pPr>
        <w:spacing w:after="0" w:line="135" w:lineRule="exact"/>
        <w:rPr>
          <w:sz w:val="20"/>
          <w:szCs w:val="20"/>
          <w:color w:val="auto"/>
        </w:rPr>
      </w:pPr>
    </w:p>
    <w:p>
      <w:pPr>
        <w:jc w:val="both"/>
        <w:ind w:left="700" w:right="120" w:firstLine="397"/>
        <w:spacing w:after="0" w:line="286" w:lineRule="auto"/>
        <w:rPr>
          <w:sz w:val="20"/>
          <w:szCs w:val="20"/>
          <w:color w:val="auto"/>
        </w:rPr>
      </w:pPr>
      <w:r>
        <w:rPr>
          <w:rFonts w:ascii="Arial" w:cs="Arial" w:eastAsia="Arial" w:hAnsi="Arial"/>
          <w:sz w:val="17"/>
          <w:szCs w:val="17"/>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71" w:lineRule="exact"/>
        <w:rPr>
          <w:sz w:val="20"/>
          <w:szCs w:val="20"/>
          <w:color w:val="auto"/>
        </w:rPr>
      </w:pPr>
    </w:p>
    <w:p>
      <w:pPr>
        <w:ind w:left="1300" w:hanging="20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the surviving Person in the case of a merger, or the surviving Person:</w:t>
      </w:r>
    </w:p>
    <w:p>
      <w:pPr>
        <w:spacing w:after="0" w:line="130" w:lineRule="exact"/>
        <w:rPr>
          <w:rFonts w:ascii="Arial" w:cs="Arial" w:eastAsia="Arial" w:hAnsi="Arial"/>
          <w:sz w:val="18"/>
          <w:szCs w:val="18"/>
          <w:color w:val="auto"/>
        </w:rPr>
      </w:pPr>
    </w:p>
    <w:p>
      <w:pPr>
        <w:ind w:left="1480" w:right="160" w:hanging="180"/>
        <w:spacing w:after="0" w:line="259"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78" w:lineRule="exact"/>
        <w:rPr>
          <w:rFonts w:ascii="Arial" w:cs="Arial" w:eastAsia="Arial" w:hAnsi="Arial"/>
          <w:sz w:val="18"/>
          <w:szCs w:val="18"/>
          <w:color w:val="auto"/>
        </w:rPr>
      </w:pPr>
    </w:p>
    <w:p>
      <w:pPr>
        <w:ind w:left="1480" w:right="80" w:hanging="180"/>
        <w:spacing w:after="0" w:line="264"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86" w:lineRule="exact"/>
        <w:rPr>
          <w:rFonts w:ascii="Arial" w:cs="Arial" w:eastAsia="Arial" w:hAnsi="Arial"/>
          <w:sz w:val="18"/>
          <w:szCs w:val="18"/>
          <w:color w:val="auto"/>
        </w:rPr>
      </w:pPr>
    </w:p>
    <w:p>
      <w:pPr>
        <w:ind w:left="1300" w:right="320" w:hanging="202"/>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or series of transactions, no Default or Event of Default has occurred and is continuing;</w:t>
      </w:r>
    </w:p>
    <w:p>
      <w:pPr>
        <w:spacing w:after="0" w:line="62"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are not the surviving Person, then each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line="31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52"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Modification of the Indenture</w:t>
      </w:r>
    </w:p>
    <w:p>
      <w:pPr>
        <w:spacing w:after="0" w:line="135" w:lineRule="exact"/>
        <w:rPr>
          <w:sz w:val="20"/>
          <w:szCs w:val="20"/>
          <w:color w:val="auto"/>
        </w:rPr>
      </w:pPr>
    </w:p>
    <w:p>
      <w:pPr>
        <w:jc w:val="both"/>
        <w:ind w:left="700" w:right="40" w:firstLine="397"/>
        <w:spacing w:after="0" w:line="312" w:lineRule="auto"/>
        <w:rPr>
          <w:sz w:val="20"/>
          <w:szCs w:val="20"/>
          <w:color w:val="auto"/>
        </w:rPr>
      </w:pPr>
      <w:r>
        <w:rPr>
          <w:rFonts w:ascii="Arial" w:cs="Arial" w:eastAsia="Arial" w:hAnsi="Arial"/>
          <w:sz w:val="16"/>
          <w:szCs w:val="16"/>
          <w:color w:val="auto"/>
        </w:rPr>
        <w:t>Generally, we, the subsidiary guarantors and the trustee may amend or supplement the Indenture, the guarantees and the Notes with the written consent of the holders of at least a majority in principal amount of the then outstanding Notes. However, without the consent of each holder affected, an amendment, supplement or waiver may not (with respect to any Notes held by a nonconsenting holder):</w:t>
      </w:r>
    </w:p>
    <w:p>
      <w:pPr>
        <w:spacing w:after="0" w:line="52" w:lineRule="exact"/>
        <w:rPr>
          <w:sz w:val="20"/>
          <w:szCs w:val="20"/>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w:t>
      </w:r>
    </w:p>
    <w:p>
      <w:pPr>
        <w:spacing w:after="0" w:line="117"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other provisions with respect to the redemption of any Notes;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117" w:lineRule="exact"/>
        <w:rPr>
          <w:rFonts w:ascii="Arial" w:cs="Arial" w:eastAsia="Arial" w:hAnsi="Arial"/>
          <w:sz w:val="18"/>
          <w:szCs w:val="18"/>
          <w:color w:val="auto"/>
        </w:rPr>
      </w:pPr>
    </w:p>
    <w:p>
      <w:pPr>
        <w:jc w:val="both"/>
        <w:ind w:left="1300" w:right="34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release any security that may have been granted with respect to the Notes;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note payable in currency other than that stated in the Notes;</w:t>
      </w:r>
    </w:p>
    <w:p>
      <w:pPr>
        <w:spacing w:after="0" w:line="117" w:lineRule="exact"/>
        <w:rPr>
          <w:rFonts w:ascii="Arial" w:cs="Arial" w:eastAsia="Arial" w:hAnsi="Arial"/>
          <w:sz w:val="18"/>
          <w:szCs w:val="18"/>
          <w:color w:val="auto"/>
        </w:rPr>
      </w:pPr>
    </w:p>
    <w:p>
      <w:pPr>
        <w:ind w:left="1300" w:right="52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premium, if any, or interest on the Notes;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w:t>
      </w:r>
    </w:p>
    <w:p>
      <w:pPr>
        <w:spacing w:after="0" w:line="117" w:lineRule="exact"/>
        <w:rPr>
          <w:rFonts w:ascii="Arial" w:cs="Arial" w:eastAsia="Arial" w:hAnsi="Arial"/>
          <w:sz w:val="18"/>
          <w:szCs w:val="18"/>
          <w:color w:val="auto"/>
        </w:rPr>
      </w:pPr>
    </w:p>
    <w:p>
      <w:pPr>
        <w:ind w:left="1300" w:right="220" w:hanging="202"/>
        <w:spacing w:after="0" w:line="308"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except as otherwise permitted in the Indenture, release any subsidiary guarantor from its obligations under its guarantee or the Indenture or change any guarantee in any manner that would adversely affect the rights of holders; or</w:t>
      </w:r>
    </w:p>
    <w:p>
      <w:pPr>
        <w:spacing w:after="0" w:line="38" w:lineRule="exact"/>
        <w:rPr>
          <w:rFonts w:ascii="Arial" w:cs="Arial" w:eastAsia="Arial" w:hAnsi="Arial"/>
          <w:sz w:val="17"/>
          <w:szCs w:val="17"/>
          <w:color w:val="auto"/>
        </w:rPr>
      </w:pPr>
    </w:p>
    <w:p>
      <w:pPr>
        <w:ind w:left="1300" w:right="24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change in the preceding amendment, supplement and waiver provisions (except to increase any percentage set forth therein).</w:t>
      </w:r>
    </w:p>
    <w:p>
      <w:pPr>
        <w:spacing w:after="0" w:line="76"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Notwithstanding the preceding, without the consent of any holder of Notes, we, the subsidiary guarantors, and the trustee may amend or supplement the Indenture or the Notes:</w:t>
      </w:r>
    </w:p>
    <w:p>
      <w:pPr>
        <w:spacing w:after="0" w:line="76" w:lineRule="exact"/>
        <w:rPr>
          <w:sz w:val="20"/>
          <w:szCs w:val="20"/>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1300" w:right="4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the assumption of our or the confirmation of a subsidiary guarantor’s obligations to holders of Notes in the case of a merger or consolidation or sale of all or substantially all of our assets;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add or release subsidiary guarantors as permitted pursuant to the terms of the Indenture (see “— The guarantees”);</w:t>
      </w:r>
    </w:p>
    <w:p>
      <w:pPr>
        <w:spacing w:after="0" w:line="128" w:lineRule="exact"/>
        <w:rPr>
          <w:rFonts w:ascii="Arial" w:cs="Arial" w:eastAsia="Arial" w:hAnsi="Arial"/>
          <w:sz w:val="17"/>
          <w:szCs w:val="17"/>
          <w:color w:val="auto"/>
        </w:rPr>
      </w:pPr>
    </w:p>
    <w:p>
      <w:pPr>
        <w:ind w:left="1300" w:right="22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Notes that do not, taken as a whole, adversely affect the rights under the Indenture of any holder of the Notes;</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secure the Notes and/or the guarantees;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establish the form or terms of any other series of debt securities under the Base Indenture.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Covenants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131"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color w:val="auto"/>
        </w:rPr>
        <w:t>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94" w:lineRule="exact"/>
        <w:rPr>
          <w:sz w:val="20"/>
          <w:szCs w:val="20"/>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17" w:lineRule="exact"/>
        <w:rPr>
          <w:rFonts w:ascii="Arial" w:cs="Arial" w:eastAsia="Arial" w:hAnsi="Arial"/>
          <w:sz w:val="18"/>
          <w:szCs w:val="18"/>
          <w:color w:val="auto"/>
        </w:rPr>
      </w:pPr>
    </w:p>
    <w:p>
      <w:pPr>
        <w:ind w:left="1300" w:right="160" w:hanging="202"/>
        <w:spacing w:after="0" w:line="25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78" w:lineRule="exact"/>
        <w:rPr>
          <w:rFonts w:ascii="Arial" w:cs="Arial" w:eastAsia="Arial" w:hAnsi="Arial"/>
          <w:sz w:val="18"/>
          <w:szCs w:val="18"/>
          <w:color w:val="auto"/>
        </w:rPr>
      </w:pPr>
    </w:p>
    <w:p>
      <w:pPr>
        <w:ind w:left="1300" w:right="60" w:hanging="202"/>
        <w:spacing w:after="0" w:line="25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78" w:lineRule="exact"/>
        <w:rPr>
          <w:rFonts w:ascii="Arial" w:cs="Arial" w:eastAsia="Arial" w:hAnsi="Arial"/>
          <w:sz w:val="18"/>
          <w:szCs w:val="18"/>
          <w:color w:val="auto"/>
        </w:rPr>
      </w:pPr>
    </w:p>
    <w:p>
      <w:pPr>
        <w:ind w:left="1300" w:right="240" w:hanging="202"/>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spacing w:after="0" w:line="73" w:lineRule="exact"/>
        <w:rPr>
          <w:rFonts w:ascii="Arial" w:cs="Arial" w:eastAsia="Arial" w:hAnsi="Arial"/>
          <w:sz w:val="18"/>
          <w:szCs w:val="18"/>
          <w:color w:val="auto"/>
        </w:rPr>
      </w:pPr>
    </w:p>
    <w:p>
      <w:pPr>
        <w:ind w:left="1300" w:right="200" w:hanging="202"/>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73" w:lineRule="exact"/>
        <w:rPr>
          <w:rFonts w:ascii="Arial" w:cs="Arial" w:eastAsia="Arial" w:hAnsi="Arial"/>
          <w:sz w:val="18"/>
          <w:szCs w:val="18"/>
          <w:color w:val="auto"/>
        </w:rPr>
      </w:pPr>
    </w:p>
    <w:p>
      <w:pPr>
        <w:ind w:left="1300" w:right="200" w:hanging="20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lien upon any of our property or assets or the property or assets of any Restricted Subsidiary in existence on December 10, 2003 or provided for pursuant to agreements existing on December 10, 2003;</w:t>
      </w:r>
    </w:p>
    <w:p>
      <w:pPr>
        <w:spacing w:after="0" w:line="62" w:lineRule="exact"/>
        <w:rPr>
          <w:rFonts w:ascii="Arial" w:cs="Arial" w:eastAsia="Arial" w:hAnsi="Arial"/>
          <w:sz w:val="18"/>
          <w:szCs w:val="18"/>
          <w:color w:val="auto"/>
        </w:rPr>
      </w:pPr>
    </w:p>
    <w:p>
      <w:pPr>
        <w:jc w:val="both"/>
        <w:ind w:left="1300" w:right="200" w:hanging="202"/>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73" w:lineRule="exact"/>
        <w:rPr>
          <w:rFonts w:ascii="Arial" w:cs="Arial" w:eastAsia="Arial" w:hAnsi="Arial"/>
          <w:sz w:val="18"/>
          <w:szCs w:val="18"/>
          <w:color w:val="auto"/>
        </w:rPr>
      </w:pPr>
    </w:p>
    <w:p>
      <w:pPr>
        <w:ind w:left="1300" w:right="80" w:hanging="202"/>
        <w:spacing w:after="0" w:line="273"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860"/>
        <w:spacing w:after="0" w:line="277" w:lineRule="auto"/>
        <w:rPr>
          <w:sz w:val="20"/>
          <w:szCs w:val="20"/>
          <w:color w:val="auto"/>
        </w:rPr>
      </w:pPr>
      <w:r>
        <w:rPr>
          <w:rFonts w:ascii="Arial" w:cs="Arial" w:eastAsia="Arial" w:hAnsi="Arial"/>
          <w:sz w:val="18"/>
          <w:szCs w:val="18"/>
          <w:color w:val="auto"/>
        </w:rPr>
        <w:t>Subsidiaries (including any premium) incurred in connection with such extension, renewal, refinancing, refunding or replacement; or</w:t>
      </w:r>
    </w:p>
    <w:p>
      <w:pPr>
        <w:spacing w:after="0" w:line="76" w:lineRule="exact"/>
        <w:rPr>
          <w:sz w:val="20"/>
          <w:szCs w:val="20"/>
          <w:color w:val="auto"/>
        </w:rPr>
      </w:pPr>
    </w:p>
    <w:p>
      <w:pPr>
        <w:ind w:left="1300" w:right="160" w:hanging="202"/>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lien resulting from the deposit of moneys or evidence of indebtedness in trust for the purpose of defeasing our debt or debt of any Restricted Subsidiary.</w:t>
      </w:r>
    </w:p>
    <w:p>
      <w:pPr>
        <w:spacing w:after="0" w:line="76"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 Limitations on sale-leasebacks,” does not exceed 10% of Consolidated Net Tangible Assets.</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Limitations on sale-leasebacks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not, and will not permit any Subsidiary to, engage in a Sale-leaseback Transaction, unless:</w:t>
      </w:r>
    </w:p>
    <w:p>
      <w:pPr>
        <w:spacing w:after="0" w:line="131" w:lineRule="exact"/>
        <w:rPr>
          <w:sz w:val="20"/>
          <w:szCs w:val="20"/>
          <w:color w:val="auto"/>
        </w:rPr>
      </w:pPr>
    </w:p>
    <w:p>
      <w:pPr>
        <w:ind w:left="1300" w:right="100" w:hanging="202"/>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Sale-leaseback Transaction involves a lease for a period, including renewals, of not more than three years;</w:t>
      </w:r>
    </w:p>
    <w:p>
      <w:pPr>
        <w:spacing w:after="0" w:line="117"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73" w:lineRule="exact"/>
        <w:rPr>
          <w:rFonts w:ascii="Arial" w:cs="Arial" w:eastAsia="Arial" w:hAnsi="Arial"/>
          <w:sz w:val="18"/>
          <w:szCs w:val="18"/>
          <w:color w:val="auto"/>
        </w:rPr>
      </w:pPr>
    </w:p>
    <w:p>
      <w:pPr>
        <w:ind w:left="1300" w:hanging="202"/>
        <w:spacing w:after="0" w:line="302"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60" w:lineRule="exact"/>
        <w:rPr>
          <w:sz w:val="20"/>
          <w:szCs w:val="20"/>
          <w:color w:val="auto"/>
        </w:rPr>
      </w:pPr>
    </w:p>
    <w:p>
      <w:pPr>
        <w:ind w:left="700" w:right="120" w:firstLine="397"/>
        <w:spacing w:after="0" w:line="257" w:lineRule="auto"/>
        <w:rPr>
          <w:sz w:val="20"/>
          <w:szCs w:val="20"/>
          <w:color w:val="auto"/>
        </w:rPr>
      </w:pPr>
      <w:r>
        <w:rPr>
          <w:rFonts w:ascii="Arial" w:cs="Arial" w:eastAsia="Arial" w:hAnsi="Arial"/>
          <w:sz w:val="18"/>
          <w:szCs w:val="18"/>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 Limitations on liens,” do not exceed 10% of Consolidated Net Tangible Assets.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 reports</w:t>
      </w:r>
    </w:p>
    <w:p>
      <w:pPr>
        <w:spacing w:after="0" w:line="135"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99" w:lineRule="exact"/>
        <w:rPr>
          <w:sz w:val="20"/>
          <w:szCs w:val="20"/>
          <w:color w:val="auto"/>
        </w:rPr>
      </w:pPr>
    </w:p>
    <w:p>
      <w:pPr>
        <w:ind w:left="700" w:right="20" w:firstLine="397"/>
        <w:spacing w:after="0" w:line="312" w:lineRule="auto"/>
        <w:rPr>
          <w:sz w:val="20"/>
          <w:szCs w:val="20"/>
          <w:color w:val="auto"/>
        </w:rPr>
      </w:pPr>
      <w:r>
        <w:rPr>
          <w:rFonts w:ascii="Arial" w:cs="Arial" w:eastAsia="Arial" w:hAnsi="Arial"/>
          <w:sz w:val="16"/>
          <w:szCs w:val="16"/>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33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Defeasance and discharge</w:t>
      </w:r>
    </w:p>
    <w:p>
      <w:pPr>
        <w:spacing w:after="0" w:line="135"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At any time we may terminate all our obligations under the Indenture as they relate to the Notes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for the Notes.</w:t>
      </w:r>
    </w:p>
    <w:p>
      <w:pPr>
        <w:spacing w:after="0" w:line="52"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Also, at any time we may terminate our obligations under covenants described in the last paragraph of “— The guarantees,” under “— Covenants” and under “— SEC reports” with respect to the Notes (“covenant defeasance”), and thereafter our failure to comply with any of such covenants would not constitute an Event of Default.</w:t>
      </w:r>
    </w:p>
    <w:p>
      <w:pPr>
        <w:spacing w:after="0" w:line="87" w:lineRule="exact"/>
        <w:rPr>
          <w:sz w:val="20"/>
          <w:szCs w:val="20"/>
          <w:color w:val="auto"/>
        </w:rPr>
      </w:pPr>
    </w:p>
    <w:p>
      <w:pPr>
        <w:ind w:left="700" w:right="140" w:firstLine="397"/>
        <w:spacing w:after="0" w:line="342" w:lineRule="auto"/>
        <w:rPr>
          <w:sz w:val="20"/>
          <w:szCs w:val="20"/>
          <w:color w:val="auto"/>
        </w:rPr>
      </w:pPr>
      <w:r>
        <w:rPr>
          <w:rFonts w:ascii="Arial" w:cs="Arial" w:eastAsia="Arial" w:hAnsi="Arial"/>
          <w:sz w:val="16"/>
          <w:szCs w:val="16"/>
          <w:color w:val="auto"/>
        </w:rPr>
        <w:t>We may exercise our legal defeasance option notwithstanding our prior exercise of our covenant defeasance option. If we exercise our legal defeasance option, each guarantee obligation will be deemed to have been discharged with respect to the Notes.</w:t>
      </w:r>
    </w:p>
    <w:p>
      <w:pPr>
        <w:spacing w:after="0" w:line="29"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Notes to redemption or stated maturity, as the case may be, and must comply with certain other conditions, including delivery to the trustee of an opinion of counsel to the effect that holders of the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spacing w:after="0" w:line="73"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In the event of any legal defeasance, holders of the Notes would be entitled to look only to the trust for payment of principal of and any premium and interest on their Notes until maturity.</w:t>
      </w:r>
    </w:p>
    <w:p>
      <w:pPr>
        <w:spacing w:after="0" w:line="76" w:lineRule="exact"/>
        <w:rPr>
          <w:sz w:val="20"/>
          <w:szCs w:val="20"/>
          <w:color w:val="auto"/>
        </w:rPr>
      </w:pPr>
    </w:p>
    <w:p>
      <w:pPr>
        <w:ind w:left="700" w:right="120" w:firstLine="397"/>
        <w:spacing w:after="0" w:line="257" w:lineRule="auto"/>
        <w:rPr>
          <w:sz w:val="20"/>
          <w:szCs w:val="20"/>
          <w:color w:val="auto"/>
        </w:rPr>
      </w:pPr>
      <w:r>
        <w:rPr>
          <w:rFonts w:ascii="Arial" w:cs="Arial" w:eastAsia="Arial" w:hAnsi="Arial"/>
          <w:sz w:val="18"/>
          <w:szCs w:val="18"/>
          <w:color w:val="auto"/>
        </w:rPr>
        <w:t>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94" w:lineRule="exact"/>
        <w:rPr>
          <w:sz w:val="20"/>
          <w:szCs w:val="20"/>
          <w:color w:val="auto"/>
        </w:rPr>
      </w:pPr>
    </w:p>
    <w:p>
      <w:pPr>
        <w:ind w:left="700" w:right="520" w:firstLine="397"/>
        <w:spacing w:after="0" w:line="308" w:lineRule="auto"/>
        <w:rPr>
          <w:sz w:val="20"/>
          <w:szCs w:val="20"/>
          <w:color w:val="auto"/>
        </w:rPr>
      </w:pPr>
      <w:r>
        <w:rPr>
          <w:rFonts w:ascii="Arial" w:cs="Arial" w:eastAsia="Arial" w:hAnsi="Arial"/>
          <w:sz w:val="17"/>
          <w:szCs w:val="17"/>
          <w:color w:val="auto"/>
        </w:rPr>
        <w:t>In addition, we may satisfy and discharge all our obligations under the Indenture with respect to the Notes, other than certain obligations to the trustee and our obligation to register the transfer of or exchange the Notes, provided that we either:</w:t>
      </w:r>
    </w:p>
    <w:p>
      <w:pPr>
        <w:spacing w:after="0" w:line="52" w:lineRule="exact"/>
        <w:rPr>
          <w:sz w:val="20"/>
          <w:szCs w:val="20"/>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deliver all outstanding Notes to the trustee for cancellation; or</w:t>
      </w:r>
    </w:p>
    <w:p>
      <w:pPr>
        <w:spacing w:after="0" w:line="117" w:lineRule="exact"/>
        <w:rPr>
          <w:rFonts w:ascii="Arial" w:cs="Arial" w:eastAsia="Arial" w:hAnsi="Arial"/>
          <w:sz w:val="18"/>
          <w:szCs w:val="18"/>
          <w:color w:val="auto"/>
        </w:rPr>
      </w:pPr>
    </w:p>
    <w:p>
      <w:pPr>
        <w:ind w:left="1300" w:right="80" w:hanging="202"/>
        <w:spacing w:after="0" w:line="25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w:t>
      </w:r>
    </w:p>
    <w:p>
      <w:pPr>
        <w:spacing w:after="0" w:line="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comply with the other requirements of the Indenture in relation to satisfaction and discharge.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Definitions</w:t>
      </w:r>
    </w:p>
    <w:p>
      <w:pPr>
        <w:spacing w:after="0" w:line="135" w:lineRule="exact"/>
        <w:rPr>
          <w:sz w:val="20"/>
          <w:szCs w:val="20"/>
          <w:color w:val="auto"/>
        </w:rPr>
      </w:pPr>
    </w:p>
    <w:p>
      <w:pPr>
        <w:ind w:left="700" w:right="80" w:firstLine="3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Indebtedness</w:t>
      </w:r>
      <w:r>
        <w:rPr>
          <w:rFonts w:ascii="Arial" w:cs="Arial" w:eastAsia="Arial" w:hAnsi="Arial"/>
          <w:sz w:val="16"/>
          <w:szCs w:val="16"/>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94"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Board of Directors</w:t>
      </w:r>
      <w:r>
        <w:rPr>
          <w:rFonts w:ascii="Arial" w:cs="Arial" w:eastAsia="Arial" w:hAnsi="Arial"/>
          <w:sz w:val="17"/>
          <w:szCs w:val="17"/>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71"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Interests</w:t>
      </w:r>
      <w:r>
        <w:rPr>
          <w:rFonts w:ascii="Arial" w:cs="Arial" w:eastAsia="Arial" w:hAnsi="Arial"/>
          <w:sz w:val="16"/>
          <w:szCs w:val="16"/>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Net Tangible Assets</w:t>
      </w:r>
      <w:r>
        <w:rPr>
          <w:rFonts w:ascii="Arial" w:cs="Arial" w:eastAsia="Arial" w:hAnsi="Arial"/>
          <w:sz w:val="17"/>
          <w:szCs w:val="17"/>
          <w:color w:val="auto"/>
        </w:rPr>
        <w:t>” means, at any date of determination, the total amount of assets after deducting therefrom:</w:t>
      </w:r>
    </w:p>
    <w:p>
      <w:pPr>
        <w:spacing w:after="0" w:line="142" w:lineRule="exact"/>
        <w:rPr>
          <w:sz w:val="20"/>
          <w:szCs w:val="20"/>
          <w:color w:val="auto"/>
        </w:rPr>
      </w:pPr>
    </w:p>
    <w:p>
      <w:pPr>
        <w:ind w:left="1720" w:hanging="249"/>
        <w:spacing w:after="0"/>
        <w:tabs>
          <w:tab w:leader="none" w:pos="1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current liabilities excluding:</w:t>
      </w:r>
    </w:p>
    <w:p>
      <w:pPr>
        <w:spacing w:after="0" w:line="130" w:lineRule="exact"/>
        <w:rPr>
          <w:rFonts w:ascii="Arial" w:cs="Arial" w:eastAsia="Arial" w:hAnsi="Arial"/>
          <w:sz w:val="18"/>
          <w:szCs w:val="18"/>
          <w:color w:val="auto"/>
        </w:rPr>
      </w:pPr>
    </w:p>
    <w:p>
      <w:pPr>
        <w:ind w:left="1480" w:right="320" w:firstLine="372"/>
        <w:spacing w:after="0" w:line="277" w:lineRule="auto"/>
        <w:tabs>
          <w:tab w:leader="none" w:pos="20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current liabilities that by their terms are extendible or renewable at the option of the obligor thereon to a time more than 12 months after the time as of which the amount thereof is being computed; and</w:t>
      </w:r>
    </w:p>
    <w:p>
      <w:pPr>
        <w:spacing w:after="0" w:line="75" w:lineRule="exact"/>
        <w:rPr>
          <w:rFonts w:ascii="Arial" w:cs="Arial" w:eastAsia="Arial" w:hAnsi="Arial"/>
          <w:sz w:val="18"/>
          <w:szCs w:val="18"/>
          <w:color w:val="auto"/>
        </w:rPr>
      </w:pPr>
    </w:p>
    <w:p>
      <w:pPr>
        <w:ind w:left="2100" w:hanging="248"/>
        <w:spacing w:after="0"/>
        <w:tabs>
          <w:tab w:leader="none" w:pos="21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current maturities of long-term debt; and</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amount, net of any applicable reserves, of all goodwill, trade names, trademarks, patents and other like intangible</w:t>
      </w:r>
    </w:p>
    <w:p>
      <w:pPr>
        <w:spacing w:after="0" w:line="34" w:lineRule="exact"/>
        <w:rPr>
          <w:rFonts w:ascii="Arial" w:cs="Arial" w:eastAsia="Arial" w:hAnsi="Arial"/>
          <w:sz w:val="17"/>
          <w:szCs w:val="17"/>
          <w:color w:val="auto"/>
        </w:rPr>
      </w:pPr>
    </w:p>
    <w:p>
      <w:pPr>
        <w:ind w:left="1080"/>
        <w:spacing w:after="0"/>
        <w:rPr>
          <w:rFonts w:ascii="Arial" w:cs="Arial" w:eastAsia="Arial" w:hAnsi="Arial"/>
          <w:sz w:val="17"/>
          <w:szCs w:val="17"/>
          <w:color w:val="auto"/>
        </w:rPr>
      </w:pPr>
      <w:r>
        <w:rPr>
          <w:rFonts w:ascii="Arial" w:cs="Arial" w:eastAsia="Arial" w:hAnsi="Arial"/>
          <w:sz w:val="18"/>
          <w:szCs w:val="18"/>
          <w:color w:val="auto"/>
        </w:rPr>
        <w:t>assets,</w:t>
      </w:r>
    </w:p>
    <w:p>
      <w:pPr>
        <w:spacing w:after="0" w:line="116"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all as set forth on the consolidated balance sheet of Plains All American Pipeline for its most recently completed fiscal quarter, prepared in accordance with generally accepted accounting principles.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31"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Funded Debt</w:t>
      </w:r>
      <w:r>
        <w:rPr>
          <w:rFonts w:ascii="Arial" w:cs="Arial" w:eastAsia="Arial" w:hAnsi="Arial"/>
          <w:sz w:val="18"/>
          <w:szCs w:val="18"/>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are initially issued.</w:t>
      </w:r>
    </w:p>
    <w:p>
      <w:pPr>
        <w:spacing w:after="0" w:line="131"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Managing General Partner</w:t>
      </w:r>
      <w:r>
        <w:rPr>
          <w:rFonts w:ascii="Arial" w:cs="Arial" w:eastAsia="Arial" w:hAnsi="Arial"/>
          <w:sz w:val="16"/>
          <w:szCs w:val="16"/>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w:t>
      </w:r>
    </w:p>
    <w:p>
      <w:pPr>
        <w:spacing w:after="0" w:line="60"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Pari Passu Debt</w:t>
      </w:r>
      <w:r>
        <w:rPr>
          <w:rFonts w:ascii="Arial" w:cs="Arial" w:eastAsia="Arial" w:hAnsi="Arial"/>
          <w:sz w:val="17"/>
          <w:szCs w:val="17"/>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31" w:lineRule="exact"/>
        <w:rPr>
          <w:sz w:val="20"/>
          <w:szCs w:val="20"/>
          <w:color w:val="auto"/>
        </w:rPr>
      </w:pPr>
    </w:p>
    <w:p>
      <w:pPr>
        <w:ind w:left="1720" w:hanging="249"/>
        <w:spacing w:after="0"/>
        <w:tabs>
          <w:tab w:leader="none" w:pos="1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130" w:lineRule="exact"/>
        <w:rPr>
          <w:rFonts w:ascii="Arial" w:cs="Arial" w:eastAsia="Arial" w:hAnsi="Arial"/>
          <w:sz w:val="18"/>
          <w:szCs w:val="18"/>
          <w:color w:val="auto"/>
        </w:rPr>
      </w:pPr>
    </w:p>
    <w:p>
      <w:pPr>
        <w:ind w:left="1080" w:right="380" w:firstLine="391"/>
        <w:spacing w:after="0" w:line="277" w:lineRule="auto"/>
        <w:tabs>
          <w:tab w:leader="none" w:pos="171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statutory or governmental lien or lien arising by operation of law, or any mechanics’, repairmen’s, materialmen’s, suppliers’, carriers’, landlords’, warehousemen’s or similar lien incurred in</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40"/>
        <w:spacing w:after="0" w:line="277" w:lineRule="auto"/>
        <w:rPr>
          <w:sz w:val="20"/>
          <w:szCs w:val="20"/>
          <w:color w:val="auto"/>
        </w:rPr>
      </w:pPr>
      <w:r>
        <w:rPr>
          <w:rFonts w:ascii="Arial" w:cs="Arial" w:eastAsia="Arial" w:hAnsi="Arial"/>
          <w:sz w:val="18"/>
          <w:szCs w:val="18"/>
          <w:color w:val="auto"/>
        </w:rPr>
        <w:t>the ordinary course of business which is not yet due or which is being contested in good faith by appropriate proceedings and any undetermined lien which is incidental to construction, development, improvement or repair;</w:t>
      </w:r>
    </w:p>
    <w:p>
      <w:pPr>
        <w:spacing w:after="0" w:line="76" w:lineRule="exact"/>
        <w:rPr>
          <w:sz w:val="20"/>
          <w:szCs w:val="20"/>
          <w:color w:val="auto"/>
        </w:rPr>
      </w:pPr>
    </w:p>
    <w:p>
      <w:pPr>
        <w:ind w:left="1080" w:right="160" w:firstLine="391"/>
        <w:spacing w:after="0" w:line="308" w:lineRule="auto"/>
        <w:tabs>
          <w:tab w:leader="none" w:pos="17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51" w:lineRule="exact"/>
        <w:rPr>
          <w:rFonts w:ascii="Arial" w:cs="Arial" w:eastAsia="Arial" w:hAnsi="Arial"/>
          <w:sz w:val="17"/>
          <w:szCs w:val="17"/>
          <w:color w:val="auto"/>
        </w:rPr>
      </w:pPr>
    </w:p>
    <w:p>
      <w:pPr>
        <w:ind w:left="1080" w:right="100" w:firstLine="391"/>
        <w:spacing w:after="0" w:line="277" w:lineRule="auto"/>
        <w:tabs>
          <w:tab w:leader="none" w:pos="1716"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130" w:lineRule="exact"/>
        <w:rPr>
          <w:rFonts w:ascii="Arial" w:cs="Arial" w:eastAsia="Arial" w:hAnsi="Arial"/>
          <w:sz w:val="18"/>
          <w:szCs w:val="18"/>
          <w:color w:val="auto"/>
        </w:rPr>
      </w:pPr>
    </w:p>
    <w:p>
      <w:pPr>
        <w:ind w:left="1080" w:right="400" w:firstLine="391"/>
        <w:spacing w:after="0" w:line="277" w:lineRule="auto"/>
        <w:tabs>
          <w:tab w:leader="none" w:pos="171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75" w:lineRule="exact"/>
        <w:rPr>
          <w:rFonts w:ascii="Arial" w:cs="Arial" w:eastAsia="Arial" w:hAnsi="Arial"/>
          <w:sz w:val="18"/>
          <w:szCs w:val="18"/>
          <w:color w:val="auto"/>
        </w:rPr>
      </w:pPr>
    </w:p>
    <w:p>
      <w:pPr>
        <w:ind w:left="1080" w:right="340" w:firstLine="391"/>
        <w:spacing w:after="0" w:line="277" w:lineRule="auto"/>
        <w:tabs>
          <w:tab w:leader="none" w:pos="171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us or any Restricted Subsidiary resulting from the exercise of any rights arising out of defaults on receivables;</w:t>
      </w:r>
    </w:p>
    <w:p>
      <w:pPr>
        <w:spacing w:after="0" w:line="75" w:lineRule="exact"/>
        <w:rPr>
          <w:rFonts w:ascii="Arial" w:cs="Arial" w:eastAsia="Arial" w:hAnsi="Arial"/>
          <w:sz w:val="18"/>
          <w:szCs w:val="18"/>
          <w:color w:val="auto"/>
        </w:rPr>
      </w:pPr>
    </w:p>
    <w:p>
      <w:pPr>
        <w:ind w:left="1080" w:right="80" w:firstLine="391"/>
        <w:spacing w:after="0" w:line="264" w:lineRule="auto"/>
        <w:tabs>
          <w:tab w:leader="none" w:pos="171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86" w:lineRule="exact"/>
        <w:rPr>
          <w:rFonts w:ascii="Arial" w:cs="Arial" w:eastAsia="Arial" w:hAnsi="Arial"/>
          <w:sz w:val="18"/>
          <w:szCs w:val="18"/>
          <w:color w:val="auto"/>
        </w:rPr>
      </w:pPr>
    </w:p>
    <w:p>
      <w:pPr>
        <w:ind w:left="1720" w:hanging="249"/>
        <w:spacing w:after="0"/>
        <w:tabs>
          <w:tab w:leader="none" w:pos="1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in favor of us or any Restricted Subsidiary;</w:t>
      </w:r>
    </w:p>
    <w:p>
      <w:pPr>
        <w:spacing w:after="0" w:line="130" w:lineRule="exact"/>
        <w:rPr>
          <w:rFonts w:ascii="Arial" w:cs="Arial" w:eastAsia="Arial" w:hAnsi="Arial"/>
          <w:sz w:val="18"/>
          <w:szCs w:val="18"/>
          <w:color w:val="auto"/>
        </w:rPr>
      </w:pPr>
    </w:p>
    <w:p>
      <w:pPr>
        <w:ind w:left="1080" w:right="120" w:firstLine="391"/>
        <w:spacing w:after="0" w:line="257" w:lineRule="auto"/>
        <w:tabs>
          <w:tab w:leader="none" w:pos="180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93" w:lineRule="exact"/>
        <w:rPr>
          <w:rFonts w:ascii="Arial" w:cs="Arial" w:eastAsia="Arial" w:hAnsi="Arial"/>
          <w:sz w:val="18"/>
          <w:szCs w:val="18"/>
          <w:color w:val="auto"/>
        </w:rPr>
      </w:pPr>
    </w:p>
    <w:p>
      <w:pPr>
        <w:ind w:left="1800" w:hanging="329"/>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securing industrial development, pollution control or similar revenue bonds;</w:t>
      </w:r>
    </w:p>
    <w:p>
      <w:pPr>
        <w:spacing w:after="0" w:line="130" w:lineRule="exact"/>
        <w:rPr>
          <w:rFonts w:ascii="Arial" w:cs="Arial" w:eastAsia="Arial" w:hAnsi="Arial"/>
          <w:sz w:val="18"/>
          <w:szCs w:val="18"/>
          <w:color w:val="auto"/>
        </w:rPr>
      </w:pPr>
    </w:p>
    <w:p>
      <w:pPr>
        <w:ind w:left="1080" w:right="120" w:firstLine="391"/>
        <w:spacing w:after="0" w:line="272" w:lineRule="auto"/>
        <w:tabs>
          <w:tab w:leader="none" w:pos="1806"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 of all accrued interest thereon and reasonable fees and expenses and premium, if any, incurred by us or any Restricted Subsidiary in connection therewith;</w:t>
      </w:r>
    </w:p>
    <w:p>
      <w:pPr>
        <w:spacing w:after="0" w:line="83" w:lineRule="exact"/>
        <w:rPr>
          <w:rFonts w:ascii="Arial" w:cs="Arial" w:eastAsia="Arial" w:hAnsi="Arial"/>
          <w:sz w:val="17"/>
          <w:szCs w:val="17"/>
          <w:color w:val="auto"/>
        </w:rPr>
      </w:pPr>
    </w:p>
    <w:p>
      <w:pPr>
        <w:ind w:left="1080" w:right="100" w:firstLine="391"/>
        <w:spacing w:after="0" w:line="308" w:lineRule="auto"/>
        <w:tabs>
          <w:tab w:leader="none" w:pos="1806"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51" w:lineRule="exact"/>
        <w:rPr>
          <w:rFonts w:ascii="Arial" w:cs="Arial" w:eastAsia="Arial" w:hAnsi="Arial"/>
          <w:sz w:val="17"/>
          <w:szCs w:val="17"/>
          <w:color w:val="auto"/>
        </w:rPr>
      </w:pPr>
    </w:p>
    <w:p>
      <w:pPr>
        <w:ind w:left="1820" w:hanging="349"/>
        <w:spacing w:after="0"/>
        <w:tabs>
          <w:tab w:leader="none" w:pos="1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lien upon or deposits of any assets to secure performance of bids, trade contracts, leases or statutory obligations;</w:t>
      </w:r>
    </w:p>
    <w:p>
      <w:pPr>
        <w:spacing w:after="0" w:line="153" w:lineRule="exact"/>
        <w:rPr>
          <w:rFonts w:ascii="Arial" w:cs="Arial" w:eastAsia="Arial" w:hAnsi="Arial"/>
          <w:sz w:val="16"/>
          <w:szCs w:val="16"/>
          <w:color w:val="auto"/>
        </w:rPr>
      </w:pPr>
    </w:p>
    <w:p>
      <w:pPr>
        <w:ind w:left="1080" w:firstLine="391"/>
        <w:spacing w:after="0" w:line="257" w:lineRule="auto"/>
        <w:tabs>
          <w:tab w:leader="none" w:pos="180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93" w:lineRule="exact"/>
        <w:rPr>
          <w:rFonts w:ascii="Arial" w:cs="Arial" w:eastAsia="Arial" w:hAnsi="Arial"/>
          <w:sz w:val="18"/>
          <w:szCs w:val="18"/>
          <w:color w:val="auto"/>
        </w:rPr>
      </w:pPr>
    </w:p>
    <w:p>
      <w:pPr>
        <w:ind w:left="1080" w:right="480" w:firstLine="391"/>
        <w:spacing w:after="0" w:line="277" w:lineRule="auto"/>
        <w:tabs>
          <w:tab w:leader="none" w:pos="1806"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easements, exceptions or reservations in any property of Plains All American Pipeline or any property of any of its Restricted Subsidiaries granted or reserved for the purpose of pipelines, roads, the</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40"/>
        <w:spacing w:after="0" w:line="264" w:lineRule="auto"/>
        <w:rPr>
          <w:sz w:val="20"/>
          <w:szCs w:val="20"/>
          <w:color w:val="auto"/>
        </w:rPr>
      </w:pPr>
      <w:r>
        <w:rPr>
          <w:rFonts w:ascii="Arial" w:cs="Arial" w:eastAsia="Arial" w:hAnsi="Arial"/>
          <w:sz w:val="18"/>
          <w:szCs w:val="18"/>
          <w:color w:val="auto"/>
        </w:rPr>
        <w:t>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87" w:lineRule="exact"/>
        <w:rPr>
          <w:sz w:val="20"/>
          <w:szCs w:val="20"/>
          <w:color w:val="auto"/>
        </w:rPr>
      </w:pPr>
    </w:p>
    <w:p>
      <w:pPr>
        <w:ind w:left="1080" w:right="220" w:firstLine="391"/>
        <w:spacing w:after="0" w:line="276" w:lineRule="auto"/>
        <w:tabs>
          <w:tab w:leader="none" w:pos="1806"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77" w:lineRule="exact"/>
        <w:rPr>
          <w:rFonts w:ascii="Arial" w:cs="Arial" w:eastAsia="Arial" w:hAnsi="Arial"/>
          <w:sz w:val="17"/>
          <w:szCs w:val="17"/>
          <w:color w:val="auto"/>
        </w:rPr>
      </w:pPr>
    </w:p>
    <w:p>
      <w:pPr>
        <w:ind w:left="1080" w:firstLine="391"/>
        <w:spacing w:after="0" w:line="277" w:lineRule="auto"/>
        <w:tabs>
          <w:tab w:leader="none" w:pos="180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obligations or duties to any municipality or public authority with respect to any lease, easement, right-of-way, license, franchise, privilege, permit or grant.</w:t>
      </w:r>
    </w:p>
    <w:p>
      <w:pPr>
        <w:spacing w:after="0" w:line="76"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whether owned or leased on the Issue Date or thereafter acquired:</w:t>
      </w:r>
    </w:p>
    <w:p>
      <w:pPr>
        <w:spacing w:after="0" w:line="131" w:lineRule="exact"/>
        <w:rPr>
          <w:sz w:val="20"/>
          <w:szCs w:val="20"/>
          <w:color w:val="auto"/>
        </w:rPr>
      </w:pPr>
    </w:p>
    <w:p>
      <w:pPr>
        <w:jc w:val="both"/>
        <w:ind w:left="1080" w:right="160" w:firstLine="391"/>
        <w:spacing w:after="0" w:line="259" w:lineRule="auto"/>
        <w:tabs>
          <w:tab w:leader="none" w:pos="1716"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92" w:lineRule="exact"/>
        <w:rPr>
          <w:rFonts w:ascii="Arial" w:cs="Arial" w:eastAsia="Arial" w:hAnsi="Arial"/>
          <w:sz w:val="18"/>
          <w:szCs w:val="18"/>
          <w:color w:val="auto"/>
        </w:rPr>
      </w:pPr>
    </w:p>
    <w:p>
      <w:pPr>
        <w:ind w:left="1080" w:right="180" w:firstLine="391"/>
        <w:spacing w:after="0" w:line="297" w:lineRule="auto"/>
        <w:tabs>
          <w:tab w:leader="none" w:pos="1716"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64"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Plains All American Pipeline owning or leasing, directly or indirectly through ownership in another Subsidiary, any Principal Property.</w:t>
      </w:r>
    </w:p>
    <w:p>
      <w:pPr>
        <w:spacing w:after="0" w:line="76"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131" w:lineRule="exact"/>
        <w:rPr>
          <w:sz w:val="20"/>
          <w:szCs w:val="20"/>
          <w:color w:val="auto"/>
        </w:rPr>
      </w:pPr>
    </w:p>
    <w:p>
      <w:pPr>
        <w:ind w:left="1080" w:right="20" w:firstLine="391"/>
        <w:spacing w:after="0" w:line="259" w:lineRule="auto"/>
        <w:tabs>
          <w:tab w:leader="none" w:pos="171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92" w:lineRule="exact"/>
        <w:rPr>
          <w:rFonts w:ascii="Arial" w:cs="Arial" w:eastAsia="Arial" w:hAnsi="Arial"/>
          <w:sz w:val="18"/>
          <w:szCs w:val="18"/>
          <w:color w:val="auto"/>
        </w:rPr>
      </w:pPr>
    </w:p>
    <w:p>
      <w:pPr>
        <w:ind w:left="1080" w:right="40" w:firstLine="391"/>
        <w:spacing w:after="0" w:line="264" w:lineRule="auto"/>
        <w:tabs>
          <w:tab w:leader="none" w:pos="1716"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BOOK ENTRY, DELIVERY AND FORM</w:t>
      </w:r>
    </w:p>
    <w:p>
      <w:pPr>
        <w:spacing w:after="0" w:line="135" w:lineRule="exact"/>
        <w:rPr>
          <w:sz w:val="20"/>
          <w:szCs w:val="20"/>
          <w:color w:val="auto"/>
        </w:rPr>
      </w:pPr>
    </w:p>
    <w:p>
      <w:pPr>
        <w:ind w:left="700" w:right="120" w:firstLine="397"/>
        <w:spacing w:after="0" w:line="288" w:lineRule="auto"/>
        <w:rPr>
          <w:sz w:val="20"/>
          <w:szCs w:val="20"/>
          <w:color w:val="auto"/>
        </w:rPr>
      </w:pPr>
      <w:r>
        <w:rPr>
          <w:rFonts w:ascii="Arial" w:cs="Arial" w:eastAsia="Arial" w:hAnsi="Arial"/>
          <w:sz w:val="16"/>
          <w:szCs w:val="16"/>
          <w:color w:val="auto"/>
        </w:rPr>
        <w:t>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société anonyme,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75" w:lineRule="exact"/>
        <w:rPr>
          <w:sz w:val="20"/>
          <w:szCs w:val="20"/>
          <w:color w:val="auto"/>
        </w:rPr>
      </w:pPr>
    </w:p>
    <w:p>
      <w:pPr>
        <w:ind w:left="700" w:right="160" w:firstLine="397"/>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99" w:lineRule="exact"/>
        <w:rPr>
          <w:sz w:val="20"/>
          <w:szCs w:val="20"/>
          <w:color w:val="auto"/>
        </w:rPr>
      </w:pPr>
    </w:p>
    <w:p>
      <w:pPr>
        <w:ind w:left="700" w:right="140" w:firstLine="397"/>
        <w:spacing w:after="0" w:line="276" w:lineRule="auto"/>
        <w:rPr>
          <w:sz w:val="20"/>
          <w:szCs w:val="20"/>
          <w:color w:val="auto"/>
        </w:rPr>
      </w:pPr>
      <w:r>
        <w:rPr>
          <w:rFonts w:ascii="Arial" w:cs="Arial" w:eastAsia="Arial" w:hAnsi="Arial"/>
          <w:sz w:val="17"/>
          <w:szCs w:val="17"/>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Depository procedures</w:t>
      </w:r>
    </w:p>
    <w:p>
      <w:pPr>
        <w:spacing w:after="0" w:line="135"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w:t>
      </w:r>
    </w:p>
    <w:p>
      <w:pPr>
        <w:spacing w:after="0" w:line="80" w:lineRule="exact"/>
        <w:rPr>
          <w:sz w:val="20"/>
          <w:szCs w:val="20"/>
          <w:color w:val="auto"/>
        </w:rPr>
      </w:pPr>
    </w:p>
    <w:p>
      <w:pPr>
        <w:ind w:left="700" w:right="200" w:firstLine="397"/>
        <w:spacing w:after="0" w:line="259" w:lineRule="auto"/>
        <w:rPr>
          <w:sz w:val="20"/>
          <w:szCs w:val="20"/>
          <w:color w:val="auto"/>
        </w:rPr>
      </w:pPr>
      <w:r>
        <w:rPr>
          <w:rFonts w:ascii="Arial" w:cs="Arial" w:eastAsia="Arial" w:hAnsi="Arial"/>
          <w:sz w:val="18"/>
          <w:szCs w:val="18"/>
          <w:color w:val="auto"/>
        </w:rPr>
        <w:t>DTC has also advised us that pursuant to procedures established by it, (a) upon deposit of the Global Notes, DTC will credit the accounts of Participants designated by the underwriters with portions of the principal amount of the Global Notes and (b) ownership of such interests in the Global Notes will be shown on, and the transfer of ownership thereof will be effected only through, records maintained by DTC (with</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color w:val="auto"/>
        </w:rPr>
        <w:t>respect to the Participants) or by the Participants and the Indirect Participants (with respect to other owners of beneficial interests in the Global Notes).</w:t>
      </w:r>
    </w:p>
    <w:p>
      <w:pPr>
        <w:spacing w:after="0" w:line="76"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Investors in the Global Notes may hold their interests therein directly through DTC, if they are Participants in such system, or indirectly through organizations (including Euroclear and Clearstream) which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99"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 Exchange of book entry Notes for certificated Notes.”</w:t>
      </w:r>
    </w:p>
    <w:p>
      <w:pPr>
        <w:spacing w:after="0" w:line="66" w:lineRule="exact"/>
        <w:rPr>
          <w:sz w:val="20"/>
          <w:szCs w:val="20"/>
          <w:color w:val="auto"/>
        </w:rPr>
      </w:pPr>
    </w:p>
    <w:p>
      <w:pPr>
        <w:ind w:left="700" w:right="140" w:firstLine="397"/>
        <w:spacing w:after="0" w:line="266" w:lineRule="auto"/>
        <w:rPr>
          <w:sz w:val="20"/>
          <w:szCs w:val="20"/>
          <w:color w:val="auto"/>
        </w:rPr>
      </w:pPr>
      <w:r>
        <w:rPr>
          <w:rFonts w:ascii="Arial" w:cs="Arial" w:eastAsia="Arial" w:hAnsi="Arial"/>
          <w:sz w:val="18"/>
          <w:szCs w:val="18"/>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86"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 (1) 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83" w:lineRule="exact"/>
        <w:rPr>
          <w:sz w:val="20"/>
          <w:szCs w:val="20"/>
          <w:color w:val="auto"/>
        </w:rPr>
      </w:pPr>
    </w:p>
    <w:p>
      <w:pPr>
        <w:ind w:left="700" w:right="140" w:firstLine="397"/>
        <w:spacing w:after="0" w:line="291" w:lineRule="auto"/>
        <w:rPr>
          <w:sz w:val="20"/>
          <w:szCs w:val="20"/>
          <w:color w:val="auto"/>
        </w:rPr>
      </w:pPr>
      <w:r>
        <w:rPr>
          <w:rFonts w:ascii="Arial" w:cs="Arial" w:eastAsia="Arial" w:hAnsi="Arial"/>
          <w:sz w:val="16"/>
          <w:szCs w:val="16"/>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w:t>
      </w:r>
    </w:p>
    <w:p>
      <w:pPr>
        <w:spacing w:after="0" w:line="69" w:lineRule="exact"/>
        <w:rPr>
          <w:sz w:val="20"/>
          <w:szCs w:val="20"/>
          <w:color w:val="auto"/>
        </w:rPr>
      </w:pPr>
    </w:p>
    <w:p>
      <w:pPr>
        <w:ind w:left="700" w:right="120" w:firstLine="397"/>
        <w:spacing w:after="0" w:line="261" w:lineRule="auto"/>
        <w:rPr>
          <w:sz w:val="20"/>
          <w:szCs w:val="20"/>
          <w:color w:val="auto"/>
        </w:rPr>
      </w:pPr>
      <w:r>
        <w:rPr>
          <w:rFonts w:ascii="Arial" w:cs="Arial" w:eastAsia="Arial" w:hAnsi="Arial"/>
          <w:sz w:val="18"/>
          <w:szCs w:val="18"/>
          <w:b w:val="1"/>
          <w:bCs w:val="1"/>
          <w:color w:val="auto"/>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p>
    <w:p>
      <w:pPr>
        <w:spacing w:after="0" w:line="90"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40"/>
        <w:spacing w:after="0" w:line="259" w:lineRule="auto"/>
        <w:rPr>
          <w:sz w:val="20"/>
          <w:szCs w:val="20"/>
          <w:color w:val="auto"/>
        </w:rPr>
      </w:pPr>
      <w:r>
        <w:rPr>
          <w:rFonts w:ascii="Arial" w:cs="Arial" w:eastAsia="Arial" w:hAnsi="Arial"/>
          <w:sz w:val="18"/>
          <w:szCs w:val="18"/>
          <w:color w:val="auto"/>
        </w:rPr>
        <w:t>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92"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95"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 Exchange of book entry Notes for certificated Notes” occurs, DTC reserves the right to exchange the Global Notes for Notes in certificated form and to distribute such Notes to its Participants.</w:t>
      </w:r>
    </w:p>
    <w:p>
      <w:pPr>
        <w:spacing w:after="0" w:line="78" w:lineRule="exact"/>
        <w:rPr>
          <w:sz w:val="20"/>
          <w:szCs w:val="20"/>
          <w:color w:val="auto"/>
        </w:rPr>
      </w:pPr>
    </w:p>
    <w:p>
      <w:pPr>
        <w:jc w:val="both"/>
        <w:ind w:left="700" w:right="20" w:firstLine="397"/>
        <w:spacing w:after="0" w:line="264" w:lineRule="auto"/>
        <w:rPr>
          <w:sz w:val="20"/>
          <w:szCs w:val="20"/>
          <w:color w:val="auto"/>
        </w:rPr>
      </w:pPr>
      <w:r>
        <w:rPr>
          <w:rFonts w:ascii="Arial" w:cs="Arial" w:eastAsia="Arial" w:hAnsi="Arial"/>
          <w:sz w:val="18"/>
          <w:szCs w:val="18"/>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Exchange of book entry Notes for certificated Notes</w:t>
      </w:r>
    </w:p>
    <w:p>
      <w:pPr>
        <w:spacing w:after="0" w:line="135" w:lineRule="exact"/>
        <w:rPr>
          <w:sz w:val="20"/>
          <w:szCs w:val="20"/>
          <w:color w:val="auto"/>
        </w:rPr>
      </w:pPr>
    </w:p>
    <w:p>
      <w:pPr>
        <w:ind w:left="700" w:right="200" w:firstLine="397"/>
        <w:spacing w:after="0" w:line="291" w:lineRule="auto"/>
        <w:rPr>
          <w:sz w:val="20"/>
          <w:szCs w:val="20"/>
          <w:color w:val="auto"/>
        </w:rPr>
      </w:pPr>
      <w:r>
        <w:rPr>
          <w:rFonts w:ascii="Arial" w:cs="Arial" w:eastAsia="Arial" w:hAnsi="Arial"/>
          <w:sz w:val="16"/>
          <w:szCs w:val="16"/>
          <w:color w:val="auto"/>
        </w:rPr>
        <w:t>A Global Note is exchangeable for definitive notes in registered certificated form if (1) DTC (a) notifies us that it is unwilling or unable to continue as depository for the Global Note or (b) has ceased to be a clearing agency registered under the Exchange Act, and</w:t>
      </w:r>
    </w:p>
    <w:p>
      <w:pPr>
        <w:jc w:val="both"/>
        <w:ind w:left="700" w:right="20" w:hanging="7"/>
        <w:spacing w:after="0" w:line="255" w:lineRule="auto"/>
        <w:tabs>
          <w:tab w:leader="none" w:pos="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37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35"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The following discussion is a summary of the material U.S. federal income tax consequences that may be relevant to the purchase, ownership and disposition of the Notes. The discussion is based on the Internal Revenue Code of 1986, as amended (the “Code”), Treasury Regulations issued thereunder, and judicial decisions and administrative interpretations now in effect, all of which are subject to change, possibly on a retroactive basis, or are subject to different interpretations. There can be no assurance that the Internal Revenue Service (the “IRS”) will take a similar view of such consequences, and we have not obtained, nor do we intend to obtain, a ruling from the IRS with respect to the U.S. federal income tax consequences of the purchase, ownership or disposition of the Notes. This discussion is limited to initial beneficial owners who purchase the Notes for cash at their issue price (the first price at which a substantial amount of the Notes is sold for money to investors, not including bond houses, brokers or similar persons or organizations acting in the capacity of underwriters, placement agents or wholesalers) and who hold the Notes as capital assets (generally property held for investment).</w:t>
      </w:r>
    </w:p>
    <w:p>
      <w:pPr>
        <w:spacing w:after="0" w:line="72" w:lineRule="exact"/>
        <w:rPr>
          <w:sz w:val="20"/>
          <w:szCs w:val="20"/>
          <w:color w:val="auto"/>
        </w:rPr>
      </w:pPr>
    </w:p>
    <w:p>
      <w:pPr>
        <w:ind w:left="700" w:right="340" w:firstLine="397"/>
        <w:spacing w:after="0" w:line="308" w:lineRule="auto"/>
        <w:rPr>
          <w:sz w:val="20"/>
          <w:szCs w:val="20"/>
          <w:color w:val="auto"/>
        </w:rPr>
      </w:pPr>
      <w:r>
        <w:rPr>
          <w:rFonts w:ascii="Arial" w:cs="Arial" w:eastAsia="Arial" w:hAnsi="Arial"/>
          <w:sz w:val="17"/>
          <w:szCs w:val="17"/>
          <w:color w:val="auto"/>
        </w:rPr>
        <w:t>In this discussion, we do not purport to address all tax considerations that may be important to a particular holder in light of the holder’s special circumstances, or to certain categories of holders that may be subject to special rules, such as:</w:t>
      </w:r>
    </w:p>
    <w:p>
      <w:pPr>
        <w:spacing w:after="0" w:line="52" w:lineRule="exact"/>
        <w:rPr>
          <w:sz w:val="20"/>
          <w:szCs w:val="20"/>
          <w:color w:val="auto"/>
        </w:rPr>
      </w:pPr>
    </w:p>
    <w:p>
      <w:pPr>
        <w:ind w:left="1300" w:hanging="20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holders subject to the alternative minimum tax;</w:t>
      </w:r>
    </w:p>
    <w:p>
      <w:pPr>
        <w:spacing w:after="0" w:line="117"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persons holding Notes as part of a straddle transaction, hedging transaction, conversion transaction or other “synthetic security” or integrated transaction;</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partnerships and other pass-through entities and holders of interests therein.</w:t>
      </w:r>
    </w:p>
    <w:p>
      <w:pPr>
        <w:spacing w:after="0" w:line="131"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In addition, the discussion does not consider the effect of U.S. federal estate or gift tax laws or of any applicable foreign, state, local or other tax laws or income tax treaties.</w:t>
      </w:r>
    </w:p>
    <w:p>
      <w:pPr>
        <w:spacing w:after="0" w:line="76"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If a partnership or other entity treated as a partnership for U.S. federal income tax purposes is a beneficial owner of Notes, the treatment of a partner in the partnership will generally depend upon the status of the partner and upon the activities of the partnership. Partners in partnerships acquiring Notes should consult their tax advisors.</w:t>
      </w:r>
    </w:p>
    <w:p>
      <w:pPr>
        <w:spacing w:after="0" w:line="87"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PROSPECTIVE INVESTORS ARE ADVISED TO CONSULT THEIR TAX ADVISORS WITH REGARD TO THE APPLICATION OF THE TAX CONSEQUENCES DISCUSSED BELOW TO THEIR PARTICULAR SITUATIONS, AS WELL AS THE APPLICATION OF U.S. FEDERAL ESTATE OR GIFT TAX LAWS OR OF ANY STATE, LOCAL, FOREIGN OR OTHER TAX LAWS OR INCOME TAX TREATIES.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As used herein, a “U.S. Holder” means a beneficial owner of a Note that is:</w:t>
      </w:r>
    </w:p>
    <w:p>
      <w:pPr>
        <w:spacing w:after="0" w:line="131" w:lineRule="exact"/>
        <w:rPr>
          <w:sz w:val="20"/>
          <w:szCs w:val="20"/>
          <w:color w:val="auto"/>
        </w:rPr>
      </w:pPr>
    </w:p>
    <w:p>
      <w:pPr>
        <w:ind w:left="1300" w:hanging="20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political subdivision thereof;</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1300" w:right="160" w:hanging="202"/>
        <w:spacing w:after="0" w:line="286" w:lineRule="auto"/>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71"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As used herein, a “Non-U.S. Holder” means a beneficial owner of a Note that is an individual, corporation, estate or trust and is not a U.S. Holder.</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 federal income taxation of U.S. Holders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31" w:lineRule="exact"/>
        <w:rPr>
          <w:sz w:val="20"/>
          <w:szCs w:val="20"/>
          <w:color w:val="auto"/>
        </w:rPr>
      </w:pPr>
    </w:p>
    <w:p>
      <w:pPr>
        <w:ind w:left="700" w:right="680" w:firstLine="397"/>
        <w:spacing w:after="0" w:line="277" w:lineRule="auto"/>
        <w:rPr>
          <w:sz w:val="20"/>
          <w:szCs w:val="20"/>
          <w:color w:val="auto"/>
        </w:rPr>
      </w:pPr>
      <w:r>
        <w:rPr>
          <w:rFonts w:ascii="Arial" w:cs="Arial" w:eastAsia="Arial" w:hAnsi="Arial"/>
          <w:sz w:val="18"/>
          <w:szCs w:val="18"/>
          <w:color w:val="auto"/>
        </w:rPr>
        <w:t>Interest paid on a Note generally will be taxable to a U.S. Holder as ordinary income at the time it accrues or is received in accordance with the U.S. Holder’s regular method of accounting for U.S. federal income tax purposes.</w:t>
      </w:r>
    </w:p>
    <w:p>
      <w:pPr>
        <w:spacing w:after="0" w:line="76"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In certain circumstances (see “Description of Notes — Optional redemption”), we may pay amounts in excess of the stated interest and principal on the Notes. We intend to take the position that the possibility that such additional amounts will be paid does not cause the Notes to be treated as contingent payment debt instruments. Our determination is binding on a U.S. Holder, unless such holder explicitly discloses a contrary position to the IRS in the manner prescribed by applicable Treasury regulations. Our determination is not binding on the IRS. It is possible that the IRS might take a different position, in which case, the timing, character and amount of taxable income in respect of the Notes may be different from that described herein.</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Disposition of Notes</w:t>
      </w:r>
    </w:p>
    <w:p>
      <w:pPr>
        <w:spacing w:after="0" w:line="131"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Upon the sale, retirement, redemption or other taxable disposition of a Note, a U.S. Holder will generally recognize capital gain or loss equal to the difference between the amount realized on the disposition (not including any amount attributable to accrued but unpaid interest which is taxable as ordinary interest income to the extent not previously included in income) and such holder’s adjusted tax basis in the Note. The amount realized by a U.S. Holder will include the amount of any cash and the fair market value of any other property received for the Note. A U.S. Holder’s adjusted tax basis in a Note will generally equal the purchase price paid by such holder for the Note.</w:t>
      </w:r>
    </w:p>
    <w:p>
      <w:pPr>
        <w:spacing w:after="0" w:line="99"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In general, gain or loss realized on the sale, retirement, redemption or other taxable disposition of a Note by a U.S. Holder will be long-term capital gain or loss if, at the time of disposition, the U.S. Holder has held the Note for more than one year. The long-term capital gains of individuals, estates and trusts currently are subject to a reduced rate of U.S. federal income tax. The deductibility of capital losses is subject to certain limitations.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31"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Information reporting will apply to payments of interest on, and the proceeds of the sale, retirement, redemption or other disposition of, Notes held by a U.S. Holder, and backup withholding may apply unless the U.S. Holder provides the appropriate intermediary with a taxpayer identification number, certified under penalties of perjury, as well as certain other information or otherwise establishes an exemption from backup withholding. Any amount withheld under the backup withholding rules is allowable as a credit against the</w:t>
      </w:r>
    </w:p>
    <w:p>
      <w:pPr>
        <w:spacing w:after="0" w:line="2" w:lineRule="exact"/>
        <w:rPr>
          <w:sz w:val="20"/>
          <w:szCs w:val="20"/>
          <w:color w:val="auto"/>
        </w:rPr>
      </w:pPr>
    </w:p>
    <w:p>
      <w:pPr>
        <w:ind w:left="700" w:right="260"/>
        <w:spacing w:after="0" w:line="323" w:lineRule="auto"/>
        <w:rPr>
          <w:sz w:val="20"/>
          <w:szCs w:val="20"/>
          <w:color w:val="auto"/>
        </w:rPr>
      </w:pPr>
      <w:r>
        <w:rPr>
          <w:rFonts w:ascii="Arial" w:cs="Arial" w:eastAsia="Arial" w:hAnsi="Arial"/>
          <w:sz w:val="16"/>
          <w:szCs w:val="16"/>
          <w:color w:val="auto"/>
        </w:rPr>
        <w:t>U.S. Holder’s U.S. federal income tax liability, if any, and a refund may be obtained if the amounts withheld exceed the U.S. Holder’s actual U.S. federal income tax liability and the U.S. Holder provides the required information or appropriate claim form to the IRS.</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New legislation</w:t>
      </w:r>
    </w:p>
    <w:p>
      <w:pPr>
        <w:spacing w:after="0" w:line="135"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For taxable years beginning after December 31, 2012, newly enacted legislation is scheduled to impose a 3.8% tax on the “net investment income” of certain U.S. citizens and resident aliens, and on the undistributed</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342" w:lineRule="auto"/>
        <w:rPr>
          <w:sz w:val="20"/>
          <w:szCs w:val="20"/>
          <w:color w:val="auto"/>
        </w:rPr>
      </w:pPr>
      <w:r>
        <w:rPr>
          <w:rFonts w:ascii="Arial" w:cs="Arial" w:eastAsia="Arial" w:hAnsi="Arial"/>
          <w:sz w:val="16"/>
          <w:szCs w:val="16"/>
          <w:color w:val="auto"/>
        </w:rPr>
        <w:t>“net investment income” of certain estates and trusts. Among other items, “net investment income” would generally include gross income from interest and net gain from the sale, retirement, redemption or other taxable disposition of a Note, less certain deductions.</w:t>
      </w:r>
    </w:p>
    <w:p>
      <w:pPr>
        <w:spacing w:after="0" w:line="29"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Prospective investors should consult their own tax advisors with respect to the tax consequences of the new legislation described above.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 federal income taxation of Non-U.S. Holders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31"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The payment to a Non-U.S. Holder of interest on a Note generally will be exempt from U.S. federal withholding tax under the “portfolio interest” exemption provided that interest on the Note is not effectively connected with a U.S. trade or business conducted by the Non-U.S. Holder and the Non-U.S. Holder:</w:t>
      </w:r>
    </w:p>
    <w:p>
      <w:pPr>
        <w:spacing w:after="0" w:line="87" w:lineRule="exact"/>
        <w:rPr>
          <w:sz w:val="20"/>
          <w:szCs w:val="20"/>
          <w:color w:val="auto"/>
        </w:rPr>
      </w:pPr>
    </w:p>
    <w:p>
      <w:pPr>
        <w:ind w:left="1300" w:hanging="202"/>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does not actually or constructively own 10% or more of our capital or profits interests;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is not a controlled foreign corporation for U.S. federal income tax purposes that is related directly or indirectly to us; and</w:t>
      </w:r>
    </w:p>
    <w:p>
      <w:pPr>
        <w:spacing w:after="0" w:line="128" w:lineRule="exact"/>
        <w:rPr>
          <w:rFonts w:ascii="Arial" w:cs="Arial" w:eastAsia="Arial" w:hAnsi="Arial"/>
          <w:sz w:val="17"/>
          <w:szCs w:val="17"/>
          <w:color w:val="auto"/>
        </w:rPr>
      </w:pPr>
    </w:p>
    <w:p>
      <w:pPr>
        <w:ind w:left="1300" w:hanging="202"/>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 not a bank whose receipt of interest on the Note is in connection with an extension of credit made pursuant to a loan agreement entered into in the ordinary course of business.</w:t>
      </w:r>
    </w:p>
    <w:p>
      <w:pPr>
        <w:spacing w:after="0" w:line="76" w:lineRule="exact"/>
        <w:rPr>
          <w:sz w:val="20"/>
          <w:szCs w:val="20"/>
          <w:color w:val="auto"/>
        </w:rPr>
      </w:pPr>
    </w:p>
    <w:p>
      <w:pPr>
        <w:ind w:left="700" w:right="140" w:firstLine="397"/>
        <w:spacing w:after="0" w:line="286" w:lineRule="auto"/>
        <w:rPr>
          <w:sz w:val="20"/>
          <w:szCs w:val="20"/>
          <w:color w:val="auto"/>
        </w:rPr>
      </w:pPr>
      <w:r>
        <w:rPr>
          <w:rFonts w:ascii="Arial" w:cs="Arial" w:eastAsia="Arial" w:hAnsi="Arial"/>
          <w:sz w:val="17"/>
          <w:szCs w:val="17"/>
          <w:color w:val="auto"/>
        </w:rPr>
        <w:t>The portfolio interest exemption and several of the special rules for Non-U.S. Holders described below generally apply only if a Non-U.S. Holder appropriately certifies as to his foreign status. A Non-U.S. Holder can generally meet this certification requirement by providing a properly executed IRS Form W-8BEN or appropriate substitute form to us, or our paying agent.</w:t>
      </w:r>
    </w:p>
    <w:p>
      <w:pPr>
        <w:spacing w:after="0" w:line="71"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If a Non-U.S. Holder holds the Notes through a financial institution or other agent acting on his behalf, that Non-U.S. Holder may be required to provide appropriate certifications to the agent. That agent will then generally be required to provide appropriate certifications to us or our paying agent, either directly or through other intermediaries. Special rules apply to foreign partnerships, estates and trusts, and in certain circumstances certifications as to foreign status of partners, trust owners or beneficiaries may have to be provided to us or our paying agent. In addition, special rules apply to qualified intermediaries that enter into withholding agreements with the IRS.</w:t>
      </w:r>
    </w:p>
    <w:p>
      <w:pPr>
        <w:spacing w:after="0" w:line="99"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If a Non-U.S. Holder cannot satisfy the requirements described in the preceding paragraphs, payments of interest made to the Non-U.S. Holder will be subject to a 30% U.S. federal withholding tax, unless the Non-U.S. Holder provides us with a properly executed</w:t>
      </w:r>
    </w:p>
    <w:p>
      <w:pPr>
        <w:ind w:left="700" w:right="100" w:hanging="7"/>
        <w:spacing w:after="0" w:line="271" w:lineRule="auto"/>
        <w:tabs>
          <w:tab w:leader="none" w:pos="9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IRS Form W-8BEN (or successor form) claiming an exemption from or reduction in the rate of withholding under the benefit of an income tax treaty or (2) IRS Form W-8ECI (or successor form) stating that the interest paid on the Note is not subject to withholding tax because it is effectively connected with the Non-U.S. Holder’s conduct of a trade or business in the United States (and if required by an applicable income tax treaty, is treated as attributable to a permanent establishment maintained by the Non-U.S. Holder in the United States). See “— Income or gain effectively connected with a U.S. trade or business.”</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Disposition of Notes</w:t>
      </w:r>
    </w:p>
    <w:p>
      <w:pPr>
        <w:spacing w:after="0" w:line="131"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Generally, a Non-U.S. Holder will not be subject to U.S. federal income tax with respect to gain realized on the sale, retirement, redemption or other disposition of a Note unless:</w:t>
      </w:r>
    </w:p>
    <w:p>
      <w:pPr>
        <w:spacing w:after="0" w:line="76" w:lineRule="exact"/>
        <w:rPr>
          <w:sz w:val="20"/>
          <w:szCs w:val="20"/>
          <w:color w:val="auto"/>
        </w:rPr>
      </w:pPr>
    </w:p>
    <w:p>
      <w:pPr>
        <w:jc w:val="both"/>
        <w:ind w:left="1300" w:right="160" w:hanging="202"/>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trade or business in the United States (and if an applicable income tax treaty so requires, is attributable to a permanent establishment maintained by the Non-U.S. Holder in the United States); or</w:t>
      </w:r>
    </w:p>
    <w:p>
      <w:pPr>
        <w:spacing w:after="0" w:line="73" w:lineRule="exact"/>
        <w:rPr>
          <w:rFonts w:ascii="Arial" w:cs="Arial" w:eastAsia="Arial" w:hAnsi="Arial"/>
          <w:sz w:val="18"/>
          <w:szCs w:val="18"/>
          <w:color w:val="auto"/>
        </w:rPr>
      </w:pPr>
    </w:p>
    <w:p>
      <w:pPr>
        <w:ind w:left="1300" w:right="620" w:hanging="202"/>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a Non-U.S. Holder who is a nonresident alien individual, such individual is present in the United States for 183 days or more in the taxable year of disposition and certain other conditions are met.</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If you are a Non-U.S. Holder described in the first bullet point above, you generally will be subject to U.S. federal income tax in the manner described below under “— Income or gain effectively connected with a U.S. trade or business”. If you are a Non-U.S. Holder described in the second bullet point above, you will be subject to a flat 30% U.S. federal income tax on the gain derived from the sale or other disposition, which may be offset by U.S. source capital losses.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Income or gain effectively connected with a U.S. trade or business</w:t>
      </w:r>
    </w:p>
    <w:p>
      <w:pPr>
        <w:spacing w:after="0" w:line="131" w:lineRule="exact"/>
        <w:rPr>
          <w:sz w:val="20"/>
          <w:szCs w:val="20"/>
          <w:color w:val="auto"/>
        </w:rPr>
      </w:pPr>
    </w:p>
    <w:p>
      <w:pPr>
        <w:ind w:left="700" w:right="20" w:firstLine="397"/>
        <w:spacing w:after="0" w:line="284" w:lineRule="auto"/>
        <w:rPr>
          <w:sz w:val="20"/>
          <w:szCs w:val="20"/>
          <w:color w:val="auto"/>
        </w:rPr>
      </w:pPr>
      <w:r>
        <w:rPr>
          <w:rFonts w:ascii="Arial" w:cs="Arial" w:eastAsia="Arial" w:hAnsi="Arial"/>
          <w:sz w:val="16"/>
          <w:szCs w:val="16"/>
          <w:color w:val="auto"/>
        </w:rPr>
        <w:t>If a Non-U.S. Holder of a Note is engaged in a trade or business in the United States and interest on the Note is effectively connected with the conduct of such trade or business, then the income or gain from the Note will generally be subject to U.S. federal income tax in the same manner as if that Non-U.S. Holder were a U.S. Holder, unless the Non-U.S. Holder can claim an exemption under the benefits of an income tax treaty. If a Non-U.S. Holder is eligible for the benefits of an income tax treaty between the United States and his country of residence, any “effectively connected” income or gain will generally be subject to U.S. federal income tax only if it is also attributable to a permanent establishment maintained by that Non-U.S. Holder in the United States. In addition, if such</w:t>
      </w:r>
    </w:p>
    <w:p>
      <w:pPr>
        <w:spacing w:after="0" w:line="5" w:lineRule="exact"/>
        <w:rPr>
          <w:sz w:val="20"/>
          <w:szCs w:val="20"/>
          <w:color w:val="auto"/>
        </w:rPr>
      </w:pPr>
    </w:p>
    <w:p>
      <w:pPr>
        <w:jc w:val="both"/>
        <w:ind w:left="700" w:right="220"/>
        <w:spacing w:after="0" w:line="281" w:lineRule="auto"/>
        <w:rPr>
          <w:sz w:val="20"/>
          <w:szCs w:val="20"/>
          <w:color w:val="auto"/>
        </w:rPr>
      </w:pPr>
      <w:r>
        <w:rPr>
          <w:rFonts w:ascii="Arial" w:cs="Arial" w:eastAsia="Arial" w:hAnsi="Arial"/>
          <w:sz w:val="16"/>
          <w:szCs w:val="16"/>
          <w:color w:val="auto"/>
        </w:rPr>
        <w:t>Non-U.S. Holder is a foreign corporation, it may be subject to a branch profits tax equal to 30% (or lower applicable treaty rate) of its earnings and profits for the taxable year, subject to adjustments, that are effectively connected with its conduct of a trade or business in the United States. A Non-U.S. Holder can generally meet the certification requirements by providing a properly executed IRS</w:t>
      </w:r>
    </w:p>
    <w:p>
      <w:pPr>
        <w:spacing w:after="0" w:line="2" w:lineRule="exact"/>
        <w:rPr>
          <w:sz w:val="20"/>
          <w:szCs w:val="20"/>
          <w:color w:val="auto"/>
        </w:rPr>
      </w:pPr>
    </w:p>
    <w:p>
      <w:pPr>
        <w:ind w:left="700" w:right="60"/>
        <w:spacing w:after="0" w:line="261" w:lineRule="auto"/>
        <w:rPr>
          <w:sz w:val="20"/>
          <w:szCs w:val="20"/>
          <w:color w:val="auto"/>
        </w:rPr>
      </w:pPr>
      <w:r>
        <w:rPr>
          <w:rFonts w:ascii="Arial" w:cs="Arial" w:eastAsia="Arial" w:hAnsi="Arial"/>
          <w:sz w:val="18"/>
          <w:szCs w:val="18"/>
          <w:color w:val="auto"/>
        </w:rPr>
        <w:t>Form W-8ECI (or IRS Form W-8BEN claiming exemption under an applicable income tax treaty) or appropriate substitute form to us, or our paying agent.</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31"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Payments to a Non-U.S. Holder of interest on a Note, and amounts withheld from such payments, if any, generally will be required to be reported to the IRS and to the Non-U.S. Holder.</w:t>
      </w:r>
    </w:p>
    <w:p>
      <w:pPr>
        <w:spacing w:after="0" w:line="76" w:lineRule="exact"/>
        <w:rPr>
          <w:sz w:val="20"/>
          <w:szCs w:val="20"/>
          <w:color w:val="auto"/>
        </w:rPr>
      </w:pPr>
    </w:p>
    <w:p>
      <w:pPr>
        <w:ind w:left="700" w:right="40" w:firstLine="397"/>
        <w:spacing w:after="0" w:line="286" w:lineRule="auto"/>
        <w:rPr>
          <w:sz w:val="20"/>
          <w:szCs w:val="20"/>
          <w:color w:val="auto"/>
        </w:rPr>
      </w:pPr>
      <w:r>
        <w:rPr>
          <w:rFonts w:ascii="Arial" w:cs="Arial" w:eastAsia="Arial" w:hAnsi="Arial"/>
          <w:sz w:val="17"/>
          <w:szCs w:val="17"/>
          <w:color w:val="auto"/>
        </w:rPr>
        <w:t>United States backup withholding tax generally will not apply to payments of interest and principal on a Note to a Non-U.S. Holder if the statement described in “— Payments of interest” is duly provided by the holder or the holder otherwise establishes an exemption, provided that we do not have actual knowledge or reason to know that the holder is a United States person.</w:t>
      </w:r>
    </w:p>
    <w:p>
      <w:pPr>
        <w:spacing w:after="0" w:line="71"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Payment of the proceeds of a sale of a Note effected by the U.S. office of a U.S. or foreign broker will be subject to information reporting requirements and backup withholding unless the Non-U.S. Holder properly certifies under penalties of perjury as to his foreign status and certain other conditions are met or the Non-U.S. Holder otherwise establishes an exemption. Information reporting requirements and backup withholding generally will not apply to any payment of the proceeds of the sale of a Note effected outside the United States by a foreign office of a broker. However, unless such a broker has documentary evidence in its records that the holder is a Non-U.S. Holder and certain other conditions are met, or the Non-U.S. Holder otherwise establishes an exemption, information reporting will apply to a payment of the proceeds of the sale of a Note effected outside the United States by such a broker if the broker is:</w:t>
      </w:r>
    </w:p>
    <w:p>
      <w:pPr>
        <w:spacing w:after="0" w:line="73" w:lineRule="exact"/>
        <w:rPr>
          <w:sz w:val="20"/>
          <w:szCs w:val="20"/>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United States person;</w:t>
      </w:r>
    </w:p>
    <w:p>
      <w:pPr>
        <w:spacing w:after="0" w:line="117"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foreign person that derives 50% or more of its gross income for certain periods from the conduct of a trade or business in the United States;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 or</w:t>
      </w:r>
    </w:p>
    <w:p>
      <w:pPr>
        <w:spacing w:after="0" w:line="117" w:lineRule="exact"/>
        <w:rPr>
          <w:rFonts w:ascii="Arial" w:cs="Arial" w:eastAsia="Arial" w:hAnsi="Arial"/>
          <w:sz w:val="18"/>
          <w:szCs w:val="18"/>
          <w:color w:val="auto"/>
        </w:rPr>
      </w:pPr>
    </w:p>
    <w:p>
      <w:pPr>
        <w:ind w:left="1300" w:right="400" w:hanging="202"/>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foreign partnership that, at any time during its taxable year, has more than 50% of its income or capital interests owned by United States persons or is engaged in the conduct of a U.S. trade or business.</w:t>
      </w:r>
    </w:p>
    <w:p>
      <w:pPr>
        <w:spacing w:after="0" w:line="76" w:lineRule="exact"/>
        <w:rPr>
          <w:sz w:val="20"/>
          <w:szCs w:val="20"/>
          <w:color w:val="auto"/>
        </w:rPr>
      </w:pPr>
    </w:p>
    <w:p>
      <w:pPr>
        <w:ind w:left="700" w:right="460" w:firstLine="397"/>
        <w:spacing w:after="0" w:line="342" w:lineRule="auto"/>
        <w:rPr>
          <w:sz w:val="20"/>
          <w:szCs w:val="20"/>
          <w:color w:val="auto"/>
        </w:rPr>
      </w:pPr>
      <w:r>
        <w:rPr>
          <w:rFonts w:ascii="Arial" w:cs="Arial" w:eastAsia="Arial" w:hAnsi="Arial"/>
          <w:sz w:val="16"/>
          <w:szCs w:val="16"/>
          <w:color w:val="auto"/>
        </w:rPr>
        <w:t>Any amount withheld from payments to a Non-U.S. Holder under the backup withholding rules may be credited against such holder’s U.S. federal income tax liability, if any, and any excess may be refundable if the proper information is provided to the IRS.</w:t>
      </w:r>
    </w:p>
    <w:p>
      <w:pPr>
        <w:spacing w:after="0" w:line="31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UNDERWRITING</w:t>
      </w:r>
    </w:p>
    <w:p>
      <w:pPr>
        <w:spacing w:after="0" w:line="108"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7"/>
          <w:szCs w:val="17"/>
          <w:color w:val="auto"/>
        </w:rPr>
        <w:t>Subject to the terms and conditions set forth in an underwriting agreement, dated the date of this prospectus supplement, between us and the underwriters named below, we have agreed to sell to each of the underwriters, and the underwriters have agreed, severally and not jointly, to purchase, the principal amount of the Notes set forth opposite their respective names below:</w:t>
      </w:r>
    </w:p>
    <w:p>
      <w:pPr>
        <w:spacing w:after="0" w:line="36"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854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280" w:type="dxa"/>
            <w:vAlign w:val="bottom"/>
            <w:gridSpan w:val="2"/>
            <w:shd w:val="clear" w:color="auto" w:fill="CCEEFF"/>
          </w:tcPr>
          <w:p>
            <w:pPr>
              <w:jc w:val="right"/>
              <w:ind w:right="1107"/>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gridSpan w:val="2"/>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60" w:type="dxa"/>
            <w:vAlign w:val="bottom"/>
          </w:tcPr>
          <w:p>
            <w:pPr>
              <w:ind w:left="840"/>
              <w:spacing w:after="0"/>
              <w:rPr>
                <w:sz w:val="20"/>
                <w:szCs w:val="20"/>
                <w:color w:val="auto"/>
              </w:rPr>
            </w:pPr>
            <w:r>
              <w:rPr>
                <w:rFonts w:ascii="Arial" w:cs="Arial" w:eastAsia="Arial" w:hAnsi="Arial"/>
                <w:sz w:val="18"/>
                <w:szCs w:val="18"/>
                <w:color w:val="auto"/>
              </w:rPr>
              <w:t>Incorporated</w:t>
            </w: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DnB NOR Markets, Inc.</w:t>
            </w:r>
          </w:p>
        </w:tc>
        <w:tc>
          <w:tcPr>
            <w:tcW w:w="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60" w:type="dxa"/>
            <w:vAlign w:val="bottom"/>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0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Notes included in this offering are subject to approval of legal matters by counsel and to other conditions. Under the terms of the underwriting agreement, the underwriters are committed to purchase all of the Notes if any are purchased.</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Commissions and discounts</w:t>
      </w:r>
    </w:p>
    <w:p>
      <w:pPr>
        <w:spacing w:after="0" w:line="135"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The underwriters propose initially to offer the Notes to the public at the public offering price set forth on the cover page of this prospectus supplement and may offer the Notes to certain dealers at such price less a concession not in excess of % of the principal amount of the Notes. The underwriters may allow a discount not in excess of % of the principal amount of the Notes on sales to certain other brokers and dealers. After this initial public offering, the public offering price, concession and discount may be changed.</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summarizes the compensation to be paid by us to the underwriters.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8200" w:type="dxa"/>
            <w:vAlign w:val="bottom"/>
          </w:tcPr>
          <w:p>
            <w:pPr>
              <w:spacing w:after="0"/>
              <w:rPr>
                <w:sz w:val="14"/>
                <w:szCs w:val="14"/>
                <w:color w:val="auto"/>
              </w:rPr>
            </w:pPr>
          </w:p>
        </w:tc>
        <w:tc>
          <w:tcPr>
            <w:tcW w:w="8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Per Note</w:t>
            </w:r>
          </w:p>
        </w:tc>
        <w:tc>
          <w:tcPr>
            <w:tcW w:w="300" w:type="dxa"/>
            <w:vAlign w:val="bottom"/>
          </w:tcPr>
          <w:p>
            <w:pPr>
              <w:spacing w:after="0"/>
              <w:rPr>
                <w:sz w:val="14"/>
                <w:szCs w:val="14"/>
                <w:color w:val="auto"/>
              </w:rPr>
            </w:pPr>
          </w:p>
        </w:tc>
        <w:tc>
          <w:tcPr>
            <w:tcW w:w="6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Total</w:t>
            </w:r>
          </w:p>
        </w:tc>
      </w:tr>
      <w:tr>
        <w:trPr>
          <w:trHeight w:val="264"/>
        </w:trPr>
        <w:tc>
          <w:tcPr>
            <w:tcW w:w="8200" w:type="dxa"/>
            <w:vAlign w:val="bottom"/>
          </w:tcPr>
          <w:p>
            <w:pPr>
              <w:spacing w:after="0"/>
              <w:rPr>
                <w:sz w:val="20"/>
                <w:szCs w:val="20"/>
                <w:color w:val="auto"/>
              </w:rPr>
            </w:pPr>
            <w:r>
              <w:rPr>
                <w:rFonts w:ascii="Arial" w:cs="Arial" w:eastAsia="Arial" w:hAnsi="Arial"/>
                <w:sz w:val="18"/>
                <w:szCs w:val="18"/>
                <w:color w:val="auto"/>
              </w:rPr>
              <w:t>Underwriting discount paid by us</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0"/>
        </w:trPr>
        <w:tc>
          <w:tcPr>
            <w:tcW w:w="8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660" w:firstLine="397"/>
        <w:spacing w:after="0" w:line="277"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 .</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New issue of Notes</w:t>
      </w:r>
    </w:p>
    <w:p>
      <w:pPr>
        <w:spacing w:after="0" w:line="135"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We do not intend to apply for listing of the Notes on a national securities exchange. We have been advised by the underwriters that the underwriters intend to make a market in the Notes but are not obligated to do so and may discontinue market making at any time without notice. No assurance can be given as to whether or not a trading market for the Notes will develop or as to the liquidity of any trading market for the Notes which may develop.</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Stabilization and short positions</w:t>
      </w:r>
    </w:p>
    <w:p>
      <w:pPr>
        <w:spacing w:after="0" w:line="135" w:lineRule="exact"/>
        <w:rPr>
          <w:sz w:val="20"/>
          <w:szCs w:val="20"/>
          <w:color w:val="auto"/>
        </w:rPr>
      </w:pPr>
    </w:p>
    <w:p>
      <w:pPr>
        <w:ind w:left="700" w:right="20" w:firstLine="397"/>
        <w:spacing w:after="0" w:line="288" w:lineRule="auto"/>
        <w:rPr>
          <w:sz w:val="20"/>
          <w:szCs w:val="20"/>
          <w:color w:val="auto"/>
        </w:rPr>
      </w:pPr>
      <w:r>
        <w:rPr>
          <w:rFonts w:ascii="Arial" w:cs="Arial" w:eastAsia="Arial" w:hAnsi="Arial"/>
          <w:sz w:val="16"/>
          <w:szCs w:val="16"/>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 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34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Settlement</w:t>
      </w:r>
    </w:p>
    <w:p>
      <w:pPr>
        <w:spacing w:after="0" w:line="135"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We expect delivery of the notes will be made against payment therefor on or about January , 2011, which is the seventh business day following the date of pricing of the notes (such settlement being referred to as “T+7”). Under Rule 15c6-1 of the Securities Exchange Act of 1934, trades in the secondary market generally are required to settle in three business days unless the parties to any such trade expressly agree otherwise. Accordingly, purchasers who wish to trade the notes on the date of pricing of the notes or the next succeeding three business days will be required, by virtue of the fact that the notes initially will settle in T+7, to specify an alternate settlement cycle at the time of any such trade to prevent failed settlement and should consult their own advisers.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Selling restrictions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31"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Notes may not be made to the public in that Relevant Member State prior to the publication of a prospectus in relation to the Notes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Notes may be made to the public in that Relevant Member State at any time:</w:t>
      </w:r>
    </w:p>
    <w:p>
      <w:pPr>
        <w:spacing w:after="0" w:line="83" w:lineRule="exact"/>
        <w:rPr>
          <w:sz w:val="20"/>
          <w:szCs w:val="20"/>
          <w:color w:val="auto"/>
        </w:rPr>
      </w:pPr>
    </w:p>
    <w:p>
      <w:pPr>
        <w:ind w:left="1300" w:right="280" w:hanging="202"/>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legal entities that are authorized or regulated to operate in the financial markets or, if not so authorized or regulated, whose corporate purpose is solely to invest in securities;</w:t>
      </w:r>
    </w:p>
    <w:p>
      <w:pPr>
        <w:spacing w:after="0" w:line="62" w:lineRule="exact"/>
        <w:rPr>
          <w:rFonts w:ascii="Arial" w:cs="Arial" w:eastAsia="Arial" w:hAnsi="Arial"/>
          <w:sz w:val="18"/>
          <w:szCs w:val="18"/>
          <w:color w:val="auto"/>
        </w:rPr>
      </w:pPr>
    </w:p>
    <w:p>
      <w:pPr>
        <w:ind w:left="1300" w:right="40" w:hanging="202"/>
        <w:spacing w:after="0" w:line="26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any legal entity that has two or more of (1) an average of at least 250 employees during the last financial year; (2) a total balance sheet of more than €43,000,000 and (3) an annual net turnover of more than €100,000,000, as shown in its last annual or consolidated accounts;</w:t>
      </w:r>
    </w:p>
    <w:p>
      <w:pPr>
        <w:spacing w:after="0" w:line="73" w:lineRule="exact"/>
        <w:rPr>
          <w:rFonts w:ascii="Arial" w:cs="Arial" w:eastAsia="Arial" w:hAnsi="Arial"/>
          <w:sz w:val="18"/>
          <w:szCs w:val="18"/>
          <w:color w:val="auto"/>
        </w:rPr>
      </w:pPr>
    </w:p>
    <w:p>
      <w:pPr>
        <w:ind w:left="1300" w:right="520" w:hanging="202"/>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for any such offer; or</w:t>
      </w:r>
    </w:p>
    <w:p>
      <w:pPr>
        <w:spacing w:after="0" w:line="62" w:lineRule="exact"/>
        <w:rPr>
          <w:rFonts w:ascii="Arial" w:cs="Arial" w:eastAsia="Arial" w:hAnsi="Arial"/>
          <w:sz w:val="18"/>
          <w:szCs w:val="18"/>
          <w:color w:val="auto"/>
        </w:rPr>
      </w:pPr>
    </w:p>
    <w:p>
      <w:pPr>
        <w:ind w:left="1300" w:right="500" w:hanging="202"/>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by us of a prospectus pursuant to Article 3 of the Prospectus Directive.</w:t>
      </w:r>
    </w:p>
    <w:p>
      <w:pPr>
        <w:spacing w:after="0" w:line="76"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For the purposes of this provision, the expression an “offer of Notes to the public” in relation to any Notes in any Relevant Member State means the communication in any form and by any means of sufficient information on the terms of the offer and the Notes, so as to enable an investor to decide to purchase or subscribe the Notes,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United Kingdom</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respect the United Kingdom, the underwriters:</w:t>
      </w:r>
    </w:p>
    <w:p>
      <w:pPr>
        <w:spacing w:after="0" w:line="131" w:lineRule="exact"/>
        <w:rPr>
          <w:sz w:val="20"/>
          <w:szCs w:val="20"/>
          <w:color w:val="auto"/>
        </w:rPr>
      </w:pPr>
    </w:p>
    <w:p>
      <w:pPr>
        <w:ind w:left="1300" w:right="40" w:hanging="202"/>
        <w:spacing w:after="0" w:line="286" w:lineRule="auto"/>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may only communicate or cause to be communicated any invitation or inducement to engage in investment activity (within the meaning of Section 21 of the Financial Services and Markets Act 2000 (“FSMA”)) received by it in connection with the issue or sale of the Notes in circumstances in which Section 21(1) of the FSMA does not apply to us; and</w:t>
      </w:r>
    </w:p>
    <w:p>
      <w:pPr>
        <w:spacing w:after="0" w:line="57" w:lineRule="exact"/>
        <w:rPr>
          <w:rFonts w:ascii="Arial" w:cs="Arial" w:eastAsia="Arial" w:hAnsi="Arial"/>
          <w:sz w:val="17"/>
          <w:szCs w:val="17"/>
          <w:color w:val="auto"/>
        </w:rPr>
      </w:pPr>
    </w:p>
    <w:p>
      <w:pPr>
        <w:ind w:left="1300" w:right="140" w:hanging="202"/>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must comply with all applicable provisions of the FSMA with respect to anything done by it in relation to the Notes in, from or otherwise involving the United Kingdom.</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Conflicts of interest</w:t>
      </w:r>
    </w:p>
    <w:p>
      <w:pPr>
        <w:spacing w:after="0" w:line="135"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underwriters and their respective affiliates have, from time to time, performed, and may in the future perform, various financial advisory, commercial banking and investment banking services for us and our affiliates, for which they received or will receive customary fees and expense reimbursement. Affiliates of</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6" w:lineRule="auto"/>
        <w:rPr>
          <w:sz w:val="20"/>
          <w:szCs w:val="20"/>
          <w:color w:val="auto"/>
        </w:rPr>
      </w:pPr>
      <w:r>
        <w:rPr>
          <w:rFonts w:ascii="Arial" w:cs="Arial" w:eastAsia="Arial" w:hAnsi="Arial"/>
          <w:sz w:val="17"/>
          <w:szCs w:val="17"/>
          <w:color w:val="auto"/>
        </w:rPr>
        <w:t>each of the underwriters are lenders under our credit facilities. These affiliates may receive their respective share of any repayment by us of amounts outstanding under our credit facilities from the proceeds of this offering. Each of the underwriters whose affiliates will receive at least 5% of the net proceeds is considered by the Financial Industry Regulatory Authority, Inc. to have a conflict of interest with us in regards to this offering. However, the appointment of a qualified independent underwriter is not necessary in connection with the offering because the offering is of a class of securities that are investment grade rated.</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Indemnification</w:t>
      </w:r>
    </w:p>
    <w:p>
      <w:pPr>
        <w:spacing w:after="0" w:line="135" w:lineRule="exact"/>
        <w:rPr>
          <w:sz w:val="20"/>
          <w:szCs w:val="20"/>
          <w:color w:val="auto"/>
        </w:rPr>
      </w:pPr>
    </w:p>
    <w:p>
      <w:pPr>
        <w:ind w:left="700" w:right="620" w:firstLine="397"/>
        <w:spacing w:after="0" w:line="308"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33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Certain legal matters in connection with the Notes being offered hereby will be passed upon for us by Vinson &amp; Elkins L.L.P., Houston, Texas and for the underwriters by Baker Botts L.L.P., Houston, Texas.</w:t>
      </w:r>
    </w:p>
    <w:p>
      <w:pPr>
        <w:spacing w:after="0" w:line="28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2009, have been incorporated in reliance on the report of PricewaterhouseCoopers LLP, an independent registered public accounting firm, given on the authority of said firm as experts in auditing and accounting.</w:t>
      </w:r>
    </w:p>
    <w:p>
      <w:pPr>
        <w:spacing w:after="0" w:line="94"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The balance sheet as of December 31, 2009 of PAA GP LLC incorporated in this prospectus supplement by reference to Plains All American Pipeline, L.P.’s Current Report on Form 8-K filed March 12, 2010, has been so incorporated in reliance on the report of PricewaterhouseCoopers LLP, an independent registered public accounting firm, given on the authority of said firm as experts in auditing and accounting.</w:t>
      </w:r>
    </w:p>
    <w:p>
      <w:pPr>
        <w:spacing w:after="0" w:line="3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are “incorporating by reference” into this prospectus supplement information we file with the SEC. This procedure means that</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can disclose important information to you by referring you to documents filed with the SEC. The information we incorporate by</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reference is part of this prospectus supplement and later information that we file with the SEC will automatically update and supersede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this information. We incorporate by reference the documents listed below and any future filings we make with the SEC under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Sections 13(a), 13(c), 14 or 15(d) of the Exchange Act (excluding any information furnished and not filed pursuant to any Current Report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Form 8-K) until the offering, sale and initial resale of the Notes contemplated by this prospectus supplement are complete:</w:t>
      </w:r>
    </w:p>
    <w:p>
      <w:pPr>
        <w:spacing w:after="0" w:line="128" w:lineRule="exact"/>
        <w:rPr>
          <w:sz w:val="20"/>
          <w:szCs w:val="20"/>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2009;</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2010;</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June 30, 2010;</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September 30, 2010;</w:t>
      </w:r>
    </w:p>
    <w:p>
      <w:pPr>
        <w:spacing w:after="0" w:line="117"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Current Report on Form 8-K filed (other than Items 7.01 and 9.01, which were furnished) with the SEC on February 22, 2010 (board of director changes, compensation arrangements for certain executive officers);</w:t>
      </w:r>
    </w:p>
    <w:p>
      <w:pPr>
        <w:spacing w:after="0" w:line="6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12, 2010 (audited balance sheet of PAA GP LLC as of December 31, 2009);</w:t>
      </w:r>
    </w:p>
    <w:p>
      <w:pPr>
        <w:spacing w:after="0" w:line="62" w:lineRule="exact"/>
        <w:rPr>
          <w:rFonts w:ascii="Arial" w:cs="Arial" w:eastAsia="Arial" w:hAnsi="Arial"/>
          <w:sz w:val="18"/>
          <w:szCs w:val="18"/>
          <w:color w:val="auto"/>
        </w:rPr>
      </w:pPr>
    </w:p>
    <w:p>
      <w:pPr>
        <w:ind w:left="1300" w:right="360" w:hanging="202"/>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June 17, 2010 (unaudited balance sheet of PAA GP LLC as of March 31, 2010);</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13, 2010 (documentation related to debt offering);</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Current Report on Form 8-K filed with the SEC on August 19, 2010 (departure and appointment of certain executive officers);</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Current on Form 8-K filed with the SEC on September 10, 2010 (compensation arrangements for certain executive officers);</w:t>
      </w:r>
    </w:p>
    <w:p>
      <w:pPr>
        <w:spacing w:after="0" w:line="128" w:lineRule="exact"/>
        <w:rPr>
          <w:rFonts w:ascii="Arial" w:cs="Arial" w:eastAsia="Arial" w:hAnsi="Arial"/>
          <w:sz w:val="17"/>
          <w:szCs w:val="17"/>
          <w:color w:val="auto"/>
        </w:rPr>
      </w:pPr>
    </w:p>
    <w:p>
      <w:pPr>
        <w:ind w:left="1300" w:right="860" w:hanging="202"/>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Current Report on Form 8-K filed with the SEC on October 28, 2010 (Second Amendment to Second Restated Credit Agreement);</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920" w:hanging="202"/>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Current Report on Form 8-K filed (other than Item 7.01, which was furnished) with the SEC on November 18, 2010 (documentation relating to equity offering);</w:t>
      </w:r>
    </w:p>
    <w:p>
      <w:pPr>
        <w:spacing w:after="0" w:line="62"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Current Report on Form 8-K filed (other than Item 7.01, which was furnished) with the SEC on December 30, 2010 (general partner ownership changes, board of director changes, and amendments to partnership agreement of Plains AAP, L.P. and limited liability company agreement of Plains All American GP LLC); and</w:t>
      </w:r>
    </w:p>
    <w:p>
      <w:pPr>
        <w:spacing w:after="0" w:line="73" w:lineRule="exact"/>
        <w:rPr>
          <w:rFonts w:ascii="Arial" w:cs="Arial" w:eastAsia="Arial" w:hAnsi="Arial"/>
          <w:sz w:val="18"/>
          <w:szCs w:val="18"/>
          <w:color w:val="auto"/>
        </w:rPr>
      </w:pPr>
    </w:p>
    <w:p>
      <w:pPr>
        <w:jc w:val="both"/>
        <w:ind w:left="1300" w:right="140" w:hanging="202"/>
        <w:spacing w:after="0" w:line="342"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Current Report on Form 8-K filed (other than Item 7.01, which was furnished) with the SEC on December 30, 2010 (entry into definitive agreement for acquisition of Southern Pines Energy Center by PAA Natural Gas Storage, L.P. and related financing).</w:t>
      </w:r>
    </w:p>
    <w:p>
      <w:pPr>
        <w:spacing w:after="0" w:line="29" w:lineRule="exact"/>
        <w:rPr>
          <w:sz w:val="20"/>
          <w:szCs w:val="20"/>
          <w:color w:val="auto"/>
        </w:rPr>
      </w:pPr>
    </w:p>
    <w:p>
      <w:pPr>
        <w:ind w:left="700" w:right="180" w:firstLine="397"/>
        <w:spacing w:after="0" w:line="308" w:lineRule="auto"/>
        <w:rPr>
          <w:sz w:val="20"/>
          <w:szCs w:val="20"/>
          <w:color w:val="auto"/>
        </w:rPr>
      </w:pPr>
      <w:r>
        <w:rPr>
          <w:rFonts w:ascii="Arial" w:cs="Arial" w:eastAsia="Arial" w:hAnsi="Arial"/>
          <w:sz w:val="17"/>
          <w:szCs w:val="17"/>
          <w:color w:val="auto"/>
        </w:rPr>
        <w:t>You may request a copy of these filings (other than any exhibits unless specifically incorporated by reference into this prospectus supplement and the accompanying prospectus) at no cost by making written or telephone requests for copies to:</w:t>
      </w:r>
    </w:p>
    <w:p>
      <w:pPr>
        <w:spacing w:after="0" w:line="160"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Attention: Tim Moore</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Telephone: (713) 646-4100</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Additionally, you may read and copy any materials that we have filed with the SEC at the SEC’s Public Reference Room at</w:t>
      </w:r>
    </w:p>
    <w:p>
      <w:pPr>
        <w:spacing w:after="0" w:line="35"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 xml:space="preserve">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rFonts w:ascii="Arial" w:cs="Arial" w:eastAsia="Arial" w:hAnsi="Arial"/>
          <w:sz w:val="18"/>
          <w:szCs w:val="18"/>
          <w:i w:val="1"/>
          <w:iCs w:val="1"/>
          <w:u w:val="single" w:color="auto"/>
          <w:color w:val="auto"/>
        </w:rPr>
        <w:t>www.sec.gov</w:t>
      </w:r>
      <w:r>
        <w:rPr>
          <w:rFonts w:ascii="Arial" w:cs="Arial" w:eastAsia="Arial" w:hAnsi="Arial"/>
          <w:sz w:val="18"/>
          <w:szCs w:val="18"/>
          <w:u w:val="single" w:color="auto"/>
          <w:color w:val="auto"/>
        </w:rPr>
        <w:t>.</w:t>
      </w:r>
    </w:p>
    <w:p>
      <w:pPr>
        <w:spacing w:after="0" w:line="9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We have not, and the underwriters have not, authorized anyone else to provide you with any information. You should not assume that the information incorporated by reference or provided in this prospectus supplement or the accompanying prospectus is accurate as of any date other than its date.</w:t>
      </w: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14" w:lineRule="exact"/>
        <w:rPr>
          <w:sz w:val="20"/>
          <w:szCs w:val="20"/>
          <w:color w:val="auto"/>
        </w:rPr>
      </w:pPr>
    </w:p>
    <w:p>
      <w:pPr>
        <w:jc w:val="center"/>
        <w:ind w:right="-699"/>
        <w:spacing w:after="0"/>
        <w:rPr>
          <w:sz w:val="20"/>
          <w:szCs w:val="20"/>
          <w:color w:val="auto"/>
        </w:rPr>
      </w:pPr>
      <w:r>
        <w:rPr>
          <w:rFonts w:ascii="Arial" w:cs="Arial" w:eastAsia="Arial" w:hAnsi="Arial"/>
          <w:sz w:val="43"/>
          <w:szCs w:val="43"/>
          <w:b w:val="1"/>
          <w:bCs w:val="1"/>
          <w:color w:val="auto"/>
        </w:rPr>
        <w:t>Plains All American Pipeline, L.P.</w:t>
      </w:r>
    </w:p>
    <w:p>
      <w:pPr>
        <w:spacing w:after="0" w:line="55" w:lineRule="exact"/>
        <w:rPr>
          <w:sz w:val="20"/>
          <w:szCs w:val="20"/>
          <w:color w:val="auto"/>
        </w:rPr>
      </w:pPr>
    </w:p>
    <w:p>
      <w:pPr>
        <w:jc w:val="center"/>
        <w:ind w:right="-699"/>
        <w:spacing w:after="0"/>
        <w:rPr>
          <w:sz w:val="20"/>
          <w:szCs w:val="20"/>
          <w:color w:val="auto"/>
        </w:rPr>
      </w:pPr>
      <w:r>
        <w:rPr>
          <w:rFonts w:ascii="Arial" w:cs="Arial" w:eastAsia="Arial" w:hAnsi="Arial"/>
          <w:sz w:val="43"/>
          <w:szCs w:val="43"/>
          <w:b w:val="1"/>
          <w:bCs w:val="1"/>
          <w:color w:val="auto"/>
        </w:rPr>
        <w:t>PAA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119380</wp:posOffset>
            </wp:positionV>
            <wp:extent cx="11322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80" w:lineRule="exact"/>
        <w:rPr>
          <w:sz w:val="20"/>
          <w:szCs w:val="20"/>
          <w:color w:val="auto"/>
        </w:rPr>
      </w:pPr>
    </w:p>
    <w:p>
      <w:pPr>
        <w:ind w:left="4840"/>
        <w:spacing w:after="0"/>
        <w:rPr>
          <w:sz w:val="20"/>
          <w:szCs w:val="20"/>
          <w:color w:val="auto"/>
        </w:rPr>
      </w:pPr>
      <w:r>
        <w:rPr>
          <w:rFonts w:ascii="Arial" w:cs="Arial" w:eastAsia="Arial" w:hAnsi="Arial"/>
          <w:sz w:val="25"/>
          <w:szCs w:val="25"/>
          <w:b w:val="1"/>
          <w:bCs w:val="1"/>
          <w:color w:val="auto"/>
        </w:rPr>
        <w:t>Common Units</w:t>
      </w:r>
    </w:p>
    <w:p>
      <w:pPr>
        <w:spacing w:after="0" w:line="38" w:lineRule="exact"/>
        <w:rPr>
          <w:sz w:val="20"/>
          <w:szCs w:val="20"/>
          <w:color w:val="auto"/>
        </w:rPr>
      </w:pPr>
    </w:p>
    <w:p>
      <w:pPr>
        <w:ind w:left="4840"/>
        <w:spacing w:after="0"/>
        <w:rPr>
          <w:sz w:val="20"/>
          <w:szCs w:val="20"/>
          <w:color w:val="auto"/>
        </w:rPr>
      </w:pPr>
      <w:r>
        <w:rPr>
          <w:rFonts w:ascii="Arial" w:cs="Arial" w:eastAsia="Arial" w:hAnsi="Arial"/>
          <w:sz w:val="25"/>
          <w:szCs w:val="25"/>
          <w:b w:val="1"/>
          <w:bCs w:val="1"/>
          <w:color w:val="auto"/>
        </w:rPr>
        <w:t>Debt Securities</w:t>
      </w:r>
    </w:p>
    <w:p>
      <w:pPr>
        <w:spacing w:after="0" w:line="112"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We may offer and sell the common units, representing limited partner interests of Plains All American Pipeline, L.P., and, together with PAA Finance Corp., debt securities described in this prospectus from time to time in one or more classes or series and in amounts, at prices and on terms to be determined by market conditions at the time of our offerings. PAA Finance Corp. may act as co-issuer of the debt securities, and other subsidiaries of Plains All American Pipeline, L.P. may guarantee the debt securities.</w:t>
      </w:r>
    </w:p>
    <w:p>
      <w:pPr>
        <w:spacing w:after="0" w:line="60"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81" w:lineRule="exact"/>
        <w:rPr>
          <w:sz w:val="20"/>
          <w:szCs w:val="20"/>
          <w:color w:val="auto"/>
        </w:rPr>
      </w:pPr>
    </w:p>
    <w:p>
      <w:pPr>
        <w:ind w:left="700" w:right="460" w:firstLine="397"/>
        <w:spacing w:after="0" w:line="301" w:lineRule="auto"/>
        <w:rPr>
          <w:sz w:val="20"/>
          <w:szCs w:val="20"/>
          <w:color w:val="auto"/>
        </w:rPr>
      </w:pPr>
      <w:r>
        <w:rPr>
          <w:rFonts w:ascii="Arial" w:cs="Arial" w:eastAsia="Arial" w:hAnsi="Arial"/>
          <w:sz w:val="19"/>
          <w:szCs w:val="19"/>
          <w:b w:val="1"/>
          <w:bCs w:val="1"/>
          <w:color w:val="auto"/>
        </w:rPr>
        <w:t>Investing in our common units and the debt securities involves risks. Limited partnerships are inherently different from corporations. You should carefully consider the risk factors described under “Risk Factors” beginning on page 6 of this prospectus before you make an investment in our securities.</w:t>
      </w:r>
    </w:p>
    <w:p>
      <w:pPr>
        <w:spacing w:after="0" w:line="42" w:lineRule="exact"/>
        <w:rPr>
          <w:sz w:val="20"/>
          <w:szCs w:val="20"/>
          <w:color w:val="auto"/>
        </w:rPr>
      </w:pPr>
    </w:p>
    <w:p>
      <w:pPr>
        <w:ind w:left="700" w:right="500" w:firstLine="397"/>
        <w:spacing w:after="0" w:line="277"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debt securities we may offer.</w:t>
      </w:r>
    </w:p>
    <w:p>
      <w:pPr>
        <w:spacing w:after="0" w:line="72" w:lineRule="exact"/>
        <w:rPr>
          <w:sz w:val="20"/>
          <w:szCs w:val="20"/>
          <w:color w:val="auto"/>
        </w:rPr>
      </w:pPr>
    </w:p>
    <w:p>
      <w:pPr>
        <w:ind w:left="700" w:right="280" w:firstLine="397"/>
        <w:spacing w:after="0" w:line="386"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70"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The date of this prospectus is October 14,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92075</wp:posOffset>
            </wp:positionV>
            <wp:extent cx="11322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322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278765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20"/>
                <w:szCs w:val="20"/>
                <w:color w:val="auto"/>
              </w:rPr>
            </w:pPr>
          </w:p>
        </w:tc>
      </w:tr>
      <w:tr>
        <w:trPr>
          <w:trHeight w:val="419"/>
        </w:trPr>
        <w:tc>
          <w:tcPr>
            <w:tcW w:w="78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780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38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FORWARD-LOOKING STATEMENTS</w:t>
              </w:r>
            </w:hyperlink>
          </w:p>
        </w:tc>
        <w:tc>
          <w:tcPr>
            <w:tcW w:w="4000" w:type="dxa"/>
            <w:vAlign w:val="bottom"/>
            <w:gridSpan w:val="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WHO WE ARE</w:t>
              </w:r>
            </w:hyperlink>
          </w:p>
        </w:tc>
        <w:tc>
          <w:tcPr>
            <w:tcW w:w="1760" w:type="dxa"/>
            <w:vAlign w:val="bottom"/>
            <w:tcBorders>
              <w:top w:val="single" w:sz="8" w:color="0000EE"/>
            </w:tcBorders>
            <w:gridSpan w:val="6"/>
          </w:tcPr>
          <w:p>
            <w:pPr>
              <w:spacing w:after="0"/>
              <w:rPr>
                <w:sz w:val="17"/>
                <w:szCs w:val="17"/>
                <w:color w:val="auto"/>
              </w:rPr>
            </w:pPr>
          </w:p>
        </w:tc>
        <w:tc>
          <w:tcPr>
            <w:tcW w:w="4880" w:type="dxa"/>
            <w:vAlign w:val="bottom"/>
            <w:gridSpan w:val="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800" w:type="dxa"/>
            <w:vAlign w:val="bottom"/>
            <w:gridSpan w:val="1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USE OF PROCEEDS</w:t>
              </w:r>
            </w:hyperlink>
          </w:p>
        </w:tc>
        <w:tc>
          <w:tcPr>
            <w:tcW w:w="6220" w:type="dxa"/>
            <w:vAlign w:val="bottom"/>
            <w:gridSpan w:val="10"/>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50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RATIO OF EARNINGS TO FIXED CHARGES</w:t>
              </w:r>
            </w:hyperlink>
          </w:p>
        </w:tc>
        <w:tc>
          <w:tcPr>
            <w:tcW w:w="4300" w:type="dxa"/>
            <w:vAlign w:val="bottom"/>
            <w:gridSpan w:val="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7800" w:type="dxa"/>
            <w:vAlign w:val="bottom"/>
            <w:gridSpan w:val="1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DESCRIPTION OF OUR DEBT SECURITIES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DESCRIPTION OF OUR COMMON UNITS</w:t>
              </w:r>
            </w:hyperlink>
          </w:p>
        </w:tc>
        <w:tc>
          <w:tcPr>
            <w:tcW w:w="120" w:type="dxa"/>
            <w:vAlign w:val="bottom"/>
            <w:tcBorders>
              <w:top w:val="single" w:sz="8" w:color="0000EE"/>
            </w:tcBorders>
          </w:tcPr>
          <w:p>
            <w:pPr>
              <w:spacing w:after="0"/>
              <w:rPr>
                <w:sz w:val="17"/>
                <w:szCs w:val="17"/>
                <w:color w:val="auto"/>
              </w:rPr>
            </w:pPr>
          </w:p>
        </w:tc>
        <w:tc>
          <w:tcPr>
            <w:tcW w:w="4360" w:type="dxa"/>
            <w:vAlign w:val="bottom"/>
            <w:gridSpan w:val="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48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CASH DISTRIBUTION POLICY</w:t>
              </w:r>
            </w:hyperlink>
          </w:p>
        </w:tc>
        <w:tc>
          <w:tcPr>
            <w:tcW w:w="5320" w:type="dxa"/>
            <w:vAlign w:val="bottom"/>
            <w:gridSpan w:val="8"/>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7800" w:type="dxa"/>
            <w:vAlign w:val="bottom"/>
            <w:gridSpan w:val="1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OUR PARTNERSHIP AGREEMENT</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2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MATERIAL INCOME TAX CONSIDERATIONS</w:t>
              </w:r>
            </w:hyperlink>
          </w:p>
        </w:tc>
        <w:tc>
          <w:tcPr>
            <w:tcW w:w="3560" w:type="dxa"/>
            <w:vAlign w:val="bottom"/>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36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LEGAL MATTERS</w:t>
              </w:r>
            </w:hyperlink>
          </w:p>
        </w:tc>
        <w:tc>
          <w:tcPr>
            <w:tcW w:w="4160" w:type="dxa"/>
            <w:vAlign w:val="bottom"/>
            <w:gridSpan w:val="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4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EXPERTS</w:t>
              </w:r>
            </w:hyperlink>
          </w:p>
        </w:tc>
        <w:tc>
          <w:tcPr>
            <w:tcW w:w="6360" w:type="dxa"/>
            <w:vAlign w:val="bottom"/>
            <w:gridSpan w:val="1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right="20" w:firstLine="397"/>
        <w:spacing w:after="0" w:line="266"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82" w:lineRule="exact"/>
        <w:rPr>
          <w:sz w:val="20"/>
          <w:szCs w:val="20"/>
          <w:color w:val="auto"/>
        </w:rPr>
      </w:pPr>
    </w:p>
    <w:p>
      <w:pPr>
        <w:ind w:right="40" w:firstLine="397"/>
        <w:spacing w:after="0" w:line="281" w:lineRule="auto"/>
        <w:rPr>
          <w:sz w:val="20"/>
          <w:szCs w:val="20"/>
          <w:color w:val="auto"/>
        </w:rPr>
      </w:pPr>
      <w:r>
        <w:rPr>
          <w:rFonts w:ascii="Arial" w:cs="Arial" w:eastAsia="Arial" w:hAnsi="Arial"/>
          <w:sz w:val="17"/>
          <w:szCs w:val="17"/>
          <w:b w:val="1"/>
          <w:bCs w:val="1"/>
          <w:color w:val="auto"/>
        </w:rPr>
        <w:t>You should not assume that the information contained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and prospects may have changed since those dates.</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35" w:lineRule="exact"/>
        <w:rPr>
          <w:sz w:val="20"/>
          <w:szCs w:val="20"/>
          <w:color w:val="auto"/>
        </w:rPr>
      </w:pPr>
    </w:p>
    <w:p>
      <w:pPr>
        <w:ind w:firstLine="397"/>
        <w:spacing w:after="0" w:line="288"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32" w:right="10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right="80" w:firstLine="397"/>
        <w:spacing w:after="0" w:line="312" w:lineRule="auto"/>
        <w:rPr>
          <w:sz w:val="20"/>
          <w:szCs w:val="20"/>
          <w:color w:val="auto"/>
        </w:rPr>
      </w:pPr>
      <w:r>
        <w:rPr>
          <w:rFonts w:ascii="Arial" w:cs="Arial" w:eastAsia="Arial" w:hAnsi="Arial"/>
          <w:sz w:val="16"/>
          <w:szCs w:val="16"/>
          <w:color w:val="auto"/>
        </w:rPr>
        <w:t>We have filed a registration statement with the SEC under the Securities Act of 1933, as amended,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5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http://www.sec.gov. We also make available free of charge on our website, at http://www.paalp.com,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w:t>
      </w:r>
    </w:p>
    <w:p>
      <w:pPr>
        <w:spacing w:after="0" w:line="95"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w:t>
      </w:r>
    </w:p>
    <w:p>
      <w:pPr>
        <w:spacing w:after="0" w:line="72" w:lineRule="exact"/>
        <w:rPr>
          <w:sz w:val="20"/>
          <w:szCs w:val="20"/>
          <w:color w:val="auto"/>
        </w:rPr>
      </w:pPr>
    </w:p>
    <w:p>
      <w:pPr>
        <w:ind w:left="1300" w:hanging="20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2008;</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2009 and June 30, 2009;</w:t>
      </w:r>
    </w:p>
    <w:p>
      <w:pPr>
        <w:spacing w:after="0" w:line="117"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Current Report on Form 8-K filed with the SEC on February 25, 2009 (compensation arrangements for certain of our executive officers);</w:t>
      </w:r>
    </w:p>
    <w:p>
      <w:pPr>
        <w:spacing w:after="0" w:line="62"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12, 2009 (audited balance sheet of PAA GP LLC as of December 31, 2008);</w:t>
      </w:r>
    </w:p>
    <w:p>
      <w:pPr>
        <w:spacing w:after="0" w:line="62"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Current Report on Form 8-K filed (other than Item 7.01, which was furnished) with the SEC on March 18, 2009 (documentation related to equity offering);</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20, 2009 (documentation related to debt offering);</w:t>
      </w:r>
    </w:p>
    <w:p>
      <w:pPr>
        <w:spacing w:after="0" w:line="117" w:lineRule="exact"/>
        <w:rPr>
          <w:rFonts w:ascii="Arial" w:cs="Arial" w:eastAsia="Arial" w:hAnsi="Arial"/>
          <w:sz w:val="18"/>
          <w:szCs w:val="18"/>
          <w:color w:val="auto"/>
        </w:rPr>
      </w:pPr>
    </w:p>
    <w:p>
      <w:pPr>
        <w:ind w:left="1300" w:right="520" w:hanging="202"/>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Current Report on Form 8-K filed (other than Items 7.01 and 9.01, which were furnished) with the SEC on May 22, 2009 (election of Christopher M. Temple to the board of directors of Plains All American GP LLC);</w:t>
      </w:r>
    </w:p>
    <w:p>
      <w:pPr>
        <w:spacing w:after="0" w:line="62" w:lineRule="exact"/>
        <w:rPr>
          <w:rFonts w:ascii="Arial" w:cs="Arial" w:eastAsia="Arial" w:hAnsi="Arial"/>
          <w:sz w:val="18"/>
          <w:szCs w:val="18"/>
          <w:color w:val="auto"/>
        </w:rPr>
      </w:pPr>
    </w:p>
    <w:p>
      <w:pPr>
        <w:ind w:left="1300" w:right="420" w:hanging="202"/>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7, 2009 (unaudited balance sheet of PAA GP LLC as of March 31, 2009);</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23, 2009 (documentation related to debt offering);</w:t>
      </w:r>
    </w:p>
    <w:p>
      <w:pPr>
        <w:spacing w:after="0" w:line="117" w:lineRule="exact"/>
        <w:rPr>
          <w:rFonts w:ascii="Arial" w:cs="Arial" w:eastAsia="Arial" w:hAnsi="Arial"/>
          <w:sz w:val="18"/>
          <w:szCs w:val="18"/>
          <w:color w:val="auto"/>
        </w:rPr>
      </w:pPr>
    </w:p>
    <w:p>
      <w:pPr>
        <w:ind w:left="1300" w:right="340" w:hanging="202"/>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Current Report on Form 8-K filed (other than Items 7.01 and 9.01, which were furnished) with the SEC on August 28, 2009 (unregistered sale of equity securities);</w:t>
      </w:r>
    </w:p>
    <w:p>
      <w:pPr>
        <w:spacing w:after="0" w:line="62"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3, 2009 (amendment of the Limited Partnership Agreement of Plains All American Pipeline, L.P.);</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4, 2009 (documentation related to debt offering);</w:t>
      </w:r>
    </w:p>
    <w:p>
      <w:pPr>
        <w:spacing w:after="0" w:line="117" w:lineRule="exact"/>
        <w:rPr>
          <w:rFonts w:ascii="Arial" w:cs="Arial" w:eastAsia="Arial" w:hAnsi="Arial"/>
          <w:sz w:val="18"/>
          <w:szCs w:val="18"/>
          <w:color w:val="auto"/>
        </w:rPr>
      </w:pPr>
    </w:p>
    <w:p>
      <w:pPr>
        <w:ind w:left="1300" w:right="920" w:hanging="202"/>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Current Report on Form 8-K filed (other than Item 7.01, which was furnished) with the SEC on September 11, 2009 (documentation related to equity offering);</w:t>
      </w:r>
    </w:p>
    <w:p>
      <w:pPr>
        <w:spacing w:after="0" w:line="62" w:lineRule="exact"/>
        <w:rPr>
          <w:rFonts w:ascii="Arial" w:cs="Arial" w:eastAsia="Arial" w:hAnsi="Arial"/>
          <w:sz w:val="18"/>
          <w:szCs w:val="18"/>
          <w:color w:val="auto"/>
        </w:rPr>
      </w:pPr>
    </w:p>
    <w:p>
      <w:pPr>
        <w:ind w:left="1300" w:right="200" w:hanging="202"/>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28, 2009 (audited balance sheet of PAA GP LLC as of June 30, 2009); and</w:t>
      </w:r>
    </w:p>
    <w:p>
      <w:pPr>
        <w:spacing w:after="0" w:line="62" w:lineRule="exact"/>
        <w:rPr>
          <w:rFonts w:ascii="Arial" w:cs="Arial" w:eastAsia="Arial" w:hAnsi="Arial"/>
          <w:sz w:val="18"/>
          <w:szCs w:val="18"/>
          <w:color w:val="auto"/>
        </w:rPr>
      </w:pPr>
    </w:p>
    <w:p>
      <w:pPr>
        <w:ind w:left="1300" w:right="340" w:hanging="202"/>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 and any subsequent amendment thereto filed for the purpose of updating such description.</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w:t>
      </w:r>
    </w:p>
    <w:p>
      <w:pPr>
        <w:spacing w:after="0" w:line="92"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Attention: Tim Moore</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Telephone: (713) 646-4100</w:t>
      </w:r>
    </w:p>
    <w:p>
      <w:pPr>
        <w:spacing w:after="0" w:line="4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83" w:lineRule="exact"/>
        <w:rPr>
          <w:sz w:val="20"/>
          <w:szCs w:val="20"/>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to implement or capitalize on planned internal growth projects;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1300" w:right="280" w:hanging="202"/>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 of our risk management activities;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color w:val="auto"/>
        </w:rPr>
      </w:pPr>
    </w:p>
    <w:p>
      <w:pPr>
        <w:ind w:left="1300" w:right="40" w:hanging="202"/>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abrupt or severe declines or interruptions in outer continental shelf production located offshore California and transported on our pipeline systems;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shortages or cost increases of power supplies, materials or labor;</w:t>
      </w:r>
    </w:p>
    <w:p>
      <w:pPr>
        <w:spacing w:after="0" w:line="117" w:lineRule="exact"/>
        <w:rPr>
          <w:rFonts w:ascii="Arial" w:cs="Arial" w:eastAsia="Arial" w:hAnsi="Arial"/>
          <w:sz w:val="18"/>
          <w:szCs w:val="18"/>
          <w:color w:val="auto"/>
        </w:rPr>
      </w:pPr>
    </w:p>
    <w:p>
      <w:pPr>
        <w:ind w:left="1300" w:hanging="202"/>
        <w:spacing w:after="0" w:line="286" w:lineRule="auto"/>
        <w:tabs>
          <w:tab w:leader="none" w:pos="1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7" w:lineRule="exact"/>
        <w:rPr>
          <w:rFonts w:ascii="Arial" w:cs="Arial" w:eastAsia="Arial" w:hAnsi="Arial"/>
          <w:sz w:val="17"/>
          <w:szCs w:val="17"/>
          <w:color w:val="auto"/>
        </w:rPr>
      </w:pPr>
    </w:p>
    <w:p>
      <w:pPr>
        <w:ind w:left="1300" w:right="20" w:hanging="202"/>
        <w:spacing w:after="0" w:line="342" w:lineRule="auto"/>
        <w:tabs>
          <w:tab w:leader="none" w:pos="1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 w:lineRule="exact"/>
        <w:rPr>
          <w:rFonts w:ascii="Arial" w:cs="Arial" w:eastAsia="Arial" w:hAnsi="Arial"/>
          <w:sz w:val="16"/>
          <w:szCs w:val="16"/>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117" w:lineRule="exact"/>
        <w:rPr>
          <w:rFonts w:ascii="Arial" w:cs="Arial" w:eastAsia="Arial" w:hAnsi="Arial"/>
          <w:sz w:val="18"/>
          <w:szCs w:val="18"/>
          <w:color w:val="auto"/>
        </w:rPr>
      </w:pPr>
    </w:p>
    <w:p>
      <w:pPr>
        <w:ind w:left="1300" w:right="200" w:hanging="202"/>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62"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and volatility (or lack thereof);</w:t>
      </w:r>
    </w:p>
    <w:p>
      <w:pPr>
        <w:spacing w:after="0" w:line="117" w:lineRule="exact"/>
        <w:rPr>
          <w:rFonts w:ascii="Arial" w:cs="Arial" w:eastAsia="Arial" w:hAnsi="Arial"/>
          <w:sz w:val="18"/>
          <w:szCs w:val="18"/>
          <w:color w:val="auto"/>
        </w:rPr>
      </w:pPr>
    </w:p>
    <w:p>
      <w:pPr>
        <w:ind w:left="1300" w:right="580" w:hanging="202"/>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interruptions in service and fluctuations in tariffs or volumes on third-party pipelines;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1300" w:right="160" w:hanging="202"/>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developments and circumstances at the time distributions are declared;</w:t>
      </w:r>
    </w:p>
    <w:p>
      <w:pPr>
        <w:spacing w:after="0" w:line="117" w:lineRule="exact"/>
        <w:rPr>
          <w:rFonts w:ascii="Arial" w:cs="Arial" w:eastAsia="Arial" w:hAnsi="Arial"/>
          <w:sz w:val="18"/>
          <w:szCs w:val="18"/>
          <w:color w:val="auto"/>
        </w:rPr>
      </w:pPr>
    </w:p>
    <w:p>
      <w:pPr>
        <w:ind w:left="1300" w:right="240" w:hanging="202"/>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deteriorated financial markets, capital constraints and pervasive liquidity concerns; and</w:t>
      </w:r>
    </w:p>
    <w:p>
      <w:pPr>
        <w:spacing w:after="0" w:line="62"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refined products and liquefied petroleum gas and other natural gas related petroleum products.</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Other factors described herein or incorporated by reference, or factors that are unknown or unpredictable, could also have a material adverse effect on future results. Please read “Risk Factors” beginning on page 6 of this prospectus and in Item 1A. “Risk Factors” in our Annual Report on Form 10-K for the year ended December 31, 2008. Except as required by applicable securities laws, we do not intend to update these forward-looking statements and information.</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WHO WE ARE</w:t>
      </w:r>
    </w:p>
    <w:p>
      <w:pPr>
        <w:spacing w:after="0" w:line="135"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We are a Delaware limited partnership formed in September 1998. Our operations are conducted directly and indirectly through our primary operating subsidiaries. We are engaged in the transportation, storage, terminalling and marketing of crude oil, refined products and liquefied petroleum gas and other natural gas-related petroleum products. We have an extensive network of pipeline transportation, terminalling, storage and gathering assets in key oil-producing basins and transportation corridors, and at major market hubs in the United States and Canada. We are also engaged in the development and operation of natural gas storage facilities.</w:t>
      </w:r>
    </w:p>
    <w:p>
      <w:pPr>
        <w:spacing w:after="0" w:line="64"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PAA Finance Corp.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w:t>
      </w:r>
    </w:p>
    <w:p>
      <w:pPr>
        <w:spacing w:after="0" w:line="87"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w:t>
      </w:r>
    </w:p>
    <w:p>
      <w:pPr>
        <w:spacing w:after="0" w:line="87" w:lineRule="exact"/>
        <w:rPr>
          <w:sz w:val="20"/>
          <w:szCs w:val="20"/>
          <w:color w:val="auto"/>
        </w:rPr>
      </w:pPr>
    </w:p>
    <w:p>
      <w:pPr>
        <w:ind w:left="700" w:right="1100" w:firstLine="397"/>
        <w:spacing w:after="0" w:line="277" w:lineRule="auto"/>
        <w:rPr>
          <w:sz w:val="20"/>
          <w:szCs w:val="20"/>
          <w:color w:val="auto"/>
        </w:rPr>
      </w:pPr>
      <w:r>
        <w:rPr>
          <w:rFonts w:ascii="Arial" w:cs="Arial" w:eastAsia="Arial" w:hAnsi="Arial"/>
          <w:sz w:val="18"/>
          <w:szCs w:val="18"/>
          <w:color w:val="auto"/>
        </w:rPr>
        <w:t>Our executive offices are located at 333 Clay Street, Suite 1600, Houston, Texas 77002 and our telephone number is (713) 646-4100.</w:t>
      </w:r>
    </w:p>
    <w:p>
      <w:pPr>
        <w:spacing w:after="0" w:line="76"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For additional information as to our business, properties and financial condition please refer to the documents cited in “Where You Can Find More Information.”</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year ended December 31, 2008,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the acquisition of businesses and other capital expenditures and additions to working capital.</w:t>
      </w:r>
    </w:p>
    <w:p>
      <w:pPr>
        <w:spacing w:after="0" w:line="87"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The following table sets forth our historical consolidated ratio of earnings to fixed charges for the periods indicated.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that portion of rental expense on operating leases deemed to be the equivalent of interest.</w:t>
      </w:r>
    </w:p>
    <w:p>
      <w:pPr>
        <w:spacing w:after="0" w:line="59"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18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89"/>
              </w:rPr>
              <w:t>Six Months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18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85"/>
              </w:rPr>
              <w:t>Ended</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10"/>
            <w:vMerge w:val="restart"/>
          </w:tcPr>
          <w:p>
            <w:pPr>
              <w:jc w:val="center"/>
              <w:ind w:right="120"/>
              <w:spacing w:after="0"/>
              <w:rPr>
                <w:sz w:val="20"/>
                <w:szCs w:val="20"/>
                <w:color w:val="auto"/>
              </w:rPr>
            </w:pPr>
            <w:r>
              <w:rPr>
                <w:rFonts w:ascii="Arial" w:cs="Arial" w:eastAsia="Arial" w:hAnsi="Arial"/>
                <w:sz w:val="13"/>
                <w:szCs w:val="13"/>
                <w:b w:val="1"/>
                <w:bCs w:val="1"/>
                <w:color w:val="auto"/>
                <w:w w:val="87"/>
              </w:rPr>
              <w:t>Year Ended December 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180" w:type="dxa"/>
            <w:vAlign w:val="bottom"/>
            <w:gridSpan w:val="4"/>
          </w:tcPr>
          <w:p>
            <w:pPr>
              <w:jc w:val="center"/>
              <w:ind w:right="280"/>
              <w:spacing w:after="0" w:line="140" w:lineRule="exact"/>
              <w:rPr>
                <w:sz w:val="20"/>
                <w:szCs w:val="20"/>
                <w:color w:val="auto"/>
              </w:rPr>
            </w:pPr>
            <w:r>
              <w:rPr>
                <w:rFonts w:ascii="Arial" w:cs="Arial" w:eastAsia="Arial" w:hAnsi="Arial"/>
                <w:sz w:val="13"/>
                <w:szCs w:val="13"/>
                <w:b w:val="1"/>
                <w:bCs w:val="1"/>
                <w:color w:val="auto"/>
                <w:w w:val="88"/>
              </w:rPr>
              <w:t>June 30,</w:t>
            </w: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10"/>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620" w:type="dxa"/>
            <w:vAlign w:val="bottom"/>
            <w:tcBorders>
              <w:bottom w:val="single" w:sz="8" w:color="auto"/>
            </w:tcBorders>
            <w:gridSpan w:val="2"/>
          </w:tcPr>
          <w:p>
            <w:pPr>
              <w:jc w:val="center"/>
              <w:ind w:left="217"/>
              <w:spacing w:after="0" w:line="129" w:lineRule="exact"/>
              <w:rPr>
                <w:sz w:val="20"/>
                <w:szCs w:val="20"/>
                <w:color w:val="auto"/>
              </w:rPr>
            </w:pPr>
            <w:r>
              <w:rPr>
                <w:rFonts w:ascii="Arial" w:cs="Arial" w:eastAsia="Arial" w:hAnsi="Arial"/>
                <w:sz w:val="13"/>
                <w:szCs w:val="13"/>
                <w:b w:val="1"/>
                <w:bCs w:val="1"/>
                <w:color w:val="auto"/>
                <w:w w:val="89"/>
              </w:rPr>
              <w:t>2009</w:t>
            </w:r>
          </w:p>
        </w:tc>
        <w:tc>
          <w:tcPr>
            <w:tcW w:w="3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2008</w:t>
            </w: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2007</w:t>
            </w: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2006</w:t>
            </w: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2005</w:t>
            </w: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2004</w:t>
            </w: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spacing w:after="0"/>
              <w:rPr>
                <w:sz w:val="20"/>
                <w:szCs w:val="20"/>
                <w:color w:val="auto"/>
              </w:rPr>
            </w:pPr>
            <w:r>
              <w:rPr>
                <w:rFonts w:ascii="Arial" w:cs="Arial" w:eastAsia="Arial" w:hAnsi="Arial"/>
                <w:sz w:val="18"/>
                <w:szCs w:val="18"/>
                <w:color w:val="auto"/>
              </w:rPr>
              <w:t>Ratio of Earnings to Fixed Charges(1)</w:t>
            </w:r>
          </w:p>
        </w:tc>
        <w:tc>
          <w:tcPr>
            <w:tcW w:w="30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3.55x</w:t>
            </w:r>
          </w:p>
        </w:tc>
        <w:tc>
          <w:tcPr>
            <w:tcW w:w="80" w:type="dxa"/>
            <w:vAlign w:val="bottom"/>
          </w:tcPr>
          <w:p>
            <w:pPr>
              <w:spacing w:after="0"/>
              <w:rPr>
                <w:sz w:val="22"/>
                <w:szCs w:val="22"/>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w w:val="86"/>
              </w:rPr>
              <w:t>2.60x</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w w:val="90"/>
              </w:rPr>
              <w:t>2.45x</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w w:val="86"/>
              </w:rPr>
              <w:t>2.83x</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w w:val="90"/>
              </w:rPr>
              <w:t>3.34x</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w w:val="86"/>
              </w:rPr>
              <w:t>3.37x</w:t>
            </w:r>
          </w:p>
        </w:tc>
        <w:tc>
          <w:tcPr>
            <w:tcW w:w="0" w:type="dxa"/>
            <w:vAlign w:val="bottom"/>
          </w:tcPr>
          <w:p>
            <w:pPr>
              <w:spacing w:after="0"/>
              <w:rPr>
                <w:sz w:val="1"/>
                <w:szCs w:val="1"/>
                <w:color w:val="auto"/>
              </w:rPr>
            </w:pPr>
          </w:p>
        </w:tc>
      </w:tr>
      <w:tr>
        <w:trPr>
          <w:trHeight w:val="142"/>
        </w:trPr>
        <w:tc>
          <w:tcPr>
            <w:tcW w:w="1280" w:type="dxa"/>
            <w:vAlign w:val="bottom"/>
            <w:tcBorders>
              <w:bottom w:val="single" w:sz="8" w:color="auto"/>
            </w:tcBorders>
          </w:tcPr>
          <w:p>
            <w:pPr>
              <w:spacing w:after="0"/>
              <w:rPr>
                <w:sz w:val="12"/>
                <w:szCs w:val="12"/>
                <w:color w:val="auto"/>
              </w:rPr>
            </w:pPr>
          </w:p>
        </w:tc>
        <w:tc>
          <w:tcPr>
            <w:tcW w:w="3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200" w:hanging="301"/>
        <w:spacing w:after="0" w:line="264"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interest costs attributable to borrowings for inventory stored in a contango market of $5 million, $21 million, $44 million, $49 million, $24 million and $2 million for the six months ended June 30, 2009 and each of the years ended December 31, 2008, 2007, 2006, 2005 and 2004, respectively.</w:t>
      </w: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DESCRIPTION OF OUR DEBT SECURITIES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debt securities will be:</w:t>
      </w:r>
    </w:p>
    <w:p>
      <w:pPr>
        <w:spacing w:after="0" w:line="131" w:lineRule="exact"/>
        <w:rPr>
          <w:sz w:val="20"/>
          <w:szCs w:val="20"/>
          <w:color w:val="auto"/>
        </w:rPr>
      </w:pPr>
    </w:p>
    <w:p>
      <w:pPr>
        <w:ind w:left="1300" w:hanging="20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117" w:lineRule="exact"/>
        <w:rPr>
          <w:rFonts w:ascii="Arial" w:cs="Arial" w:eastAsia="Arial" w:hAnsi="Arial"/>
          <w:sz w:val="18"/>
          <w:szCs w:val="18"/>
          <w:color w:val="auto"/>
        </w:rPr>
      </w:pPr>
    </w:p>
    <w:p>
      <w:pPr>
        <w:ind w:left="1300" w:right="760" w:hanging="202"/>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us, the guarantors and U.S. Bank National Association, as Trustee.</w:t>
      </w:r>
    </w:p>
    <w:p>
      <w:pPr>
        <w:spacing w:after="0" w:line="76"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9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135" w:lineRule="exact"/>
        <w:rPr>
          <w:sz w:val="20"/>
          <w:szCs w:val="20"/>
          <w:color w:val="auto"/>
        </w:rPr>
      </w:pPr>
    </w:p>
    <w:p>
      <w:pPr>
        <w:ind w:left="700" w:right="380" w:firstLine="397"/>
        <w:spacing w:after="0" w:line="308" w:lineRule="auto"/>
        <w:rPr>
          <w:sz w:val="20"/>
          <w:szCs w:val="20"/>
          <w:color w:val="auto"/>
        </w:rPr>
      </w:pPr>
      <w:r>
        <w:rPr>
          <w:rFonts w:ascii="Arial" w:cs="Arial" w:eastAsia="Arial" w:hAnsi="Arial"/>
          <w:sz w:val="17"/>
          <w:szCs w:val="17"/>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52" w:lineRule="exact"/>
        <w:rPr>
          <w:sz w:val="20"/>
          <w:szCs w:val="20"/>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guarantors of the debt securities, if any;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117" w:lineRule="exact"/>
        <w:rPr>
          <w:rFonts w:ascii="Arial" w:cs="Arial" w:eastAsia="Arial" w:hAnsi="Arial"/>
          <w:sz w:val="18"/>
          <w:szCs w:val="18"/>
          <w:color w:val="auto"/>
        </w:rPr>
      </w:pPr>
    </w:p>
    <w:p>
      <w:pPr>
        <w:ind w:left="1300" w:right="140" w:hanging="20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131" w:lineRule="exact"/>
        <w:rPr>
          <w:sz w:val="20"/>
          <w:szCs w:val="20"/>
          <w:color w:val="auto"/>
        </w:rPr>
      </w:pPr>
    </w:p>
    <w:p>
      <w:pPr>
        <w:ind w:left="700" w:right="300" w:firstLine="397"/>
        <w:spacing w:after="0" w:line="279" w:lineRule="auto"/>
        <w:rPr>
          <w:sz w:val="20"/>
          <w:szCs w:val="20"/>
          <w:color w:val="auto"/>
        </w:rPr>
      </w:pPr>
      <w:r>
        <w:rPr>
          <w:rFonts w:ascii="Arial" w:cs="Arial" w:eastAsia="Arial" w:hAnsi="Arial"/>
          <w:sz w:val="17"/>
          <w:szCs w:val="17"/>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Guarantees</w:t>
      </w:r>
    </w:p>
    <w:p>
      <w:pPr>
        <w:spacing w:after="0" w:line="13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If specified in the prospectus supplement respecting a series of debt securities, the subsidiaries of Plains All American Pipeline specified in the prospectus supplement will unconditionally guarantee to each holder and the Trustee, on a joint and several basis, the full and prompt payment of principal of, premium, if any, and interest on the debt securities of that series when and as the same become due and payable, whether at maturity, upon redemption or repurchase, by declaration of acceleration or otherwise. If a series of debt securities is guaranteed, such series will be guaranteed by all of the subsidiaries of Plains All American Pipeline, L.P. other than the non-guarantor subsidiaries. The prospectus supplement will describe any limitation on the maximum amount of any particular guarantee and the conditions under which guarantees may be released.</w:t>
      </w:r>
    </w:p>
    <w:p>
      <w:pPr>
        <w:spacing w:after="0" w:line="83"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guarantees will be general obligations of the guarantors. Guarantees of subordinated debt securities will be subordinated to the Senior Indebtedness of the guarantors on the same basis as the subordinated debt securities are subordinated to the Senior Indebtedness of Plains All American Pipeline.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Consolidation, Merger or Asset Sale</w:t>
      </w:r>
    </w:p>
    <w:p>
      <w:pPr>
        <w:spacing w:after="0" w:line="135" w:lineRule="exact"/>
        <w:rPr>
          <w:sz w:val="20"/>
          <w:szCs w:val="20"/>
          <w:color w:val="auto"/>
        </w:rPr>
      </w:pPr>
    </w:p>
    <w:p>
      <w:pPr>
        <w:jc w:val="both"/>
        <w:ind w:left="700" w:right="20" w:firstLine="397"/>
        <w:spacing w:after="0" w:line="279" w:lineRule="auto"/>
        <w:rPr>
          <w:sz w:val="20"/>
          <w:szCs w:val="20"/>
          <w:color w:val="auto"/>
        </w:rPr>
      </w:pPr>
      <w:r>
        <w:rPr>
          <w:rFonts w:ascii="Arial" w:cs="Arial" w:eastAsia="Arial" w:hAnsi="Arial"/>
          <w:sz w:val="17"/>
          <w:szCs w:val="17"/>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77"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76" w:lineRule="exact"/>
        <w:rPr>
          <w:sz w:val="20"/>
          <w:szCs w:val="20"/>
          <w:color w:val="auto"/>
        </w:rPr>
      </w:pPr>
    </w:p>
    <w:p>
      <w:pPr>
        <w:ind w:left="1300" w:right="260" w:hanging="202"/>
        <w:spacing w:after="0" w:line="286" w:lineRule="auto"/>
        <w:tabs>
          <w:tab w:leader="none" w:pos="1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7" w:lineRule="exact"/>
        <w:rPr>
          <w:rFonts w:ascii="Arial" w:cs="Arial" w:eastAsia="Arial" w:hAnsi="Arial"/>
          <w:sz w:val="17"/>
          <w:szCs w:val="17"/>
          <w:color w:val="auto"/>
        </w:rPr>
      </w:pPr>
    </w:p>
    <w:p>
      <w:pPr>
        <w:ind w:left="1300" w:hanging="20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117" w:lineRule="exact"/>
        <w:rPr>
          <w:rFonts w:ascii="Arial" w:cs="Arial" w:eastAsia="Arial" w:hAnsi="Arial"/>
          <w:sz w:val="18"/>
          <w:szCs w:val="18"/>
          <w:color w:val="auto"/>
        </w:rPr>
      </w:pPr>
    </w:p>
    <w:p>
      <w:pPr>
        <w:ind w:left="1300" w:right="300" w:hanging="202"/>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 Events of Default and Remedies” below) may exist.</w:t>
      </w:r>
    </w:p>
    <w:p>
      <w:pPr>
        <w:spacing w:after="0" w:line="76"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35"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Modification of Indentures</w:t>
      </w:r>
    </w:p>
    <w:p>
      <w:pPr>
        <w:spacing w:after="0" w:line="135" w:lineRule="exact"/>
        <w:rPr>
          <w:sz w:val="20"/>
          <w:szCs w:val="20"/>
          <w:color w:val="auto"/>
        </w:rPr>
      </w:pPr>
    </w:p>
    <w:p>
      <w:pPr>
        <w:ind w:left="700" w:right="200" w:firstLine="397"/>
        <w:spacing w:after="0" w:line="255"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95" w:lineRule="exact"/>
        <w:rPr>
          <w:sz w:val="20"/>
          <w:szCs w:val="20"/>
          <w:color w:val="auto"/>
        </w:rPr>
      </w:pPr>
    </w:p>
    <w:p>
      <w:pPr>
        <w:ind w:left="1300" w:hanging="20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117" w:lineRule="exact"/>
        <w:rPr>
          <w:rFonts w:ascii="Arial" w:cs="Arial" w:eastAsia="Arial" w:hAnsi="Arial"/>
          <w:sz w:val="18"/>
          <w:szCs w:val="18"/>
          <w:color w:val="auto"/>
        </w:rPr>
      </w:pPr>
    </w:p>
    <w:p>
      <w:pPr>
        <w:ind w:left="1300" w:right="340" w:hanging="202"/>
        <w:spacing w:after="0" w:line="308" w:lineRule="auto"/>
        <w:tabs>
          <w:tab w:leader="none" w:pos="1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38" w:lineRule="exact"/>
        <w:rPr>
          <w:rFonts w:ascii="Arial" w:cs="Arial" w:eastAsia="Arial" w:hAnsi="Arial"/>
          <w:sz w:val="17"/>
          <w:szCs w:val="17"/>
          <w:color w:val="auto"/>
        </w:rPr>
      </w:pPr>
    </w:p>
    <w:p>
      <w:pPr>
        <w:ind w:left="1300" w:hanging="20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117"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73"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otherwise permitted under the indenture, release any security that may have been granted with respect to the debt securities;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117"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62"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62"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(except as may be permitted in the case of a particular series of debt securities);</w:t>
      </w:r>
    </w:p>
    <w:p>
      <w:pPr>
        <w:spacing w:after="0" w:line="62"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62" w:lineRule="exact"/>
        <w:rPr>
          <w:rFonts w:ascii="Arial" w:cs="Arial" w:eastAsia="Arial" w:hAnsi="Arial"/>
          <w:sz w:val="18"/>
          <w:szCs w:val="18"/>
          <w:color w:val="auto"/>
        </w:rPr>
      </w:pPr>
    </w:p>
    <w:p>
      <w:pPr>
        <w:ind w:left="1300" w:right="240" w:hanging="202"/>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any change in the preceding amendment, supplement and waiver provisions (except to increase any percentage set forth therein).</w:t>
      </w:r>
    </w:p>
    <w:p>
      <w:pPr>
        <w:spacing w:after="0" w:line="76"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We may supplement or amend an indenture without the consent of any holders of the debt securities in certain circumstances, including:</w:t>
      </w:r>
    </w:p>
    <w:p>
      <w:pPr>
        <w:spacing w:after="0" w:line="76" w:lineRule="exact"/>
        <w:rPr>
          <w:sz w:val="20"/>
          <w:szCs w:val="20"/>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certified notes;</w:t>
      </w:r>
    </w:p>
    <w:p>
      <w:pPr>
        <w:spacing w:after="0" w:line="117" w:lineRule="exact"/>
        <w:rPr>
          <w:rFonts w:ascii="Arial" w:cs="Arial" w:eastAsia="Arial" w:hAnsi="Arial"/>
          <w:sz w:val="18"/>
          <w:szCs w:val="18"/>
          <w:color w:val="auto"/>
        </w:rPr>
      </w:pPr>
    </w:p>
    <w:p>
      <w:pPr>
        <w:ind w:left="1300" w:right="400" w:hanging="202"/>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provide for the assumption of an issuer’s or guarantor’s obligations to holders of debt securities in the case of a merger or consolidation or disposition of all or substantially all of such issuer’s or guarantor’s assets;</w:t>
      </w:r>
    </w:p>
    <w:p>
      <w:pPr>
        <w:spacing w:after="0" w:line="62" w:lineRule="exact"/>
        <w:rPr>
          <w:rFonts w:ascii="Arial" w:cs="Arial" w:eastAsia="Arial" w:hAnsi="Arial"/>
          <w:sz w:val="18"/>
          <w:szCs w:val="18"/>
          <w:color w:val="auto"/>
        </w:rPr>
      </w:pPr>
    </w:p>
    <w:p>
      <w:pPr>
        <w:ind w:left="1300" w:right="300" w:hanging="202"/>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add or release guarantors pursuant to the terms of the indenture;</w:t>
      </w:r>
    </w:p>
    <w:p>
      <w:pPr>
        <w:spacing w:after="0" w:line="117"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62"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secure the debt securities and/or the guarantees.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Events of Default and Remedies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“Event of Default,” when used in an indenture, will mean any of the following with respect to the debt securities of any series:</w:t>
      </w:r>
    </w:p>
    <w:p>
      <w:pPr>
        <w:spacing w:after="0" w:line="142" w:lineRule="exact"/>
        <w:rPr>
          <w:sz w:val="20"/>
          <w:szCs w:val="20"/>
          <w:color w:val="auto"/>
        </w:rPr>
      </w:pPr>
    </w:p>
    <w:p>
      <w:pPr>
        <w:ind w:left="1300" w:hanging="202"/>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failure on the part of the issuers to comply with the covenant described under “— Consolidation, Merger or Asset Sale;”</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failure to perform any other covenant in the indenture that continues for 30 days after written notice is given to the issuers;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131" w:lineRule="exact"/>
        <w:rPr>
          <w:sz w:val="20"/>
          <w:szCs w:val="20"/>
          <w:color w:val="auto"/>
        </w:rPr>
      </w:pPr>
    </w:p>
    <w:p>
      <w:pPr>
        <w:ind w:left="700" w:right="140" w:firstLine="397"/>
        <w:spacing w:after="0" w:line="312" w:lineRule="auto"/>
        <w:rPr>
          <w:sz w:val="20"/>
          <w:szCs w:val="20"/>
          <w:color w:val="auto"/>
        </w:rPr>
      </w:pPr>
      <w:r>
        <w:rPr>
          <w:rFonts w:ascii="Arial" w:cs="Arial" w:eastAsia="Arial" w:hAnsi="Arial"/>
          <w:sz w:val="16"/>
          <w:szCs w:val="16"/>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52"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92"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of conducting any proceeding or any remedy available to the Trustee, or exercising any power conferred upon the Trustee, for that series of debt securities.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135" w:lineRule="exact"/>
        <w:rPr>
          <w:sz w:val="20"/>
          <w:szCs w:val="20"/>
          <w:color w:val="auto"/>
        </w:rPr>
      </w:pPr>
    </w:p>
    <w:p>
      <w:pPr>
        <w:ind w:left="700" w:right="300" w:firstLine="397"/>
        <w:spacing w:after="0" w:line="342" w:lineRule="auto"/>
        <w:rPr>
          <w:sz w:val="20"/>
          <w:szCs w:val="20"/>
          <w:color w:val="auto"/>
        </w:rPr>
      </w:pPr>
      <w:r>
        <w:rPr>
          <w:rFonts w:ascii="Arial" w:cs="Arial" w:eastAsia="Arial" w:hAnsi="Arial"/>
          <w:sz w:val="16"/>
          <w:szCs w:val="16"/>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Registration of Notes</w:t>
      </w:r>
    </w:p>
    <w:p>
      <w:pPr>
        <w:spacing w:after="0" w:line="135" w:lineRule="exact"/>
        <w:rPr>
          <w:sz w:val="20"/>
          <w:szCs w:val="20"/>
          <w:color w:val="auto"/>
        </w:rPr>
      </w:pPr>
    </w:p>
    <w:p>
      <w:pPr>
        <w:ind w:left="700" w:right="480" w:firstLine="397"/>
        <w:spacing w:after="0" w:line="277" w:lineRule="auto"/>
        <w:rPr>
          <w:sz w:val="20"/>
          <w:szCs w:val="20"/>
          <w:color w:val="auto"/>
        </w:rPr>
      </w:pPr>
      <w:r>
        <w:rPr>
          <w:rFonts w:ascii="Arial" w:cs="Arial" w:eastAsia="Arial" w:hAnsi="Arial"/>
          <w:sz w:val="18"/>
          <w:szCs w:val="18"/>
          <w:color w:val="auto"/>
        </w:rPr>
        <w:t>We will issue debt securities of a series only in registered form, without coupons, unless otherwise indicated in the prospectus supplement.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Minimum Denominations</w:t>
      </w:r>
    </w:p>
    <w:p>
      <w:pPr>
        <w:spacing w:after="0" w:line="135"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Personal Liability</w:t>
      </w:r>
    </w:p>
    <w:p>
      <w:pPr>
        <w:spacing w:after="0" w:line="135"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Payment and Transfer</w:t>
      </w:r>
    </w:p>
    <w:p>
      <w:pPr>
        <w:spacing w:after="0" w:line="135" w:lineRule="exact"/>
        <w:rPr>
          <w:sz w:val="20"/>
          <w:szCs w:val="20"/>
          <w:color w:val="auto"/>
        </w:rPr>
      </w:pPr>
    </w:p>
    <w:p>
      <w:pPr>
        <w:ind w:left="700" w:right="480" w:firstLine="397"/>
        <w:spacing w:after="0" w:line="264"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8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92" w:lineRule="exact"/>
        <w:rPr>
          <w:sz w:val="20"/>
          <w:szCs w:val="20"/>
          <w:color w:val="auto"/>
        </w:rPr>
      </w:pPr>
    </w:p>
    <w:p>
      <w:pPr>
        <w:jc w:val="both"/>
        <w:ind w:left="700" w:right="360" w:firstLine="397"/>
        <w:spacing w:after="0" w:line="264"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Exchange, Registration and Transfer</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not be required to:</w:t>
      </w:r>
    </w:p>
    <w:p>
      <w:pPr>
        <w:spacing w:after="0" w:line="131" w:lineRule="exact"/>
        <w:rPr>
          <w:sz w:val="20"/>
          <w:szCs w:val="20"/>
          <w:color w:val="auto"/>
        </w:rPr>
      </w:pPr>
    </w:p>
    <w:p>
      <w:pPr>
        <w:ind w:left="1300" w:right="260" w:hanging="202"/>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close of business on the day of mailing of the relevant notice of redemption or repurchase, or between a record date and the next succeeding interest payment date; or</w:t>
      </w:r>
    </w:p>
    <w:p>
      <w:pPr>
        <w:spacing w:after="0" w:line="76" w:lineRule="exact"/>
        <w:rPr>
          <w:sz w:val="20"/>
          <w:szCs w:val="20"/>
          <w:color w:val="auto"/>
        </w:rPr>
      </w:pPr>
    </w:p>
    <w:p>
      <w:pPr>
        <w:ind w:left="1300" w:right="100" w:hanging="202"/>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131"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131"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76" w:lineRule="exact"/>
        <w:rPr>
          <w:sz w:val="20"/>
          <w:szCs w:val="20"/>
          <w:color w:val="auto"/>
        </w:rPr>
      </w:pPr>
    </w:p>
    <w:p>
      <w:pPr>
        <w:ind w:left="1300" w:hanging="202"/>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117" w:lineRule="exact"/>
        <w:rPr>
          <w:rFonts w:ascii="Arial" w:cs="Arial" w:eastAsia="Arial" w:hAnsi="Arial"/>
          <w:sz w:val="18"/>
          <w:szCs w:val="18"/>
          <w:color w:val="auto"/>
        </w:rPr>
      </w:pPr>
    </w:p>
    <w:p>
      <w:pPr>
        <w:ind w:left="1300" w:right="420" w:hanging="202"/>
        <w:spacing w:after="0" w:line="286" w:lineRule="auto"/>
        <w:tabs>
          <w:tab w:leader="none" w:pos="13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57" w:lineRule="exact"/>
        <w:rPr>
          <w:rFonts w:ascii="Arial" w:cs="Arial" w:eastAsia="Arial" w:hAnsi="Arial"/>
          <w:sz w:val="17"/>
          <w:szCs w:val="17"/>
          <w:color w:val="auto"/>
        </w:rPr>
      </w:pPr>
    </w:p>
    <w:p>
      <w:pPr>
        <w:jc w:val="both"/>
        <w:ind w:left="1300" w:right="180" w:hanging="202"/>
        <w:spacing w:after="0" w:line="264"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131"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 Entry, Delivery and Form</w:t>
      </w:r>
    </w:p>
    <w:p>
      <w:pPr>
        <w:spacing w:after="0" w:line="135"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95"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76"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DTC has provided us the following information: DTC is a limited-purpose trust company organized under the New York Banking Law, a “banking organization” within the meaning of the New York Banking Law, a</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3" w:lineRule="auto"/>
        <w:rPr>
          <w:sz w:val="20"/>
          <w:szCs w:val="20"/>
          <w:color w:val="auto"/>
        </w:rPr>
      </w:pPr>
      <w:r>
        <w:rPr>
          <w:rFonts w:ascii="Arial" w:cs="Arial" w:eastAsia="Arial" w:hAnsi="Arial"/>
          <w:sz w:val="17"/>
          <w:szCs w:val="17"/>
          <w:color w:val="auto"/>
        </w:rPr>
        <w:t>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84"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76"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w:t>
      </w:r>
    </w:p>
    <w:p>
      <w:pPr>
        <w:spacing w:after="0" w:line="76"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6"/>
          <w:szCs w:val="16"/>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52"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83"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76" w:lineRule="exact"/>
        <w:rPr>
          <w:sz w:val="20"/>
          <w:szCs w:val="20"/>
          <w:color w:val="auto"/>
        </w:rPr>
      </w:pPr>
    </w:p>
    <w:p>
      <w:pPr>
        <w:ind w:left="1300" w:right="60" w:hanging="202"/>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135"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Each indenture will be discharged and will cease to be of further effect as to all outstanding debt securities of any series issued thereunder, when:</w:t>
      </w:r>
    </w:p>
    <w:p>
      <w:pPr>
        <w:spacing w:after="0" w:line="76" w:lineRule="exact"/>
        <w:rPr>
          <w:sz w:val="20"/>
          <w:szCs w:val="20"/>
          <w:color w:val="auto"/>
        </w:rPr>
      </w:pPr>
    </w:p>
    <w:p>
      <w:pPr>
        <w:ind w:left="1340" w:hanging="250"/>
        <w:spacing w:after="0"/>
        <w:tabs>
          <w:tab w:leader="none" w:pos="1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080" w:right="100" w:firstLine="391"/>
        <w:spacing w:after="0" w:line="264" w:lineRule="auto"/>
        <w:tabs>
          <w:tab w:leader="none" w:pos="1716"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86" w:lineRule="exact"/>
        <w:rPr>
          <w:rFonts w:ascii="Arial" w:cs="Arial" w:eastAsia="Arial" w:hAnsi="Arial"/>
          <w:sz w:val="18"/>
          <w:szCs w:val="18"/>
          <w:color w:val="auto"/>
        </w:rPr>
      </w:pPr>
    </w:p>
    <w:p>
      <w:pPr>
        <w:ind w:left="1080" w:firstLine="391"/>
        <w:spacing w:after="0" w:line="276" w:lineRule="auto"/>
        <w:tabs>
          <w:tab w:leader="none" w:pos="1716"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spacing w:after="0" w:line="286" w:lineRule="auto"/>
        <w:rPr>
          <w:sz w:val="20"/>
          <w:szCs w:val="20"/>
          <w:color w:val="auto"/>
        </w:rPr>
      </w:pPr>
      <w:r>
        <w:rPr>
          <w:rFonts w:ascii="Arial" w:cs="Arial" w:eastAsia="Arial" w:hAnsi="Arial"/>
          <w:sz w:val="17"/>
          <w:szCs w:val="17"/>
          <w:color w:val="auto"/>
        </w:rPr>
        <w:t>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71" w:lineRule="exact"/>
        <w:rPr>
          <w:sz w:val="20"/>
          <w:szCs w:val="20"/>
          <w:color w:val="auto"/>
        </w:rPr>
      </w:pPr>
    </w:p>
    <w:p>
      <w:pPr>
        <w:ind w:left="1340" w:hanging="250"/>
        <w:spacing w:after="0"/>
        <w:tabs>
          <w:tab w:leader="none" w:pos="1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130" w:lineRule="exact"/>
        <w:rPr>
          <w:rFonts w:ascii="Arial" w:cs="Arial" w:eastAsia="Arial" w:hAnsi="Arial"/>
          <w:sz w:val="18"/>
          <w:szCs w:val="18"/>
          <w:color w:val="auto"/>
        </w:rPr>
      </w:pPr>
    </w:p>
    <w:p>
      <w:pPr>
        <w:ind w:left="700" w:right="600" w:firstLine="390"/>
        <w:spacing w:after="0" w:line="277" w:lineRule="auto"/>
        <w:tabs>
          <w:tab w:leader="none" w:pos="1342"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76" w:lineRule="exact"/>
        <w:rPr>
          <w:sz w:val="20"/>
          <w:szCs w:val="20"/>
          <w:color w:val="auto"/>
        </w:rPr>
      </w:pPr>
    </w:p>
    <w:p>
      <w:pPr>
        <w:ind w:left="700" w:right="540" w:firstLine="397"/>
        <w:spacing w:after="0" w:line="277"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Trustee</w:t>
      </w:r>
    </w:p>
    <w:p>
      <w:pPr>
        <w:spacing w:after="0" w:line="135"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131" w:lineRule="exact"/>
        <w:rPr>
          <w:sz w:val="20"/>
          <w:szCs w:val="20"/>
          <w:color w:val="auto"/>
        </w:rPr>
      </w:pPr>
    </w:p>
    <w:p>
      <w:pPr>
        <w:jc w:val="both"/>
        <w:ind w:left="700" w:firstLine="397"/>
        <w:spacing w:after="0" w:line="259" w:lineRule="auto"/>
        <w:rPr>
          <w:sz w:val="20"/>
          <w:szCs w:val="20"/>
          <w:color w:val="auto"/>
        </w:rPr>
      </w:pPr>
      <w:r>
        <w:rPr>
          <w:rFonts w:ascii="Arial" w:cs="Arial" w:eastAsia="Arial" w:hAnsi="Arial"/>
          <w:sz w:val="18"/>
          <w:szCs w:val="18"/>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92"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131"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Each indenture will limit the right of the Trustee thereunder, in the event that it becomes a creditor of an issuer or guarantor, to obtain payment of claims in certain cases, or to realize on certain property received in respect of any such claim as security or otherwise.</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131"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Governing Law</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DESCRIPTION OF OUR COMMON UNITS</w:t>
      </w:r>
    </w:p>
    <w:p>
      <w:pPr>
        <w:spacing w:after="0" w:line="135"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52"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Our outstanding common units are listed on the NYSE under the symbol “PAA.” Any additional common units we issue will also be listed on the NYSE.</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Meetings/Voting</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Each holder of common units is entitled to one vote for each common unit on all matters submitted to a vote of the unitholders.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135"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Except as described below under “— Limited Liability,” the common units will be fully paid, and unitholders will not be required to make additional capital contributions to us.</w:t>
      </w:r>
    </w:p>
    <w:p>
      <w:pPr>
        <w:spacing w:after="0" w:line="76" w:lineRule="exact"/>
        <w:rPr>
          <w:sz w:val="20"/>
          <w:szCs w:val="20"/>
          <w:color w:val="auto"/>
        </w:rPr>
      </w:pPr>
    </w:p>
    <w:p>
      <w:pPr>
        <w:ind w:left="700" w:right="240" w:firstLine="397"/>
        <w:spacing w:after="0" w:line="279" w:lineRule="auto"/>
        <w:rPr>
          <w:sz w:val="20"/>
          <w:szCs w:val="20"/>
          <w:color w:val="auto"/>
        </w:rPr>
      </w:pPr>
      <w:r>
        <w:rPr>
          <w:rFonts w:ascii="Arial" w:cs="Arial" w:eastAsia="Arial" w:hAnsi="Arial"/>
          <w:sz w:val="17"/>
          <w:szCs w:val="17"/>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77"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Limited Liability</w:t>
      </w:r>
    </w:p>
    <w:p>
      <w:pPr>
        <w:spacing w:after="0" w:line="135"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77" w:lineRule="exact"/>
        <w:rPr>
          <w:sz w:val="20"/>
          <w:szCs w:val="20"/>
          <w:color w:val="auto"/>
        </w:rPr>
      </w:pPr>
    </w:p>
    <w:p>
      <w:pPr>
        <w:ind w:left="700" w:right="100" w:firstLine="397"/>
        <w:spacing w:after="0" w:line="253" w:lineRule="auto"/>
        <w:rPr>
          <w:sz w:val="20"/>
          <w:szCs w:val="20"/>
          <w:color w:val="auto"/>
        </w:rPr>
      </w:pPr>
      <w:r>
        <w:rPr>
          <w:rFonts w:ascii="Arial" w:cs="Arial" w:eastAsia="Arial" w:hAnsi="Arial"/>
          <w:sz w:val="18"/>
          <w:szCs w:val="18"/>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Reports and Records</w:t>
      </w:r>
    </w:p>
    <w:p>
      <w:pPr>
        <w:spacing w:after="0" w:line="135"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As soon as practicable, but in no event later than 120 days after the close of each fiscal year, our general partner will furnish or make available to each unitholder of record (as of a record date selected by our general</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20"/>
        <w:spacing w:after="0" w:line="302" w:lineRule="auto"/>
        <w:rPr>
          <w:sz w:val="20"/>
          <w:szCs w:val="20"/>
          <w:color w:val="auto"/>
        </w:rPr>
      </w:pPr>
      <w:r>
        <w:rPr>
          <w:rFonts w:ascii="Arial" w:cs="Arial" w:eastAsia="Arial" w:hAnsi="Arial"/>
          <w:sz w:val="16"/>
          <w:szCs w:val="16"/>
          <w:color w:val="auto"/>
        </w:rPr>
        <w:t>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60"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94"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76" w:lineRule="exact"/>
        <w:rPr>
          <w:sz w:val="20"/>
          <w:szCs w:val="20"/>
          <w:color w:val="auto"/>
        </w:rPr>
      </w:pPr>
    </w:p>
    <w:p>
      <w:pPr>
        <w:ind w:left="1300" w:hanging="202"/>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117" w:lineRule="exact"/>
        <w:rPr>
          <w:rFonts w:ascii="Arial" w:cs="Arial" w:eastAsia="Arial" w:hAnsi="Arial"/>
          <w:sz w:val="18"/>
          <w:szCs w:val="18"/>
          <w:color w:val="auto"/>
        </w:rPr>
      </w:pPr>
    </w:p>
    <w:p>
      <w:pPr>
        <w:ind w:left="1300" w:right="500" w:hanging="202"/>
        <w:spacing w:after="0" w:line="308" w:lineRule="auto"/>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information as to the amount of cash and a description and statement of the agreed value of any other property or services, contributed or to be contributed by each partner and the date on which each became a partner;</w:t>
      </w:r>
    </w:p>
    <w:p>
      <w:pPr>
        <w:spacing w:after="0" w:line="38" w:lineRule="exact"/>
        <w:rPr>
          <w:rFonts w:ascii="Arial" w:cs="Arial" w:eastAsia="Arial" w:hAnsi="Arial"/>
          <w:sz w:val="17"/>
          <w:szCs w:val="17"/>
          <w:color w:val="auto"/>
        </w:rPr>
      </w:pPr>
    </w:p>
    <w:p>
      <w:pPr>
        <w:ind w:left="1300" w:right="80" w:hanging="202"/>
        <w:spacing w:after="0" w:line="277"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131"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CASH DISTRIBUTION POLICY</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Distributions of Available Cash</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We will distribute to our unitholders, on a quarterly basis, all of our available cash in the manner described below.</w:t>
      </w:r>
    </w:p>
    <w:p>
      <w:pPr>
        <w:spacing w:after="0" w:line="142" w:lineRule="exact"/>
        <w:rPr>
          <w:sz w:val="20"/>
          <w:szCs w:val="20"/>
          <w:color w:val="auto"/>
        </w:rPr>
      </w:pPr>
    </w:p>
    <w:p>
      <w:pPr>
        <w:ind w:left="700" w:firstLine="397"/>
        <w:spacing w:after="0" w:line="342" w:lineRule="auto"/>
        <w:rPr>
          <w:sz w:val="20"/>
          <w:szCs w:val="20"/>
          <w:color w:val="auto"/>
        </w:rPr>
      </w:pPr>
      <w:r>
        <w:rPr>
          <w:rFonts w:ascii="Arial" w:cs="Arial" w:eastAsia="Arial" w:hAnsi="Arial"/>
          <w:sz w:val="16"/>
          <w:szCs w:val="16"/>
          <w:i w:val="1"/>
          <w:iCs w:val="1"/>
          <w:color w:val="auto"/>
        </w:rPr>
        <w:t xml:space="preserve">Definition of Available Cash. </w:t>
      </w:r>
      <w:r>
        <w:rPr>
          <w:rFonts w:ascii="Arial" w:cs="Arial" w:eastAsia="Arial" w:hAnsi="Arial"/>
          <w:sz w:val="16"/>
          <w:szCs w:val="16"/>
          <w:color w:val="auto"/>
        </w:rPr>
        <w:t>Available cash generally means, for any quarter ending prior to liquidation, all cash on hand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end of that quarter less the amount of cash reserves that are necessary or appropriate in the reasonable discretion of the general partner to:</w:t>
      </w:r>
    </w:p>
    <w:p>
      <w:pPr>
        <w:spacing w:after="0" w:line="29" w:lineRule="exact"/>
        <w:rPr>
          <w:sz w:val="20"/>
          <w:szCs w:val="20"/>
          <w:color w:val="auto"/>
        </w:rPr>
      </w:pPr>
    </w:p>
    <w:p>
      <w:pPr>
        <w:ind w:left="1300" w:hanging="202"/>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provide funds for distributions to unitholders and the general partner in respect of any one or more of the next four quarters.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135"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Cash distributions to our unitholders will be characterized as either operating surplus or capital surplus. We distribute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cash from operating surplus differently than available cash from capital surplus. See “— Quarterly Distributions of Available Cash.”</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Definition of Operating Surplus. </w:t>
      </w:r>
      <w:r>
        <w:rPr>
          <w:rFonts w:ascii="Arial" w:cs="Arial" w:eastAsia="Arial" w:hAnsi="Arial"/>
          <w:sz w:val="18"/>
          <w:szCs w:val="18"/>
          <w:color w:val="auto"/>
        </w:rPr>
        <w:t>Operating surplus refers generally to:</w:t>
      </w:r>
    </w:p>
    <w:p>
      <w:pPr>
        <w:spacing w:after="0" w:line="131" w:lineRule="exact"/>
        <w:rPr>
          <w:sz w:val="20"/>
          <w:szCs w:val="20"/>
          <w:color w:val="auto"/>
        </w:rPr>
      </w:pPr>
    </w:p>
    <w:p>
      <w:pPr>
        <w:ind w:left="1300" w:hanging="202"/>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117" w:lineRule="exact"/>
        <w:rPr>
          <w:rFonts w:ascii="Arial" w:cs="Arial" w:eastAsia="Arial" w:hAnsi="Arial"/>
          <w:sz w:val="18"/>
          <w:szCs w:val="18"/>
          <w:color w:val="auto"/>
        </w:rPr>
      </w:pPr>
    </w:p>
    <w:p>
      <w:pPr>
        <w:ind w:left="1300" w:right="640" w:hanging="202"/>
        <w:spacing w:after="0" w:line="264"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Definition of Capital Surplus. </w:t>
      </w:r>
      <w:r>
        <w:rPr>
          <w:rFonts w:ascii="Arial" w:cs="Arial" w:eastAsia="Arial" w:hAnsi="Arial"/>
          <w:sz w:val="18"/>
          <w:szCs w:val="18"/>
          <w:color w:val="auto"/>
        </w:rPr>
        <w:t>Capital surplus will generally be generated only by:</w:t>
      </w:r>
    </w:p>
    <w:p>
      <w:pPr>
        <w:spacing w:after="0" w:line="131" w:lineRule="exact"/>
        <w:rPr>
          <w:sz w:val="20"/>
          <w:szCs w:val="20"/>
          <w:color w:val="auto"/>
        </w:rPr>
      </w:pPr>
    </w:p>
    <w:p>
      <w:pPr>
        <w:ind w:left="1300" w:hanging="20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117"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sales or other dispositions of assets for cash, other than inventory, accounts receivable and other assets in the ordinary course of business.</w:t>
      </w:r>
    </w:p>
    <w:p>
      <w:pPr>
        <w:spacing w:after="0" w:line="76" w:lineRule="exact"/>
        <w:rPr>
          <w:sz w:val="20"/>
          <w:szCs w:val="20"/>
          <w:color w:val="auto"/>
        </w:rPr>
      </w:pPr>
    </w:p>
    <w:p>
      <w:pPr>
        <w:jc w:val="both"/>
        <w:ind w:left="700" w:right="40" w:firstLine="397"/>
        <w:spacing w:after="0" w:line="264"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87" w:lineRule="exact"/>
        <w:rPr>
          <w:sz w:val="20"/>
          <w:szCs w:val="20"/>
          <w:color w:val="auto"/>
        </w:rPr>
      </w:pPr>
    </w:p>
    <w:p>
      <w:pPr>
        <w:ind w:left="700" w:right="340" w:firstLine="397"/>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Incentive Distribution Rights</w:t>
      </w:r>
    </w:p>
    <w:p>
      <w:pPr>
        <w:spacing w:after="0" w:line="135" w:lineRule="exact"/>
        <w:rPr>
          <w:sz w:val="20"/>
          <w:szCs w:val="20"/>
          <w:color w:val="auto"/>
        </w:rPr>
      </w:pPr>
    </w:p>
    <w:p>
      <w:pPr>
        <w:ind w:left="700" w:right="180" w:firstLine="397"/>
        <w:spacing w:after="0" w:line="279" w:lineRule="auto"/>
        <w:rPr>
          <w:sz w:val="20"/>
          <w:szCs w:val="20"/>
          <w:color w:val="auto"/>
        </w:rPr>
      </w:pPr>
      <w:r>
        <w:rPr>
          <w:rFonts w:ascii="Arial" w:cs="Arial" w:eastAsia="Arial" w:hAnsi="Arial"/>
          <w:sz w:val="17"/>
          <w:szCs w:val="17"/>
          <w:color w:val="auto"/>
        </w:rPr>
        <w:t>The 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amounts of available cash from operating surplus distributed above the payments made under the minimum quarterly distribution, if any, and the related 2% distribution to the general partner.</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135"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87"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Distributions From Operating Surplus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131" w:lineRule="exact"/>
        <w:rPr>
          <w:sz w:val="20"/>
          <w:szCs w:val="20"/>
          <w:color w:val="auto"/>
        </w:rPr>
      </w:pPr>
    </w:p>
    <w:p>
      <w:pPr>
        <w:ind w:left="1300" w:right="420" w:hanging="202"/>
        <w:spacing w:after="0" w:line="277"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Thereafter, in the manner described in “— Incentive Distribution Rights” below.</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Incentive Distribution Rights</w:t>
      </w:r>
    </w:p>
    <w:p>
      <w:pPr>
        <w:spacing w:after="0" w:line="135"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87" w:lineRule="exact"/>
        <w:rPr>
          <w:sz w:val="20"/>
          <w:szCs w:val="20"/>
          <w:color w:val="auto"/>
        </w:rPr>
      </w:pPr>
    </w:p>
    <w:p>
      <w:pPr>
        <w:ind w:left="1300" w:right="360" w:hanging="202"/>
        <w:spacing w:after="0" w:line="277"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First, 85% to all unitholders, pro rata, and 15% to the general partner, until each unitholder receives a total of $0.495 for that quarter for each outstanding unit (the “first target distribution”);</w:t>
      </w:r>
    </w:p>
    <w:p>
      <w:pPr>
        <w:spacing w:after="0" w:line="62" w:lineRule="exact"/>
        <w:rPr>
          <w:rFonts w:ascii="Arial" w:cs="Arial" w:eastAsia="Arial" w:hAnsi="Arial"/>
          <w:sz w:val="18"/>
          <w:szCs w:val="18"/>
          <w:color w:val="auto"/>
        </w:rPr>
      </w:pPr>
    </w:p>
    <w:p>
      <w:pPr>
        <w:ind w:left="1300" w:right="160" w:hanging="202"/>
        <w:spacing w:after="0" w:line="277"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Second, 75% to all unitholders, pro rata, and 25% to the general partner, until each unitholder receives a total of $0.675 for that quarter for each outstanding unit (the “second target distribution”);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Thereafter, 50% to all unitholders, pro rata, and 50% to the general partner.</w:t>
      </w:r>
    </w:p>
    <w:p>
      <w:pPr>
        <w:spacing w:after="0" w:line="131" w:lineRule="exact"/>
        <w:rPr>
          <w:sz w:val="20"/>
          <w:szCs w:val="20"/>
          <w:color w:val="auto"/>
        </w:rPr>
      </w:pPr>
    </w:p>
    <w:p>
      <w:pPr>
        <w:ind w:left="700" w:right="260" w:firstLine="397"/>
        <w:spacing w:after="0" w:line="286" w:lineRule="auto"/>
        <w:rPr>
          <w:sz w:val="20"/>
          <w:szCs w:val="20"/>
          <w:color w:val="auto"/>
        </w:rPr>
      </w:pPr>
      <w:r>
        <w:rPr>
          <w:rFonts w:ascii="Arial" w:cs="Arial" w:eastAsia="Arial" w:hAnsi="Arial"/>
          <w:sz w:val="17"/>
          <w:szCs w:val="17"/>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Adjustments to Incentive Distribution Rights</w:t>
      </w:r>
    </w:p>
    <w:p>
      <w:pPr>
        <w:spacing w:after="0" w:line="135" w:lineRule="exact"/>
        <w:rPr>
          <w:sz w:val="20"/>
          <w:szCs w:val="20"/>
          <w:color w:val="auto"/>
        </w:rPr>
      </w:pPr>
    </w:p>
    <w:p>
      <w:pPr>
        <w:ind w:left="700" w:right="260" w:firstLine="397"/>
        <w:spacing w:after="0" w:line="308" w:lineRule="auto"/>
        <w:rPr>
          <w:sz w:val="20"/>
          <w:szCs w:val="20"/>
          <w:color w:val="auto"/>
        </w:rPr>
      </w:pPr>
      <w:r>
        <w:rPr>
          <w:rFonts w:ascii="Arial" w:cs="Arial" w:eastAsia="Arial" w:hAnsi="Arial"/>
          <w:sz w:val="17"/>
          <w:szCs w:val="17"/>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52"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6"/>
          <w:szCs w:val="16"/>
          <w:color w:val="auto"/>
        </w:rPr>
        <w:t>Upon closing of the Pacific and Rainbow acquisitions, our general partner agreed to reduce the amounts due it as incentive distributions. The total reduction in incentive distributions related to these acquisitions will be $75 million. Following our distribution in August 2009, the remaining incentive distribution reductions related to Pacific and Rainbow totaled approximately $21.25 million.</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firstLine="397"/>
        <w:spacing w:after="0" w:line="286" w:lineRule="auto"/>
        <w:rPr>
          <w:sz w:val="20"/>
          <w:szCs w:val="20"/>
          <w:color w:val="auto"/>
        </w:rPr>
      </w:pPr>
      <w:r>
        <w:rPr>
          <w:rFonts w:ascii="Arial" w:cs="Arial" w:eastAsia="Arial" w:hAnsi="Arial"/>
          <w:sz w:val="17"/>
          <w:szCs w:val="17"/>
          <w:color w:val="auto"/>
        </w:rPr>
        <w:t>In connection with our acquisition of the remaining 50% indirect member interest in PAA Natural Gas Storage LLC in September 2009, our general partner agreed to further reduce the amounts due it as incentive distributions by an aggregate of $8 million over the next two years. This reduction will be effective upon our payment of a quarterly distribution of $0.92 per unit.</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Distributions from Capital Surplus</w:t>
      </w:r>
    </w:p>
    <w:p>
      <w:pPr>
        <w:spacing w:after="0" w:line="135"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i w:val="1"/>
          <w:iCs w:val="1"/>
          <w:color w:val="auto"/>
        </w:rPr>
        <w:t xml:space="preserve">How Distributions from Capital Surplus Will Be Made. </w:t>
      </w:r>
      <w:r>
        <w:rPr>
          <w:rFonts w:ascii="Arial" w:cs="Arial" w:eastAsia="Arial" w:hAnsi="Arial"/>
          <w:sz w:val="18"/>
          <w:szCs w:val="18"/>
          <w:color w:val="auto"/>
        </w:rPr>
        <w:t>We will make distributions of available cash from capital surplus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manner:</w:t>
      </w:r>
    </w:p>
    <w:p>
      <w:pPr>
        <w:spacing w:after="0" w:line="76" w:lineRule="exact"/>
        <w:rPr>
          <w:sz w:val="20"/>
          <w:szCs w:val="20"/>
          <w:color w:val="auto"/>
        </w:rPr>
      </w:pPr>
    </w:p>
    <w:p>
      <w:pPr>
        <w:ind w:left="1300" w:right="380" w:hanging="202"/>
        <w:spacing w:after="0" w:line="264"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131"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i w:val="1"/>
          <w:iCs w:val="1"/>
          <w:color w:val="auto"/>
        </w:rPr>
        <w:t xml:space="preserve">Effect of a Distribution from Capital Surplus. </w:t>
      </w:r>
      <w:r>
        <w:rPr>
          <w:rFonts w:ascii="Arial" w:cs="Arial" w:eastAsia="Arial" w:hAnsi="Arial"/>
          <w:sz w:val="18"/>
          <w:szCs w:val="18"/>
          <w:color w:val="auto"/>
        </w:rPr>
        <w:t>Our partnership agreement treats a distribution of available cash from capital surplus</w:t>
      </w:r>
      <w:r>
        <w:rPr>
          <w:rFonts w:ascii="Arial" w:cs="Arial" w:eastAsia="Arial" w:hAnsi="Arial"/>
          <w:sz w:val="18"/>
          <w:szCs w:val="18"/>
          <w:i w:val="1"/>
          <w:iCs w:val="1"/>
          <w:color w:val="auto"/>
        </w:rPr>
        <w:t xml:space="preserve"> </w:t>
      </w:r>
      <w:r>
        <w:rPr>
          <w:rFonts w:ascii="Arial" w:cs="Arial" w:eastAsia="Arial" w:hAnsi="Arial"/>
          <w:sz w:val="18"/>
          <w:szCs w:val="18"/>
          <w:color w:val="auto"/>
        </w:rPr>
        <w:t>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94"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i w:val="1"/>
          <w:iCs w:val="1"/>
          <w:color w:val="auto"/>
        </w:rPr>
        <w:t xml:space="preserve">When Payback Occurs. </w:t>
      </w:r>
      <w:r>
        <w:rPr>
          <w:rFonts w:ascii="Arial" w:cs="Arial" w:eastAsia="Arial" w:hAnsi="Arial"/>
          <w:sz w:val="18"/>
          <w:szCs w:val="18"/>
          <w:color w:val="auto"/>
        </w:rPr>
        <w:t>When “payback” of the reduced initial unit price has occurred, i.e., when the unrecovered capital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units is zero, then</w:t>
      </w:r>
    </w:p>
    <w:p>
      <w:pPr>
        <w:spacing w:after="0" w:line="76" w:lineRule="exact"/>
        <w:rPr>
          <w:sz w:val="20"/>
          <w:szCs w:val="20"/>
          <w:color w:val="auto"/>
        </w:rPr>
      </w:pPr>
    </w:p>
    <w:p>
      <w:pPr>
        <w:ind w:left="1300" w:hanging="20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distributions of available cash will be treated as operating surplus; and</w:t>
      </w:r>
    </w:p>
    <w:p>
      <w:pPr>
        <w:spacing w:after="0" w:line="117" w:lineRule="exact"/>
        <w:rPr>
          <w:rFonts w:ascii="Arial" w:cs="Arial" w:eastAsia="Arial" w:hAnsi="Arial"/>
          <w:sz w:val="18"/>
          <w:szCs w:val="18"/>
          <w:color w:val="auto"/>
        </w:rPr>
      </w:pPr>
    </w:p>
    <w:p>
      <w:pPr>
        <w:ind w:left="1300" w:right="320" w:hanging="202"/>
        <w:spacing w:after="0" w:line="277"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76"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135"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i w:val="1"/>
          <w:iCs w:val="1"/>
          <w:color w:val="auto"/>
        </w:rPr>
        <w:t xml:space="preserve">How We Adjust the Minimum Quarterly Distribution and Target Distribution Levels. </w:t>
      </w:r>
      <w:r>
        <w:rPr>
          <w:rFonts w:ascii="Arial" w:cs="Arial" w:eastAsia="Arial" w:hAnsi="Arial"/>
          <w:sz w:val="18"/>
          <w:szCs w:val="18"/>
          <w:color w:val="auto"/>
        </w:rPr>
        <w:t>In addition to adjusting the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92" w:lineRule="exact"/>
        <w:rPr>
          <w:sz w:val="20"/>
          <w:szCs w:val="20"/>
          <w:color w:val="auto"/>
        </w:rPr>
      </w:pPr>
    </w:p>
    <w:p>
      <w:pPr>
        <w:ind w:left="1300" w:hanging="20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unrecovered capital;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131"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i w:val="1"/>
          <w:iCs w:val="1"/>
          <w:color w:val="auto"/>
        </w:rPr>
        <w:t xml:space="preserve">If We Became Subject to Taxation. </w:t>
      </w:r>
      <w:r>
        <w:rPr>
          <w:rFonts w:ascii="Arial" w:cs="Arial" w:eastAsia="Arial" w:hAnsi="Arial"/>
          <w:sz w:val="18"/>
          <w:szCs w:val="18"/>
          <w:color w:val="auto"/>
        </w:rPr>
        <w:t>If legislation is enacted or if existing law is modified or interpreted by the relevant 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so that we become taxable as a corporation or otherwise subject to taxation as an entity for federal, state or local income tax purposes, we will adjust the minimum quarterly</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distribution and each of the target distribution levels, respectively, to equal the product obtained by multiplying the amount thereof by:</w:t>
      </w:r>
    </w:p>
    <w:p>
      <w:pPr>
        <w:spacing w:after="0" w:line="154" w:lineRule="exact"/>
        <w:rPr>
          <w:sz w:val="20"/>
          <w:szCs w:val="20"/>
          <w:color w:val="auto"/>
        </w:rPr>
      </w:pPr>
    </w:p>
    <w:p>
      <w:pPr>
        <w:ind w:left="1300" w:right="420" w:hanging="202"/>
        <w:spacing w:after="0" w:line="286" w:lineRule="auto"/>
        <w:tabs>
          <w:tab w:leader="none" w:pos="13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71" w:lineRule="exact"/>
        <w:rPr>
          <w:sz w:val="20"/>
          <w:szCs w:val="20"/>
          <w:color w:val="auto"/>
        </w:rPr>
      </w:pPr>
    </w:p>
    <w:p>
      <w:pPr>
        <w:jc w:val="both"/>
        <w:ind w:left="700" w:right="120" w:firstLine="397"/>
        <w:spacing w:after="0" w:line="259" w:lineRule="auto"/>
        <w:rPr>
          <w:sz w:val="20"/>
          <w:szCs w:val="20"/>
          <w:color w:val="auto"/>
        </w:rPr>
      </w:pPr>
      <w:r>
        <w:rPr>
          <w:rFonts w:ascii="Arial" w:cs="Arial" w:eastAsia="Arial" w:hAnsi="Arial"/>
          <w:sz w:val="18"/>
          <w:szCs w:val="18"/>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135"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If we dissolve and liquidate, we will sell our assets or otherwise dispose of our assets and we will adjust the partners’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account balances to 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Manner of Adjustment. </w:t>
      </w:r>
      <w:r>
        <w:rPr>
          <w:rFonts w:ascii="Arial" w:cs="Arial" w:eastAsia="Arial" w:hAnsi="Arial"/>
          <w:sz w:val="18"/>
          <w:szCs w:val="18"/>
          <w:color w:val="auto"/>
        </w:rPr>
        <w:t>If we liquidate, we would allocate any loss to the general partner and each unitholder as follows:</w:t>
      </w:r>
    </w:p>
    <w:p>
      <w:pPr>
        <w:spacing w:after="0" w:line="131" w:lineRule="exact"/>
        <w:rPr>
          <w:sz w:val="20"/>
          <w:szCs w:val="20"/>
          <w:color w:val="auto"/>
        </w:rPr>
      </w:pPr>
    </w:p>
    <w:p>
      <w:pPr>
        <w:ind w:left="1300" w:right="240" w:hanging="202"/>
        <w:spacing w:after="0" w:line="342" w:lineRule="auto"/>
        <w:tabs>
          <w:tab w:leader="none" w:pos="13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15" w:lineRule="exact"/>
        <w:rPr>
          <w:rFonts w:ascii="Arial" w:cs="Arial" w:eastAsia="Arial" w:hAnsi="Arial"/>
          <w:sz w:val="16"/>
          <w:szCs w:val="16"/>
          <w:color w:val="auto"/>
        </w:rPr>
      </w:pPr>
    </w:p>
    <w:p>
      <w:pPr>
        <w:ind w:left="1300" w:hanging="202"/>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Thereafter, 100% to the general partner.</w:t>
      </w:r>
    </w:p>
    <w:p>
      <w:pPr>
        <w:spacing w:after="0" w:line="131"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i w:val="1"/>
          <w:iCs w:val="1"/>
          <w:color w:val="auto"/>
        </w:rPr>
        <w:t xml:space="preserve">Interim Adjustments to Capital Accounts. </w:t>
      </w:r>
      <w:r>
        <w:rPr>
          <w:rFonts w:ascii="Arial" w:cs="Arial" w:eastAsia="Arial" w:hAnsi="Arial"/>
          <w:sz w:val="16"/>
          <w:szCs w:val="16"/>
          <w:color w:val="auto"/>
        </w:rPr>
        <w:t>If we issued additional security interests or made distributions of property, interim</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35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76" w:lineRule="exact"/>
        <w:rPr>
          <w:sz w:val="20"/>
          <w:szCs w:val="20"/>
          <w:color w:val="auto"/>
        </w:rPr>
      </w:pPr>
    </w:p>
    <w:p>
      <w:pPr>
        <w:ind w:left="1300" w:hanging="202"/>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Income Tax Considerations;”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Purpose</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Power of Attorney</w:t>
      </w:r>
    </w:p>
    <w:p>
      <w:pPr>
        <w:spacing w:after="0" w:line="135" w:lineRule="exact"/>
        <w:rPr>
          <w:sz w:val="20"/>
          <w:szCs w:val="20"/>
          <w:color w:val="auto"/>
        </w:rPr>
      </w:pPr>
    </w:p>
    <w:p>
      <w:pPr>
        <w:jc w:val="both"/>
        <w:ind w:left="700" w:right="40" w:firstLine="397"/>
        <w:spacing w:after="0" w:line="259" w:lineRule="auto"/>
        <w:rPr>
          <w:sz w:val="20"/>
          <w:szCs w:val="20"/>
          <w:color w:val="auto"/>
        </w:rPr>
      </w:pPr>
      <w:r>
        <w:rPr>
          <w:rFonts w:ascii="Arial" w:cs="Arial" w:eastAsia="Arial" w:hAnsi="Arial"/>
          <w:sz w:val="18"/>
          <w:szCs w:val="18"/>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135" w:lineRule="exact"/>
        <w:rPr>
          <w:sz w:val="20"/>
          <w:szCs w:val="20"/>
          <w:color w:val="auto"/>
        </w:rPr>
      </w:pPr>
    </w:p>
    <w:p>
      <w:pPr>
        <w:ind w:left="700" w:right="420" w:firstLine="397"/>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Issuance of Additional Securities</w:t>
      </w:r>
    </w:p>
    <w:p>
      <w:pPr>
        <w:spacing w:after="0" w:line="135"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87"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92" w:lineRule="exact"/>
        <w:rPr>
          <w:sz w:val="20"/>
          <w:szCs w:val="20"/>
          <w:color w:val="auto"/>
        </w:rPr>
      </w:pPr>
    </w:p>
    <w:p>
      <w:pPr>
        <w:jc w:val="both"/>
        <w:ind w:left="700" w:right="620" w:firstLine="397"/>
        <w:spacing w:after="0" w:line="342" w:lineRule="auto"/>
        <w:rPr>
          <w:sz w:val="20"/>
          <w:szCs w:val="20"/>
          <w:color w:val="auto"/>
        </w:rPr>
      </w:pPr>
      <w:r>
        <w:rPr>
          <w:rFonts w:ascii="Arial" w:cs="Arial" w:eastAsia="Arial" w:hAnsi="Arial"/>
          <w:sz w:val="16"/>
          <w:szCs w:val="16"/>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29"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135" w:lineRule="exact"/>
        <w:rPr>
          <w:sz w:val="20"/>
          <w:szCs w:val="20"/>
          <w:color w:val="auto"/>
        </w:rPr>
      </w:pPr>
    </w:p>
    <w:p>
      <w:pPr>
        <w:ind w:left="700" w:right="200" w:firstLine="397"/>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135"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83"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99"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77"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87"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135" w:lineRule="exact"/>
        <w:rPr>
          <w:sz w:val="20"/>
          <w:szCs w:val="20"/>
          <w:color w:val="auto"/>
        </w:rPr>
      </w:pPr>
    </w:p>
    <w:p>
      <w:pPr>
        <w:jc w:val="both"/>
        <w:ind w:left="700" w:right="60" w:firstLine="397"/>
        <w:spacing w:after="0" w:line="286" w:lineRule="auto"/>
        <w:rPr>
          <w:sz w:val="20"/>
          <w:szCs w:val="20"/>
          <w:color w:val="auto"/>
        </w:rPr>
      </w:pPr>
      <w:r>
        <w:rPr>
          <w:rFonts w:ascii="Arial" w:cs="Arial" w:eastAsia="Arial" w:hAnsi="Arial"/>
          <w:sz w:val="17"/>
          <w:szCs w:val="17"/>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71" w:lineRule="exact"/>
        <w:rPr>
          <w:sz w:val="20"/>
          <w:szCs w:val="20"/>
          <w:color w:val="auto"/>
        </w:rPr>
      </w:pPr>
    </w:p>
    <w:p>
      <w:pPr>
        <w:ind w:left="1300" w:hanging="202"/>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131"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of Management Provisions</w:t>
      </w:r>
    </w:p>
    <w:p>
      <w:pPr>
        <w:spacing w:after="0" w:line="135" w:lineRule="exact"/>
        <w:rPr>
          <w:sz w:val="20"/>
          <w:szCs w:val="20"/>
          <w:color w:val="auto"/>
        </w:rPr>
      </w:pPr>
    </w:p>
    <w:p>
      <w:pPr>
        <w:ind w:left="700" w:right="580" w:firstLine="397"/>
        <w:spacing w:after="0" w:line="277"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76" w:lineRule="exact"/>
        <w:rPr>
          <w:sz w:val="20"/>
          <w:szCs w:val="20"/>
          <w:color w:val="auto"/>
        </w:rPr>
      </w:pPr>
    </w:p>
    <w:p>
      <w:pPr>
        <w:ind w:left="1300" w:right="460" w:hanging="202"/>
        <w:spacing w:after="0" w:line="277"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62" w:lineRule="exact"/>
        <w:rPr>
          <w:rFonts w:ascii="Arial" w:cs="Arial" w:eastAsia="Arial" w:hAnsi="Arial"/>
          <w:sz w:val="18"/>
          <w:szCs w:val="18"/>
          <w:color w:val="auto"/>
        </w:rPr>
      </w:pPr>
    </w:p>
    <w:p>
      <w:pPr>
        <w:ind w:left="1300" w:right="380" w:hanging="202"/>
        <w:spacing w:after="0" w:line="277"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Limited Call Right</w:t>
      </w:r>
    </w:p>
    <w:p>
      <w:pPr>
        <w:spacing w:after="0" w:line="135"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Indemnification</w:t>
      </w:r>
    </w:p>
    <w:p>
      <w:pPr>
        <w:spacing w:after="0" w:line="135"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84" w:lineRule="exact"/>
        <w:rPr>
          <w:sz w:val="20"/>
          <w:szCs w:val="20"/>
          <w:color w:val="auto"/>
        </w:rPr>
      </w:pPr>
    </w:p>
    <w:p>
      <w:pPr>
        <w:ind w:left="700" w:right="420" w:firstLine="397"/>
        <w:spacing w:after="0" w:line="342" w:lineRule="auto"/>
        <w:rPr>
          <w:sz w:val="20"/>
          <w:szCs w:val="20"/>
          <w:color w:val="auto"/>
        </w:rPr>
      </w:pPr>
      <w:r>
        <w:rPr>
          <w:rFonts w:ascii="Arial" w:cs="Arial" w:eastAsia="Arial" w:hAnsi="Arial"/>
          <w:sz w:val="16"/>
          <w:szCs w:val="16"/>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Registration Rights</w:t>
      </w:r>
    </w:p>
    <w:p>
      <w:pPr>
        <w:spacing w:after="0" w:line="135"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MATERIAL INCOME TAX CONSIDERATIONS</w:t>
      </w:r>
    </w:p>
    <w:p>
      <w:pPr>
        <w:spacing w:after="0" w:line="135" w:lineRule="exact"/>
        <w:rPr>
          <w:sz w:val="20"/>
          <w:szCs w:val="20"/>
          <w:color w:val="auto"/>
        </w:rPr>
      </w:pPr>
    </w:p>
    <w:p>
      <w:pPr>
        <w:ind w:left="700" w:right="120" w:firstLine="397"/>
        <w:spacing w:after="0" w:line="271" w:lineRule="auto"/>
        <w:rPr>
          <w:sz w:val="20"/>
          <w:szCs w:val="20"/>
          <w:color w:val="auto"/>
        </w:rPr>
      </w:pPr>
      <w:r>
        <w:rPr>
          <w:rFonts w:ascii="Arial" w:cs="Arial" w:eastAsia="Arial" w:hAnsi="Arial"/>
          <w:sz w:val="17"/>
          <w:szCs w:val="17"/>
          <w:color w:val="auto"/>
        </w:rPr>
        <w:t>This section is a discussion of the material tax considerations that may be relevant to prospective unitholders who are individual citizens or residents of the United States and, unless otherwise noted in the following discussion, is the opinion of Vinson &amp; Elkins L.L.P., counsel to our general partner and us, insofar as it relates to legal conclusions with respect to matters of United States federal income tax law. This section is based upon current provisions of the Internal Revenue Code of 1986, as amended (the “Internal Revenue Code”), existing and proposed regulations promulgated under the Internal Revenue Code (the “Treasury Regulations”), current administrative rulings and court decisions, all of which are subject to change. Later changes in these authorities may cause the tax consequences to vary substantially from the consequences described below. Unless the context otherwise requires, references in this section to “us” or “we” are references to Plains All American Pipeline, L.P.</w:t>
      </w:r>
    </w:p>
    <w:p>
      <w:pPr>
        <w:spacing w:after="0" w:line="84"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The following discussion does not comment on all federal income tax matters affecting us or the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urge each prospective unitholder to consult, and depend on, his own tax advisor in analyzing the federal, state, local and foreign tax consequences particular to him of the ownership or disposition of common units.</w:t>
      </w:r>
    </w:p>
    <w:p>
      <w:pPr>
        <w:spacing w:after="0" w:line="84" w:lineRule="exact"/>
        <w:rPr>
          <w:sz w:val="20"/>
          <w:szCs w:val="20"/>
          <w:color w:val="auto"/>
        </w:rPr>
      </w:pPr>
    </w:p>
    <w:p>
      <w:pPr>
        <w:ind w:left="700" w:right="240" w:firstLine="397"/>
        <w:spacing w:after="0" w:line="308" w:lineRule="auto"/>
        <w:rPr>
          <w:sz w:val="20"/>
          <w:szCs w:val="20"/>
          <w:color w:val="auto"/>
        </w:rPr>
      </w:pPr>
      <w:r>
        <w:rPr>
          <w:rFonts w:ascii="Arial" w:cs="Arial" w:eastAsia="Arial" w:hAnsi="Arial"/>
          <w:sz w:val="17"/>
          <w:szCs w:val="17"/>
          <w:color w:val="auto"/>
        </w:rPr>
        <w:t>All statements as to matters of law and legal conclusions, but not as to factual matters, contained in this section, unless otherwise noted, are the opinion of Vinson &amp; Elkins L.L.P. and are based on the accuracy of the representations made by us.</w:t>
      </w:r>
    </w:p>
    <w:p>
      <w:pPr>
        <w:spacing w:after="0" w:line="52"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No ruling has been or will be requested from the IRS regarding any matter affecting us or prospective unitholders. Instead, we will rely on opinions of Vinson &amp; Elkins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our common units and the prices at which common units trade. In addition, the costs of any contest with the IRS, principally legal, accounting and related fees, will result in a reduction in cash available for distribution to our unitholders and our general partner and thus will be borne indirectly by our unitholders and our general partner. Furthermore, the tax treatment of us, or of an investment in us, may be significantly modified by future legislative or administrative changes or court decisions. Any modifications may or may not be retroactively applied.</w:t>
      </w:r>
    </w:p>
    <w:p>
      <w:pPr>
        <w:spacing w:after="0" w:line="72"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For the reasons described below, Vinson &amp; Elkins L.L.P. has not rendered an opinion with respect to the following specific federal income tax issues: (1) the treatment of a unitholder whose common units are loaned to a short seller to cover a short sale of common units (please see “— Tax Consequences of Unit Ownership — Treatment of Short Sales”); (2) whether our monthly convention for allocating taxable income and losses is permitted by existing Treasury Regulations (please see “— Disposition of Common Units — Allocations Between Transferors and Transferees”); and (3) whether our method for depreciating Section 743 adjustments is sustainable in certain cases (please see “— Tax Consequences of Unit Ownership — Section 754 Election”).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Partnership Status</w:t>
      </w:r>
    </w:p>
    <w:p>
      <w:pPr>
        <w:spacing w:after="0" w:line="135"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color w:val="auto"/>
        </w:rPr>
        <w:t>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to the partnership or to the partner unless the amount of cash distributed is in excess of the partner’s adjusted basis in his partnership interest.</w:t>
      </w:r>
    </w:p>
    <w:p>
      <w:pPr>
        <w:spacing w:after="0" w:line="94" w:lineRule="exact"/>
        <w:rPr>
          <w:sz w:val="20"/>
          <w:szCs w:val="20"/>
          <w:color w:val="auto"/>
        </w:rPr>
      </w:pPr>
    </w:p>
    <w:p>
      <w:pPr>
        <w:ind w:left="700" w:right="900" w:firstLine="397"/>
        <w:spacing w:after="0" w:line="277" w:lineRule="auto"/>
        <w:rPr>
          <w:sz w:val="20"/>
          <w:szCs w:val="20"/>
          <w:color w:val="auto"/>
        </w:rPr>
      </w:pPr>
      <w:r>
        <w:rPr>
          <w:rFonts w:ascii="Arial" w:cs="Arial" w:eastAsia="Arial" w:hAnsi="Arial"/>
          <w:sz w:val="18"/>
          <w:szCs w:val="18"/>
          <w:color w:val="auto"/>
        </w:rPr>
        <w:t>Section 7704 of the Internal Revenue Code provides that publicly traded partnerships will, as a general rule, be taxed as corporations. However, an exception, referred to as the “Qualifying Income Exception,” exists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69" w:lineRule="auto"/>
        <w:rPr>
          <w:sz w:val="20"/>
          <w:szCs w:val="20"/>
          <w:color w:val="auto"/>
        </w:rPr>
      </w:pPr>
      <w:r>
        <w:rPr>
          <w:rFonts w:ascii="Arial" w:cs="Arial" w:eastAsia="Arial" w:hAnsi="Arial"/>
          <w:sz w:val="17"/>
          <w:szCs w:val="17"/>
          <w:color w:val="auto"/>
        </w:rPr>
        <w:t>with respect to publicly traded partnerships of which 90% or more of the gross income for every taxable year consists of “qualifying income.” Qualifying income includes income and gains derived from the transportation, storage, terminalling and marketing of crude oil, natural gas and products thereof. Other types of qualifying income include interest (other than from a financial business), dividends, gains from the sale of real property and gains from the sale or other disposition of capital assets held for the production of income that otherwise constitutes qualifying income. Moreover, recently enacted legislation has modified Section 7704(d)(1)(E) of the Internal Revenue Code to expand the definition of qualifying income to include income from the storage and transportation of certain alternative fuels and, among other things, the transportation and marketing of industrial source carbon dioxide. We estimate that less than 5% of our current gross income is not qualifying income; however, this estimate could change from time to time. Based upon and subject to this estimate, the factual representations made by us and the general partner and a review of the applicable legal authorities, Vinson &amp; Elkins L.L.P. is of the opinion that at least 90% of our current gross income constitutes qualifying income. The portion of our income that is qualifying income may change from time to time.</w:t>
      </w:r>
    </w:p>
    <w:p>
      <w:pPr>
        <w:spacing w:after="0" w:line="88"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No ruling has been or will be sought from the IRS and the IRS has made no determination as to our status or the status of the operating partnerships for federal income tax purposes or whether our operations generate “qualifying income” under Section 7704 of the Internal Revenue Code. Instead, we will rely on the opinion of Vinson &amp; Elkins L.L.P. on such matters. It is the opinion of Vinson &amp; Elkins L.L.P. that, based upon the Internal Revenue Code, its regulations, published revenue rulings and court decisions and the representations described below, we will be classified as a partnership and the operating partnerships will be treated as partnerships or disregarded as entities separate from us for federal income tax purposes.</w:t>
      </w:r>
    </w:p>
    <w:p>
      <w:pPr>
        <w:spacing w:after="0" w:line="99"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In rendering its opinion, Vinson &amp; Elkins L.L.P. has relied on factual representations made by us and our general partner. The representations made by us and our general partner upon which Vinson &amp; Elkins L.L.P. has relied are:</w:t>
      </w:r>
    </w:p>
    <w:p>
      <w:pPr>
        <w:spacing w:after="0" w:line="76" w:lineRule="exact"/>
        <w:rPr>
          <w:sz w:val="20"/>
          <w:szCs w:val="20"/>
          <w:color w:val="auto"/>
        </w:rPr>
      </w:pPr>
    </w:p>
    <w:p>
      <w:pPr>
        <w:ind w:left="1720" w:hanging="249"/>
        <w:spacing w:after="0"/>
        <w:tabs>
          <w:tab w:leader="none" w:pos="1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Neither we nor the operating partnerships have elected or will elect to be treated as a corporation;</w:t>
      </w:r>
    </w:p>
    <w:p>
      <w:pPr>
        <w:spacing w:after="0" w:line="130" w:lineRule="exact"/>
        <w:rPr>
          <w:rFonts w:ascii="Arial" w:cs="Arial" w:eastAsia="Arial" w:hAnsi="Arial"/>
          <w:sz w:val="18"/>
          <w:szCs w:val="18"/>
          <w:color w:val="auto"/>
        </w:rPr>
      </w:pPr>
    </w:p>
    <w:p>
      <w:pPr>
        <w:ind w:left="1080" w:right="260" w:firstLine="391"/>
        <w:spacing w:after="0" w:line="342" w:lineRule="auto"/>
        <w:tabs>
          <w:tab w:leader="none" w:pos="1716" w:val="left"/>
        </w:tabs>
        <w:numPr>
          <w:ilvl w:val="0"/>
          <w:numId w:val="77"/>
        </w:numPr>
        <w:rPr>
          <w:rFonts w:ascii="Arial" w:cs="Arial" w:eastAsia="Arial" w:hAnsi="Arial"/>
          <w:sz w:val="16"/>
          <w:szCs w:val="16"/>
          <w:color w:val="auto"/>
        </w:rPr>
      </w:pPr>
      <w:r>
        <w:rPr>
          <w:rFonts w:ascii="Arial" w:cs="Arial" w:eastAsia="Arial" w:hAnsi="Arial"/>
          <w:sz w:val="16"/>
          <w:szCs w:val="16"/>
          <w:color w:val="auto"/>
        </w:rPr>
        <w:t>For each taxable year, more than 90% of our gross income has been and will be income that Vinson &amp; Elkins L.L.P. has opined or will opine is “qualifying income” within the meaning of Section 7704(d) of the Internal Revenue Code; and</w:t>
      </w:r>
    </w:p>
    <w:p>
      <w:pPr>
        <w:spacing w:after="0" w:line="29" w:lineRule="exact"/>
        <w:rPr>
          <w:rFonts w:ascii="Arial" w:cs="Arial" w:eastAsia="Arial" w:hAnsi="Arial"/>
          <w:sz w:val="16"/>
          <w:szCs w:val="16"/>
          <w:color w:val="auto"/>
        </w:rPr>
      </w:pPr>
    </w:p>
    <w:p>
      <w:pPr>
        <w:ind w:left="1080" w:right="140" w:firstLine="391"/>
        <w:spacing w:after="0" w:line="259" w:lineRule="auto"/>
        <w:tabs>
          <w:tab w:leader="none" w:pos="1706"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believe that these representations have been true in the past and expect that these representations will be true in the future.</w:t>
      </w:r>
    </w:p>
    <w:p>
      <w:pPr>
        <w:spacing w:after="0" w:line="154"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deemed contribution and liquidation should be tax-free to unitholders and us so long as we, at that time, do not have liabilities in excess of the tax basis of our assets. Thereafter, we would be treated as a corporation for federal income tax purposes.</w:t>
      </w:r>
    </w:p>
    <w:p>
      <w:pPr>
        <w:spacing w:after="0" w:line="83"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If we were treated as an association taxable as a corporation in any taxable year, either as a result of a failure to meet the Qualifying Income Exception or otherwise, our items of income, gain, loss and deduction would be reflected only on our tax return rather than being passed through to the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64" w:lineRule="auto"/>
        <w:rPr>
          <w:sz w:val="20"/>
          <w:szCs w:val="20"/>
          <w:color w:val="auto"/>
        </w:rPr>
      </w:pPr>
      <w:r>
        <w:rPr>
          <w:rFonts w:ascii="Arial" w:cs="Arial" w:eastAsia="Arial" w:hAnsi="Arial"/>
          <w:sz w:val="18"/>
          <w:szCs w:val="18"/>
          <w:color w:val="auto"/>
        </w:rPr>
        <w:t>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w:t>
      </w:r>
    </w:p>
    <w:p>
      <w:pPr>
        <w:spacing w:after="0" w:line="87"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The discussion below is based on Vinson &amp; Elkins L.L.P.’s opinion that we will be classified as a partnership for federal income tax purposes.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Limited Partner Status</w:t>
      </w:r>
    </w:p>
    <w:p>
      <w:pPr>
        <w:spacing w:after="0" w:line="135" w:lineRule="exact"/>
        <w:rPr>
          <w:sz w:val="20"/>
          <w:szCs w:val="20"/>
          <w:color w:val="auto"/>
        </w:rPr>
      </w:pPr>
    </w:p>
    <w:p>
      <w:pPr>
        <w:ind w:left="700" w:right="580" w:firstLine="397"/>
        <w:spacing w:after="0" w:line="277" w:lineRule="auto"/>
        <w:rPr>
          <w:sz w:val="20"/>
          <w:szCs w:val="20"/>
          <w:color w:val="auto"/>
        </w:rPr>
      </w:pPr>
      <w:r>
        <w:rPr>
          <w:rFonts w:ascii="Arial" w:cs="Arial" w:eastAsia="Arial" w:hAnsi="Arial"/>
          <w:sz w:val="18"/>
          <w:szCs w:val="18"/>
          <w:color w:val="auto"/>
        </w:rPr>
        <w:t>Unitholders who have become limited partners of Plains All American Pipeline, L.P. will be treated as partners of Plains All American Pipeline, L.P. for federal income tax purposes. Also:</w:t>
      </w:r>
    </w:p>
    <w:p>
      <w:pPr>
        <w:spacing w:after="0" w:line="76" w:lineRule="exact"/>
        <w:rPr>
          <w:sz w:val="20"/>
          <w:szCs w:val="20"/>
          <w:color w:val="auto"/>
        </w:rPr>
      </w:pPr>
    </w:p>
    <w:p>
      <w:pPr>
        <w:ind w:left="1300" w:hanging="202"/>
        <w:spacing w:after="0"/>
        <w:tabs>
          <w:tab w:leader="none" w:pos="13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assignees who have executed and delivered transfer applications, and are awaiting admission as limited partners and</w:t>
      </w:r>
    </w:p>
    <w:p>
      <w:pPr>
        <w:spacing w:after="0" w:line="128" w:lineRule="exact"/>
        <w:rPr>
          <w:rFonts w:ascii="Arial" w:cs="Arial" w:eastAsia="Arial" w:hAnsi="Arial"/>
          <w:sz w:val="17"/>
          <w:szCs w:val="17"/>
          <w:color w:val="auto"/>
        </w:rPr>
      </w:pPr>
    </w:p>
    <w:p>
      <w:pPr>
        <w:ind w:left="1300" w:right="320" w:hanging="202"/>
        <w:spacing w:after="0" w:line="277"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76"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will be treated as partners of Plains All American Pipeline, L.P.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95"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A beneficial owner of common units whose units have been transferred to a short seller to complete a short sale would appear to lose his status as a partner with respect to those units for federal income tax purposes. Please see “— Tax Consequences of Unit Ownership — Treatment of Short Sales.”</w:t>
      </w:r>
    </w:p>
    <w:p>
      <w:pPr>
        <w:spacing w:after="0" w:line="87"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These holders are urged to consult their own tax advisors with respect to their tax consequences of holding common units in Plains All American Pipeline, L.P.</w:t>
      </w:r>
    </w:p>
    <w:p>
      <w:pPr>
        <w:spacing w:after="0" w:line="92"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The references to “unitholders” in the discussion that follows are to persons who are treated as partners in Plains All American Pipeline, L.P. for federal income tax purposes.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Consequences of Unit Ownership</w:t>
      </w:r>
    </w:p>
    <w:p>
      <w:pPr>
        <w:spacing w:after="0" w:line="135"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Flow-Through of Taxable Income. </w:t>
      </w:r>
      <w:r>
        <w:rPr>
          <w:rFonts w:ascii="Arial" w:cs="Arial" w:eastAsia="Arial" w:hAnsi="Arial"/>
          <w:sz w:val="17"/>
          <w:szCs w:val="17"/>
          <w:color w:val="auto"/>
        </w:rPr>
        <w:t>We will not pay any federal income tax. Instead, each unitholder will be required to report on his</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return his share of our income, gains, losses and deductions without regard to whether corresponding cash distributions are received by him. Consequently, we may allocate income to a unitholder even if he has not received a cash distribution. Each unitholder will be required to include in income his allocable share of our income, gains, losses and deductions for our taxable year ending with or within his taxable year. Our taxable year ends on December 31.</w:t>
      </w:r>
    </w:p>
    <w:p>
      <w:pPr>
        <w:spacing w:after="0" w:line="78"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i w:val="1"/>
          <w:iCs w:val="1"/>
          <w:color w:val="auto"/>
        </w:rPr>
        <w:t xml:space="preserve">Treatment of Distributions. </w:t>
      </w:r>
      <w:r>
        <w:rPr>
          <w:rFonts w:ascii="Arial" w:cs="Arial" w:eastAsia="Arial" w:hAnsi="Arial"/>
          <w:sz w:val="17"/>
          <w:szCs w:val="17"/>
          <w:color w:val="auto"/>
        </w:rPr>
        <w:t>Distributions by us to a unitholder generally will not be taxable to the unitholder for federal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except to the extent the amount of any such cash distribution exceeds his tax basis in his common units immediately before the distribution. Our cash distributions in excess of a unitholder’s tax basis generally will be considered to be gain from the sale or exchange of our common units, taxable in accordance with the rules described under “— Disposition of Common Units.”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year, he must recapture any losses deducted in previous years. Please see “— Limitations on Deductibility of Losses.”</w:t>
      </w:r>
    </w:p>
    <w:p>
      <w:pPr>
        <w:spacing w:after="0" w:line="131"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A decrease in a unitholder’s percentage interest in us because of our issuance of additional common units will decrease his share of our nonrecourse liabilities, and thus will result in a corresponding deemed distribution of cash. This deemed distribution may constitute a non-pro rata distribution.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both as defined in the Internal Revenue Code, and collectively,</w:t>
      </w:r>
    </w:p>
    <w:p>
      <w:pPr>
        <w:spacing w:after="0" w:line="2" w:lineRule="exact"/>
        <w:rPr>
          <w:sz w:val="20"/>
          <w:szCs w:val="20"/>
          <w:color w:val="auto"/>
        </w:rPr>
      </w:pPr>
    </w:p>
    <w:p>
      <w:pPr>
        <w:ind w:left="700" w:right="160"/>
        <w:spacing w:after="0" w:line="253" w:lineRule="auto"/>
        <w:rPr>
          <w:sz w:val="20"/>
          <w:szCs w:val="20"/>
          <w:color w:val="auto"/>
        </w:rPr>
      </w:pPr>
      <w:r>
        <w:rPr>
          <w:rFonts w:ascii="Arial" w:cs="Arial" w:eastAsia="Arial" w:hAnsi="Arial"/>
          <w:sz w:val="18"/>
          <w:szCs w:val="18"/>
          <w:color w:val="auto"/>
        </w:rPr>
        <w:t>“Section 751 Assets.” To that extent, he will be treated as having been distributed his proportionate share of the Section 751 Assets and then having exchanged those assets with us in return for the non-pro rata portion of the actual distribution made to him. This latter deemed exchange will generally result in the unitholder’s realization of ordinary income, which will equal the excess of (1) the non-pro rata portion of that distribution over (2) the unitholder’s tax basis (generally zero) for the share of Section 751 Assets deemed relinquished in the exchange.</w:t>
      </w:r>
    </w:p>
    <w:p>
      <w:pPr>
        <w:spacing w:after="0" w:line="97"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i w:val="1"/>
          <w:iCs w:val="1"/>
          <w:color w:val="auto"/>
        </w:rPr>
        <w:t xml:space="preserve">Basis of Common Units. </w:t>
      </w:r>
      <w:r>
        <w:rPr>
          <w:rFonts w:ascii="Arial" w:cs="Arial" w:eastAsia="Arial" w:hAnsi="Arial"/>
          <w:sz w:val="18"/>
          <w:szCs w:val="18"/>
          <w:color w:val="auto"/>
        </w:rPr>
        <w:t>A unitholder’s initial tax basis for his common units will be the amount he paid for our common units plus</w:t>
      </w:r>
      <w:r>
        <w:rPr>
          <w:rFonts w:ascii="Arial" w:cs="Arial" w:eastAsia="Arial" w:hAnsi="Arial"/>
          <w:sz w:val="18"/>
          <w:szCs w:val="18"/>
          <w:i w:val="1"/>
          <w:iCs w:val="1"/>
          <w:color w:val="auto"/>
        </w:rPr>
        <w:t xml:space="preserve"> </w:t>
      </w:r>
      <w:r>
        <w:rPr>
          <w:rFonts w:ascii="Arial" w:cs="Arial" w:eastAsia="Arial" w:hAnsi="Arial"/>
          <w:sz w:val="18"/>
          <w:szCs w:val="18"/>
          <w:color w:val="auto"/>
        </w:rPr>
        <w:t>his share of our 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unitholder will have no share of our debt that is recourse to our general partner, but will have a share, generally based on his share of profits, of our nonrecourse liabilities. Please see “— Disposition of Common Units — Recognition of Gain or Loss.”</w:t>
      </w:r>
    </w:p>
    <w:p>
      <w:pPr>
        <w:spacing w:after="0" w:line="95"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i w:val="1"/>
          <w:iCs w:val="1"/>
          <w:color w:val="auto"/>
        </w:rPr>
        <w:t xml:space="preserve">Limitations on Deductibility of Losses. </w:t>
      </w:r>
      <w:r>
        <w:rPr>
          <w:rFonts w:ascii="Arial" w:cs="Arial" w:eastAsia="Arial" w:hAnsi="Arial"/>
          <w:sz w:val="16"/>
          <w:szCs w:val="16"/>
          <w:color w:val="auto"/>
        </w:rPr>
        <w:t>The deduction by a unitholder of his share of our losses will be limited to the tax basis in his</w:t>
      </w:r>
      <w:r>
        <w:rPr>
          <w:rFonts w:ascii="Arial" w:cs="Arial" w:eastAsia="Arial" w:hAnsi="Arial"/>
          <w:sz w:val="16"/>
          <w:szCs w:val="16"/>
          <w:i w:val="1"/>
          <w:iCs w:val="1"/>
          <w:color w:val="auto"/>
        </w:rPr>
        <w:t xml:space="preserve"> </w:t>
      </w:r>
      <w:r>
        <w:rPr>
          <w:rFonts w:ascii="Arial" w:cs="Arial" w:eastAsia="Arial" w:hAnsi="Arial"/>
          <w:sz w:val="16"/>
          <w:szCs w:val="16"/>
          <w:color w:val="auto"/>
        </w:rPr>
        <w:t>units and, in the case of an individual unitholder, estate, trust, or corporate unitholder (if more than 50% of the value of the corporate unitholder’s stock is owned directly or indirectly by or for five or fewer individuals) or some tax-exempt organizations, to the amount for which the unitholder is considered to be “at risk” with respect to our activities, if that is less than his tax basis. A common unitholder subject to these limitations must recapture losses deducted in previous years to the extent that distributions cause his at-risk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common unitholders’ tax basis in his common units. Upon the taxable disposition of a unit, any gain recognized by a unitholder can be offset by losses that were previously suspended by the at-risk limitation but may not be offset by losses suspended by the basis limitation. Any loss previously suspended by the at-risk limitation in excess of that gain would no longer be utilizable.</w:t>
      </w:r>
    </w:p>
    <w:p>
      <w:pPr>
        <w:spacing w:after="0" w:line="75"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In general, a unitholder will be at risk to the extent of the tax basis of his units, excluding any portion of that basis attributable to his share of our nonrecourse liabilities, reduced by (i) any portion of that basis representing amounts otherwise protected against loss because of a guarantee, stop loss agreement or other similar arrangement and (ii) any amount of money he borrows to acquire or hold his units, if the lender of those borrowed funds owns an interest in us, is related to the unitholder or can look only to the units for repayment. A unitholder’s at-risk amount will increase or decrease as the tax basis of the unitholder’s units increases or decreases, other than tax basis increases or decreases attributable to increases or decreases in his share of our nonrecourse liabilities.</w:t>
      </w:r>
    </w:p>
    <w:p>
      <w:pPr>
        <w:spacing w:after="0" w:line="70"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In addition to the basis and at-risk limitations on the deductibility of losses, the passive loss limitations generally provide that individuals, estates, trusts and some closely-held corporations and personal service corporations can deduct losses from passive activities, which are generally trade or business activities in which the taxpayer does not materially participate, only to the extent of the taxpayer’s income from those passive activities. The passive loss limitations are applied separately with respect to each publicly traded partnership. Consequently, any passive losses we generate will only be available to offset our passive income generated in the future and will not be available to offset income from other passive activities or investments, including our</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60"/>
        <w:spacing w:after="0" w:line="279" w:lineRule="auto"/>
        <w:rPr>
          <w:sz w:val="20"/>
          <w:szCs w:val="20"/>
          <w:color w:val="auto"/>
        </w:rPr>
      </w:pPr>
      <w:r>
        <w:rPr>
          <w:rFonts w:ascii="Arial" w:cs="Arial" w:eastAsia="Arial" w:hAnsi="Arial"/>
          <w:sz w:val="17"/>
          <w:szCs w:val="17"/>
          <w:color w:val="auto"/>
        </w:rPr>
        <w:t>investments or investments in other publicly 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loss limitations are applied after other applicable limitations on deductions, including the at-risk rules and the basis limitation.</w:t>
      </w:r>
    </w:p>
    <w:p>
      <w:pPr>
        <w:spacing w:after="0" w:line="77" w:lineRule="exact"/>
        <w:rPr>
          <w:sz w:val="20"/>
          <w:szCs w:val="20"/>
          <w:color w:val="auto"/>
        </w:rPr>
      </w:pPr>
    </w:p>
    <w:p>
      <w:pPr>
        <w:ind w:left="700" w:right="160" w:firstLine="397"/>
        <w:spacing w:after="0" w:line="308" w:lineRule="auto"/>
        <w:rPr>
          <w:sz w:val="20"/>
          <w:szCs w:val="20"/>
          <w:color w:val="auto"/>
        </w:rPr>
      </w:pPr>
      <w:r>
        <w:rPr>
          <w:rFonts w:ascii="Arial" w:cs="Arial" w:eastAsia="Arial" w:hAnsi="Arial"/>
          <w:sz w:val="17"/>
          <w:szCs w:val="17"/>
          <w:color w:val="auto"/>
        </w:rPr>
        <w:t>A unitholder’s share of our net income may be offset by any of our suspended passive losses, but it may not be offset by any other current or carryover losses from other passive activities, including those attributable to other publicly traded partnerships.</w:t>
      </w:r>
    </w:p>
    <w:p>
      <w:pPr>
        <w:spacing w:after="0" w:line="52"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i w:val="1"/>
          <w:iCs w:val="1"/>
          <w:color w:val="auto"/>
        </w:rPr>
        <w:t xml:space="preserve">Limitations on Interest Deductions. </w:t>
      </w:r>
      <w:r>
        <w:rPr>
          <w:rFonts w:ascii="Arial" w:cs="Arial" w:eastAsia="Arial" w:hAnsi="Arial"/>
          <w:sz w:val="18"/>
          <w:szCs w:val="18"/>
          <w:color w:val="auto"/>
        </w:rPr>
        <w:t>The deductibility of a non-corporate taxpayer’s “investment interest expense” is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amount of that taxpayer’s “net investment income.” Investment interest expense includes:</w:t>
      </w:r>
    </w:p>
    <w:p>
      <w:pPr>
        <w:spacing w:after="0" w:line="76" w:lineRule="exact"/>
        <w:rPr>
          <w:sz w:val="20"/>
          <w:szCs w:val="20"/>
          <w:color w:val="auto"/>
        </w:rPr>
      </w:pPr>
    </w:p>
    <w:p>
      <w:pPr>
        <w:ind w:left="1300" w:hanging="202"/>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interest on indebtedness properly allocable to property held for investment;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interest expense attributed to portfolio income; and</w:t>
      </w:r>
    </w:p>
    <w:p>
      <w:pPr>
        <w:spacing w:after="0" w:line="117" w:lineRule="exact"/>
        <w:rPr>
          <w:rFonts w:ascii="Arial" w:cs="Arial" w:eastAsia="Arial" w:hAnsi="Arial"/>
          <w:sz w:val="18"/>
          <w:szCs w:val="18"/>
          <w:color w:val="auto"/>
        </w:rPr>
      </w:pPr>
    </w:p>
    <w:p>
      <w:pPr>
        <w:ind w:left="1300" w:right="100" w:hanging="202"/>
        <w:spacing w:after="0" w:line="277"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portion of interest expense incurred to purchase or carry an interest in a passive activity to the extent attributable to portfolio income.</w:t>
      </w:r>
    </w:p>
    <w:p>
      <w:pPr>
        <w:spacing w:after="0" w:line="76"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or qualified dividend income. The IRS has indicated that the net passive income earned by a publicly traded partnership will be treated as investment income to its unitholders. In addition, the unitholder’s share of our portfolio income will be treated as investment income.</w:t>
      </w:r>
    </w:p>
    <w:p>
      <w:pPr>
        <w:spacing w:after="0" w:line="70"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i w:val="1"/>
          <w:iCs w:val="1"/>
          <w:color w:val="auto"/>
        </w:rPr>
        <w:t xml:space="preserve">Entity-Level Collections. </w:t>
      </w:r>
      <w:r>
        <w:rPr>
          <w:rFonts w:ascii="Arial" w:cs="Arial" w:eastAsia="Arial" w:hAnsi="Arial"/>
          <w:sz w:val="17"/>
          <w:szCs w:val="17"/>
          <w:color w:val="auto"/>
        </w:rPr>
        <w:t>If we are required or elect under applicable law to pay any federal, state, local or foreign income tax on</w:t>
      </w:r>
      <w:r>
        <w:rPr>
          <w:rFonts w:ascii="Arial" w:cs="Arial" w:eastAsia="Arial" w:hAnsi="Arial"/>
          <w:sz w:val="17"/>
          <w:szCs w:val="17"/>
          <w:i w:val="1"/>
          <w:iCs w:val="1"/>
          <w:color w:val="auto"/>
        </w:rPr>
        <w:t xml:space="preserve"> </w:t>
      </w:r>
      <w:r>
        <w:rPr>
          <w:rFonts w:ascii="Arial" w:cs="Arial" w:eastAsia="Arial" w:hAnsi="Arial"/>
          <w:sz w:val="17"/>
          <w:szCs w:val="17"/>
          <w:color w:val="auto"/>
        </w:rPr>
        <w:t>behalf of any unitholder or our 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w:t>
      </w:r>
    </w:p>
    <w:p>
      <w:pPr>
        <w:spacing w:after="0" w:line="87"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i w:val="1"/>
          <w:iCs w:val="1"/>
          <w:color w:val="auto"/>
        </w:rPr>
        <w:t xml:space="preserve">Allocation of Income, Gain, Loss and Deduction. </w:t>
      </w:r>
      <w:r>
        <w:rPr>
          <w:rFonts w:ascii="Arial" w:cs="Arial" w:eastAsia="Arial" w:hAnsi="Arial"/>
          <w:sz w:val="18"/>
          <w:szCs w:val="18"/>
          <w:color w:val="auto"/>
        </w:rPr>
        <w:t>In general, if we have a net profit, our items of income, gain, loss and deduction</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allocated among our general partner and the unitholders in accordance with their percentage interests in us. At any time that distributions are made to our common units in excess of distributions to the subordinated units, or incentive distributions are made to our general partner, gross income will be allocated to the recipients to the extent of these distributions. If we have a net loss, that loss will be allocated first to the general partner and the unitholders in accordance with their percentage interests in us to the extent of their positive capital accounts and, second, to the general partner.</w:t>
      </w:r>
    </w:p>
    <w:p>
      <w:pPr>
        <w:spacing w:after="0" w:line="99"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Specified items of our income, gain, loss and deduction will be allocated to account for (i) any difference between the tax basis and fair market value of our assets at the time of an offering and (ii) any difference between the tax basis and fair market value of any property contributed to us by the general partner and its affiliates that exists at the time of such contribution, together, referred to in this discussion as “Contributed Property.” The effect of these allocations, referred to as Section 704(c) Allocations, to a unitholder purchasing common units from us in an offering will be essentially the same as if the tax basis of our assets were equal to their fair market value at the time of such offering. In the event we issue additional common units or</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1" w:lineRule="auto"/>
        <w:rPr>
          <w:sz w:val="20"/>
          <w:szCs w:val="20"/>
          <w:color w:val="auto"/>
        </w:rPr>
      </w:pPr>
      <w:r>
        <w:rPr>
          <w:rFonts w:ascii="Arial" w:cs="Arial" w:eastAsia="Arial" w:hAnsi="Arial"/>
          <w:sz w:val="17"/>
          <w:szCs w:val="17"/>
          <w:color w:val="auto"/>
        </w:rPr>
        <w:t>engage in certain other transactions in the future “reverse Section 704(c) Allocations,” similar to the Section 704(c) Allocations described above, will be made to all holders of partnership interests immediately prior to such other transactions to account for the difference between the “book” basis for purposes of maintaining capital accounts and the fair market value of all property held by us at the time of the future transaction.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as is needed to eliminate the negative balance as quickly as possible.</w:t>
      </w:r>
    </w:p>
    <w:p>
      <w:pPr>
        <w:spacing w:after="0" w:line="84"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his interest in us, which will be determined by taking into account all the facts and circumstances, including:</w:t>
      </w:r>
    </w:p>
    <w:p>
      <w:pPr>
        <w:spacing w:after="0" w:line="70" w:lineRule="exact"/>
        <w:rPr>
          <w:sz w:val="20"/>
          <w:szCs w:val="20"/>
          <w:color w:val="auto"/>
        </w:rPr>
      </w:pPr>
    </w:p>
    <w:p>
      <w:pPr>
        <w:ind w:left="1300" w:hanging="202"/>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his relative contributions to 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interests of all the partners in profits and losses;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interest of all the partners in cash flow;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rights of all the partners to distributions of capital upon liquidation.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Vinson &amp; Elkins L.L.P. is of the opinion that, with the exception of the issues described in “— Section 754 Election” and</w:t>
      </w:r>
    </w:p>
    <w:p>
      <w:pPr>
        <w:spacing w:after="0" w:line="23" w:lineRule="exact"/>
        <w:rPr>
          <w:sz w:val="20"/>
          <w:szCs w:val="20"/>
          <w:color w:val="auto"/>
        </w:rPr>
      </w:pPr>
    </w:p>
    <w:p>
      <w:pPr>
        <w:ind w:left="700" w:right="280"/>
        <w:spacing w:after="0" w:line="323" w:lineRule="auto"/>
        <w:rPr>
          <w:sz w:val="20"/>
          <w:szCs w:val="20"/>
          <w:color w:val="auto"/>
        </w:rPr>
      </w:pPr>
      <w:r>
        <w:rPr>
          <w:rFonts w:ascii="Arial" w:cs="Arial" w:eastAsia="Arial" w:hAnsi="Arial"/>
          <w:sz w:val="16"/>
          <w:szCs w:val="16"/>
          <w:color w:val="auto"/>
        </w:rPr>
        <w:t>“— Disposition of Common Units — Allocations Between Transferors and Transferees,” allocations under our partnership agreement will be given effect for federal income tax purposes in determining a partner’s share of an item of income, gain, loss or deduction.</w:t>
      </w:r>
    </w:p>
    <w:p>
      <w:pPr>
        <w:spacing w:after="0" w:line="44" w:lineRule="exact"/>
        <w:rPr>
          <w:sz w:val="20"/>
          <w:szCs w:val="20"/>
          <w:color w:val="auto"/>
        </w:rPr>
      </w:pPr>
    </w:p>
    <w:p>
      <w:pPr>
        <w:ind w:left="700" w:right="60" w:firstLine="397"/>
        <w:spacing w:after="0" w:line="286" w:lineRule="auto"/>
        <w:rPr>
          <w:sz w:val="20"/>
          <w:szCs w:val="20"/>
          <w:color w:val="auto"/>
        </w:rPr>
      </w:pPr>
      <w:r>
        <w:rPr>
          <w:rFonts w:ascii="Arial" w:cs="Arial" w:eastAsia="Arial" w:hAnsi="Arial"/>
          <w:sz w:val="17"/>
          <w:szCs w:val="17"/>
          <w:i w:val="1"/>
          <w:iCs w:val="1"/>
          <w:color w:val="auto"/>
        </w:rPr>
        <w:t xml:space="preserve">Treatment of Short Sales. </w:t>
      </w:r>
      <w:r>
        <w:rPr>
          <w:rFonts w:ascii="Arial" w:cs="Arial" w:eastAsia="Arial" w:hAnsi="Arial"/>
          <w:sz w:val="17"/>
          <w:szCs w:val="17"/>
          <w:color w:val="auto"/>
        </w:rPr>
        <w:t>A unitholder whose units are loaned to a “short seller” to cover a short sale of units may be considered as</w:t>
      </w:r>
      <w:r>
        <w:rPr>
          <w:rFonts w:ascii="Arial" w:cs="Arial" w:eastAsia="Arial" w:hAnsi="Arial"/>
          <w:sz w:val="17"/>
          <w:szCs w:val="17"/>
          <w:i w:val="1"/>
          <w:iCs w:val="1"/>
          <w:color w:val="auto"/>
        </w:rPr>
        <w:t xml:space="preserve"> </w:t>
      </w:r>
      <w:r>
        <w:rPr>
          <w:rFonts w:ascii="Arial" w:cs="Arial" w:eastAsia="Arial" w:hAnsi="Arial"/>
          <w:sz w:val="17"/>
          <w:szCs w:val="17"/>
          <w:color w:val="auto"/>
        </w:rPr>
        <w:t>having disposed of those units. If so, he would no longer be treated for tax purposes as a partner with respect to those units during the period of the loan and may recognize gain or loss from the disposition. As a result, during this period:</w:t>
      </w:r>
    </w:p>
    <w:p>
      <w:pPr>
        <w:spacing w:after="0" w:line="71" w:lineRule="exact"/>
        <w:rPr>
          <w:sz w:val="20"/>
          <w:szCs w:val="20"/>
          <w:color w:val="auto"/>
        </w:rPr>
      </w:pPr>
    </w:p>
    <w:p>
      <w:pPr>
        <w:ind w:left="1300" w:hanging="202"/>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of our income, gain, loss or deduction with respect to those units would not be reportable by the unitholder;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cash distributions received by the unitholder as to those units would be fully taxable;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of these distributions would appear to be ordinary income.</w:t>
      </w:r>
    </w:p>
    <w:p>
      <w:pPr>
        <w:spacing w:after="0" w:line="131" w:lineRule="exact"/>
        <w:rPr>
          <w:sz w:val="20"/>
          <w:szCs w:val="20"/>
          <w:color w:val="auto"/>
        </w:rPr>
      </w:pPr>
    </w:p>
    <w:p>
      <w:pPr>
        <w:ind w:left="700" w:right="180" w:firstLine="397"/>
        <w:spacing w:after="0" w:line="297" w:lineRule="auto"/>
        <w:rPr>
          <w:sz w:val="20"/>
          <w:szCs w:val="20"/>
          <w:color w:val="auto"/>
        </w:rPr>
      </w:pPr>
      <w:r>
        <w:rPr>
          <w:rFonts w:ascii="Arial" w:cs="Arial" w:eastAsia="Arial" w:hAnsi="Arial"/>
          <w:sz w:val="16"/>
          <w:szCs w:val="16"/>
          <w:color w:val="auto"/>
        </w:rPr>
        <w:t>Vinson &amp; Elkins L.L.P. has not rendered an opinion regarding the treatment of a unitholder where common units are loaned to a short seller to cover a short sale of common units; therefore, unitholders desiring to assure their status as partners and avoid the risk of gain recognition from a loan to a short seller are urged to modify any applicable brokerage account agreements to prohibit their brokers from borrowing their units. The IRS has announced that it is actively studying issues relating to the tax treatment of short sales of partnership interests. Please also read “— Disposition of Common Units — Recognition of Gain or Loss.”</w:t>
      </w:r>
    </w:p>
    <w:p>
      <w:pPr>
        <w:spacing w:after="0" w:line="64"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i w:val="1"/>
          <w:iCs w:val="1"/>
          <w:color w:val="auto"/>
        </w:rPr>
        <w:t xml:space="preserve">Alternative Minimum Tax. </w:t>
      </w:r>
      <w:r>
        <w:rPr>
          <w:rFonts w:ascii="Arial" w:cs="Arial" w:eastAsia="Arial" w:hAnsi="Arial"/>
          <w:sz w:val="18"/>
          <w:szCs w:val="18"/>
          <w:color w:val="auto"/>
        </w:rPr>
        <w:t>Each unitholder will be required to take into account his distributive share of any items of our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are urged to consult with their tax advisors as to the impact of an investment in units on their liability for the alternative minimum tax.</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firstLine="397"/>
        <w:spacing w:after="0" w:line="297" w:lineRule="auto"/>
        <w:rPr>
          <w:sz w:val="20"/>
          <w:szCs w:val="20"/>
          <w:color w:val="auto"/>
        </w:rPr>
      </w:pPr>
      <w:r>
        <w:rPr>
          <w:rFonts w:ascii="Arial" w:cs="Arial" w:eastAsia="Arial" w:hAnsi="Arial"/>
          <w:sz w:val="16"/>
          <w:szCs w:val="16"/>
          <w:i w:val="1"/>
          <w:iCs w:val="1"/>
          <w:color w:val="auto"/>
        </w:rPr>
        <w:t xml:space="preserve">Tax Rates. </w:t>
      </w:r>
      <w:r>
        <w:rPr>
          <w:rFonts w:ascii="Arial" w:cs="Arial" w:eastAsia="Arial" w:hAnsi="Arial"/>
          <w:sz w:val="16"/>
          <w:szCs w:val="16"/>
          <w:color w:val="auto"/>
        </w:rPr>
        <w:t>Under current law, the highest marginal U.S. federal income tax rate applicable to ordinary income of individuals is 35%</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highest marginal U.S. federal income tax rate applicable to long-term capital gains (generally, capital gains on certain assets held for more than 12 months) of individuals is 15%. However, absent new legislation extending the current rates, beginning January 1, 2011, the highest marginal U.S. federal income tax rate applicable to ordinary income and long-term capital gains of individuals will increase to 39.6% and 20%, respectively. Moreover, these rates are subject to change by new legislation at any time.</w:t>
      </w:r>
    </w:p>
    <w:p>
      <w:pPr>
        <w:spacing w:after="0" w:line="64" w:lineRule="exact"/>
        <w:rPr>
          <w:sz w:val="20"/>
          <w:szCs w:val="20"/>
          <w:color w:val="auto"/>
        </w:rPr>
      </w:pPr>
    </w:p>
    <w:p>
      <w:pPr>
        <w:ind w:left="700" w:right="160" w:firstLine="397"/>
        <w:spacing w:after="0" w:line="273" w:lineRule="auto"/>
        <w:rPr>
          <w:sz w:val="20"/>
          <w:szCs w:val="20"/>
          <w:color w:val="auto"/>
        </w:rPr>
      </w:pPr>
      <w:r>
        <w:rPr>
          <w:rFonts w:ascii="Arial" w:cs="Arial" w:eastAsia="Arial" w:hAnsi="Arial"/>
          <w:sz w:val="17"/>
          <w:szCs w:val="17"/>
          <w:i w:val="1"/>
          <w:iCs w:val="1"/>
          <w:color w:val="auto"/>
        </w:rPr>
        <w:t xml:space="preserve">Section 754 Election. </w:t>
      </w:r>
      <w:r>
        <w:rPr>
          <w:rFonts w:ascii="Arial" w:cs="Arial" w:eastAsia="Arial" w:hAnsi="Arial"/>
          <w:sz w:val="17"/>
          <w:szCs w:val="17"/>
          <w:color w:val="auto"/>
        </w:rPr>
        <w:t>We have made the election permitted by Section 754 of the Internal Revenue Code. That election is</w:t>
      </w:r>
      <w:r>
        <w:rPr>
          <w:rFonts w:ascii="Arial" w:cs="Arial" w:eastAsia="Arial" w:hAnsi="Arial"/>
          <w:sz w:val="17"/>
          <w:szCs w:val="17"/>
          <w:i w:val="1"/>
          <w:iCs w:val="1"/>
          <w:color w:val="auto"/>
        </w:rPr>
        <w:t xml:space="preserve"> </w:t>
      </w:r>
      <w:r>
        <w:rPr>
          <w:rFonts w:ascii="Arial" w:cs="Arial" w:eastAsia="Arial" w:hAnsi="Arial"/>
          <w:sz w:val="17"/>
          <w:szCs w:val="17"/>
          <w:color w:val="auto"/>
        </w:rPr>
        <w:t>irrevocable without the consent of 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unitholders. For purposes of this discussion, a unitholder’s inside basis in our assets will be considered to have two components: (1) his share of our tax basis in our assets (“common basis”) and (2) his Section 743(b) adjustment to that basis.</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Where the remedial allocation method is adopted (which we have generally adopted as to all of our properties), the Treasury</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Regulations under Section 743 of the Internal Revenue Code require a portion of the Section 743(b) adjustment that is attributable to</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recovery property subject to depreciation under Section 168 of the Internal Revenue Code whose book basis is in excess of its tax basis to</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 depreciated over the remaining cost recovery period for the property’s unamortized Book-Tax Disparity. Under Treasury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Regulation Section 1.167(c)-1(a)(6), a Section 743(b) adjustment attributable to property subject to depreciation under Section 167 of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Internal Revenue Code, rather than cost recovery deductions under Section 168, is generally required to be depreciated using either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straight-line method or the 150% declining balance method. If we elect a method other than the remedial method, the depreciation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amortization methods and useful lives associated with the Section 743(b) adjustment, therefore, may differ from the methods and useful</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lives generally used to depreciate the inside basis in such properties. Under our partnership agreement, the general partner is authorized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 take a position to preserve the uniformity of units even if that position is not consistent with these and any other Treasury Regulations.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If we elect a method other than the remedial method with respect to a goodwill property, the common basis of such property is not</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amortizable. Please see “— Uniformity of Units.”</w:t>
      </w:r>
    </w:p>
    <w:p>
      <w:pPr>
        <w:spacing w:after="0" w:line="116" w:lineRule="exact"/>
        <w:rPr>
          <w:sz w:val="20"/>
          <w:szCs w:val="20"/>
          <w:color w:val="auto"/>
        </w:rPr>
      </w:pPr>
    </w:p>
    <w:p>
      <w:pPr>
        <w:ind w:left="700" w:right="260" w:firstLine="397"/>
        <w:spacing w:after="0" w:line="284" w:lineRule="auto"/>
        <w:rPr>
          <w:sz w:val="20"/>
          <w:szCs w:val="20"/>
          <w:color w:val="auto"/>
        </w:rPr>
      </w:pPr>
      <w:r>
        <w:rPr>
          <w:rFonts w:ascii="Arial" w:cs="Arial" w:eastAsia="Arial" w:hAnsi="Arial"/>
          <w:sz w:val="16"/>
          <w:szCs w:val="16"/>
          <w:color w:val="auto"/>
        </w:rPr>
        <w:t>Although Vinson &amp; Elkins L.L.P. is unable to opine as to the validity of this approach because there is no direct or indirect controlling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which is not amortizable. This method is consistent with the methods employed by other publicly traded partnerships but is arguably inconsistent with Treasury</w:t>
      </w:r>
    </w:p>
    <w:p>
      <w:pPr>
        <w:spacing w:after="0" w:line="5" w:lineRule="exact"/>
        <w:rPr>
          <w:sz w:val="20"/>
          <w:szCs w:val="20"/>
          <w:color w:val="auto"/>
        </w:rPr>
      </w:pPr>
    </w:p>
    <w:p>
      <w:pPr>
        <w:ind w:left="700" w:right="60"/>
        <w:spacing w:after="0" w:line="267" w:lineRule="auto"/>
        <w:rPr>
          <w:sz w:val="20"/>
          <w:szCs w:val="20"/>
          <w:color w:val="auto"/>
        </w:rPr>
      </w:pPr>
      <w:r>
        <w:rPr>
          <w:rFonts w:ascii="Arial" w:cs="Arial" w:eastAsia="Arial" w:hAnsi="Arial"/>
          <w:sz w:val="17"/>
          <w:szCs w:val="17"/>
          <w:color w:val="auto"/>
        </w:rPr>
        <w:t>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see “— Uniformity of Units.” A unitholder’s tax basis for his common units is reduced by his share of our deductions (whether or not such deductions were claimed on an individual’s income tax return) so that any position we take that understates deductions will overstate the common unitholder’s basis in his common units, which may cause the unitholder to understate gain or overstate loss on any sale of such units. Please see “— Disposition of Common Units — Recognition of Gain or Loss.” The IRS may challenge our position with respect to depreciating or amortizing the Section 743(b) adjustment we take to preserve the</w:t>
      </w:r>
    </w:p>
    <w:p>
      <w:pPr>
        <w:spacing w:after="0" w:line="37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uniformity of the units. If such a challenge were sustained, the gain from the sale of units might be increased without the benefit of additional deductions.</w:t>
      </w:r>
    </w:p>
    <w:p>
      <w:pPr>
        <w:spacing w:after="0" w:line="76"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deductions and his share of any gain or loss on a sale of our assets would be less.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or if we distribute property and have a substantial basis reduction. Generally a built-in loss or a basis reduction is substantial if it exceeds $250,000.</w:t>
      </w:r>
    </w:p>
    <w:p>
      <w:pPr>
        <w:spacing w:after="0" w:line="84"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nonamortizable or amortizable over a longer period of time or under a less accelerated method than our tangible assets. We cannot assure you that the determinations we make will not be successfully challenged by the IRS and that the deductions resulting from them will not be reduced or disallowed altogether.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Treatment of Operations</w:t>
      </w:r>
    </w:p>
    <w:p>
      <w:pPr>
        <w:spacing w:after="0" w:line="135"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i w:val="1"/>
          <w:iCs w:val="1"/>
          <w:color w:val="auto"/>
        </w:rPr>
        <w:t xml:space="preserve">Accounting Method and Taxable Year. </w:t>
      </w:r>
      <w:r>
        <w:rPr>
          <w:rFonts w:ascii="Arial" w:cs="Arial" w:eastAsia="Arial" w:hAnsi="Arial"/>
          <w:sz w:val="17"/>
          <w:szCs w:val="17"/>
          <w:color w:val="auto"/>
        </w:rPr>
        <w:t>We use the year ending December 31 as our taxable year and the accrual method of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see “— Disposition of Common Units — Allocations Between Transferors and Transferees.”</w:t>
      </w:r>
    </w:p>
    <w:p>
      <w:pPr>
        <w:spacing w:after="0" w:line="83"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i w:val="1"/>
          <w:iCs w:val="1"/>
          <w:color w:val="auto"/>
        </w:rPr>
        <w:t xml:space="preserve">Initial Tax Basis, Depreciation and Amortization. </w:t>
      </w:r>
      <w:r>
        <w:rPr>
          <w:rFonts w:ascii="Arial" w:cs="Arial" w:eastAsia="Arial" w:hAnsi="Arial"/>
          <w:sz w:val="18"/>
          <w:szCs w:val="18"/>
          <w:color w:val="auto"/>
        </w:rPr>
        <w:t>The tax basis of our assets will be used for purposes of computing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cost recovery deductions and, ultimately, gain or loss on the disposition of these assets. The federal income tax burden associated with the difference between the fair market value of our assets and their tax basis immediately prior to an offering will be borne by our unitholders holding interests in us prior to any such offering. Please see “— Tax Consequences of Unit Ownership — Allocation of Income, Gain, Loss and Deduction.”</w:t>
      </w:r>
    </w:p>
    <w:p>
      <w:pPr>
        <w:spacing w:after="0" w:line="94"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To the extent allowable, we may elect to use the depreciation and cost recovery methods that will result in the largest deductions being taken in the early years after assets subject to these allowances are placed in service. Because our general partner may determine not to adopt the remedial method of allocation with respect to any difference between the tax basis and the fair market value of goodwill immediately prior to any future offering, we may not be entitled to any amortization deductions with respect to any goodwill conveyed to us on formation or held by us at the time of any future offering. Please see “— Uniformity of Units.” Property we subsequently acquire or construct may be depreciated using accelerated methods permitted by the Internal Revenue Code.</w:t>
      </w:r>
    </w:p>
    <w:p>
      <w:pPr>
        <w:spacing w:after="0" w:line="70"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If we dispose of depreciable property by sale, foreclosure or otherwise, all or a portion of any gain, determined by reference to the amount of depreciation previously deducted and the nature of the property,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79" w:lineRule="auto"/>
        <w:rPr>
          <w:sz w:val="20"/>
          <w:szCs w:val="20"/>
          <w:color w:val="auto"/>
        </w:rPr>
      </w:pPr>
      <w:r>
        <w:rPr>
          <w:rFonts w:ascii="Arial" w:cs="Arial" w:eastAsia="Arial" w:hAnsi="Arial"/>
          <w:sz w:val="17"/>
          <w:szCs w:val="17"/>
          <w:color w:val="auto"/>
        </w:rPr>
        <w:t>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 Please see “— Tax Consequences of Unit Ownership — Allocation of Income, Gain, Loss and Deduction” and “— Disposition of Common Units — Recognition of Gain or Loss.”</w:t>
      </w:r>
    </w:p>
    <w:p>
      <w:pPr>
        <w:spacing w:after="0" w:line="77"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costs we incur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92"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i w:val="1"/>
          <w:iCs w:val="1"/>
          <w:color w:val="auto"/>
        </w:rPr>
        <w:t xml:space="preserve">Valuation and Tax Basis of Our Properties. </w:t>
      </w:r>
      <w:r>
        <w:rPr>
          <w:rFonts w:ascii="Arial" w:cs="Arial" w:eastAsia="Arial" w:hAnsi="Arial"/>
          <w:sz w:val="17"/>
          <w:szCs w:val="17"/>
          <w:color w:val="auto"/>
        </w:rPr>
        <w:t>The federal income tax consequences of the ownership and disposition of units will</w:t>
      </w:r>
      <w:r>
        <w:rPr>
          <w:rFonts w:ascii="Arial" w:cs="Arial" w:eastAsia="Arial" w:hAnsi="Arial"/>
          <w:sz w:val="17"/>
          <w:szCs w:val="17"/>
          <w:i w:val="1"/>
          <w:iCs w:val="1"/>
          <w:color w:val="auto"/>
        </w:rPr>
        <w:t xml:space="preserve"> </w:t>
      </w:r>
      <w:r>
        <w:rPr>
          <w:rFonts w:ascii="Arial" w:cs="Arial" w:eastAsia="Arial" w:hAnsi="Arial"/>
          <w:sz w:val="17"/>
          <w:szCs w:val="17"/>
          <w:color w:val="auto"/>
        </w:rPr>
        <w:t>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Disposition of Common Units</w:t>
      </w:r>
    </w:p>
    <w:p>
      <w:pPr>
        <w:spacing w:after="0" w:line="135"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i w:val="1"/>
          <w:iCs w:val="1"/>
          <w:color w:val="auto"/>
        </w:rPr>
        <w:t xml:space="preserve">Recognition of Gain or Loss. </w:t>
      </w:r>
      <w:r>
        <w:rPr>
          <w:rFonts w:ascii="Arial" w:cs="Arial" w:eastAsia="Arial" w:hAnsi="Arial"/>
          <w:sz w:val="18"/>
          <w:szCs w:val="18"/>
          <w:color w:val="auto"/>
        </w:rPr>
        <w:t>Gain or loss will be recognized on a sale of units equal to the difference between the amount realized</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unitholder’s tax basis for the units sold. A unitholder’s amount realized will be measured by the sum of the 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w:t>
      </w:r>
    </w:p>
    <w:p>
      <w:pPr>
        <w:spacing w:after="0" w:line="94"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received is less than his original cost.</w:t>
      </w:r>
    </w:p>
    <w:p>
      <w:pPr>
        <w:spacing w:after="0" w:line="87" w:lineRule="exact"/>
        <w:rPr>
          <w:sz w:val="20"/>
          <w:szCs w:val="20"/>
          <w:color w:val="auto"/>
        </w:rPr>
      </w:pPr>
    </w:p>
    <w:p>
      <w:pPr>
        <w:ind w:left="700" w:right="80" w:firstLine="397"/>
        <w:spacing w:after="0" w:line="287" w:lineRule="auto"/>
        <w:rPr>
          <w:sz w:val="20"/>
          <w:szCs w:val="20"/>
          <w:color w:val="auto"/>
        </w:rPr>
      </w:pPr>
      <w:r>
        <w:rPr>
          <w:rFonts w:ascii="Arial" w:cs="Arial" w:eastAsia="Arial" w:hAnsi="Arial"/>
          <w:sz w:val="16"/>
          <w:szCs w:val="16"/>
          <w:color w:val="auto"/>
        </w:rPr>
        <w:t>Except as noted below, gain or loss recognized by a unitholder, other than a “dealer” in units, on the sale or exchange of a unit held for more than one year will generally be taxable as long term capital gain or loss. Capital gain recognized by an individual on the sale of units held more than twelve months will generally be taxed at a maximum rate of 15% through December 31, 2010 and 20% thereafter (absent new legislation extending or adjusting the current rate). However, a portion of this gain or loss, which will likely be substantial,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Net capital losses may offset capital gains and no more than $3,000 of ordinary income, in the case of individuals, and may only be used to offset capital gains in the case of corporations.</w:t>
      </w:r>
    </w:p>
    <w:p>
      <w:pPr>
        <w:spacing w:after="0" w:line="78"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70" w:lineRule="auto"/>
        <w:rPr>
          <w:sz w:val="20"/>
          <w:szCs w:val="20"/>
          <w:color w:val="auto"/>
        </w:rPr>
      </w:pPr>
      <w:r>
        <w:rPr>
          <w:rFonts w:ascii="Arial" w:cs="Arial" w:eastAsia="Arial" w:hAnsi="Arial"/>
          <w:sz w:val="17"/>
          <w:szCs w:val="17"/>
          <w:color w:val="auto"/>
        </w:rPr>
        <w:t>partnership as the value of the interest sold bears to the value of the partner’s entire interest in the partnership. Treasury Regulations under Section 1223 of the Internal Revenue Code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Treasury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is urged to consult his tax advisor as to the possible consequences of this ruling and application of the Treasury Regulations.</w:t>
      </w:r>
    </w:p>
    <w:p>
      <w:pPr>
        <w:spacing w:after="0" w:line="87"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w:t>
      </w:r>
    </w:p>
    <w:p>
      <w:pPr>
        <w:spacing w:after="0" w:line="87" w:lineRule="exact"/>
        <w:rPr>
          <w:sz w:val="20"/>
          <w:szCs w:val="20"/>
          <w:color w:val="auto"/>
        </w:rPr>
      </w:pPr>
    </w:p>
    <w:p>
      <w:pPr>
        <w:ind w:left="1300" w:hanging="202"/>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131"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w:t>
      </w:r>
    </w:p>
    <w:p>
      <w:pPr>
        <w:spacing w:after="0" w:line="94"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i w:val="1"/>
          <w:iCs w:val="1"/>
          <w:color w:val="auto"/>
        </w:rPr>
        <w:t xml:space="preserve">Allocations Between Transferors and Transferees. </w:t>
      </w:r>
      <w:r>
        <w:rPr>
          <w:rFonts w:ascii="Arial" w:cs="Arial" w:eastAsia="Arial" w:hAnsi="Arial"/>
          <w:sz w:val="16"/>
          <w:szCs w:val="16"/>
          <w:color w:val="auto"/>
        </w:rPr>
        <w:t>In general, our taxable income and losses will be determined annually,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prorated on a monthly basis and will be subsequently apportioned among the unitholders in proportion to the number of units owned by each of them as of the opening of the applicable exchange on the first business day of the month, which we refer to in this prospectus as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w:t>
      </w:r>
    </w:p>
    <w:p>
      <w:pPr>
        <w:spacing w:after="0" w:line="70"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Although simplifying conventions are contemplated by the Internal Revenue Code and most publicly 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 traded partnership may use a similar monthly simplifying convention to allocate tax items among transferor and transferee unitholders, although such tax items must be prorated on a daily basis. Existing publicly traded partnerships are entitled to rely on these proposed Treasury Regulations; however, they are not binding on the IRS and are subject to change until final Treasury Regulations are issued. Accordingly, Vinson &amp; Elkins L.L.P. is unable to opine on the validity of this method of allocating income and deductions between transferor and transferee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transferor and transferee unitholders, as well as unitholders whose interests vary during a taxable year, to conform to a method permitted under future Treasury Regulations.</w:t>
      </w:r>
    </w:p>
    <w:p>
      <w:pPr>
        <w:spacing w:after="0" w:line="88" w:lineRule="exact"/>
        <w:rPr>
          <w:sz w:val="20"/>
          <w:szCs w:val="20"/>
          <w:color w:val="auto"/>
        </w:rPr>
      </w:pPr>
    </w:p>
    <w:p>
      <w:pPr>
        <w:ind w:left="700" w:right="340" w:firstLine="397"/>
        <w:spacing w:after="0" w:line="264" w:lineRule="auto"/>
        <w:rPr>
          <w:sz w:val="20"/>
          <w:szCs w:val="20"/>
          <w:color w:val="auto"/>
        </w:rPr>
      </w:pPr>
      <w:r>
        <w:rPr>
          <w:rFonts w:ascii="Arial" w:cs="Arial" w:eastAsia="Arial" w:hAnsi="Arial"/>
          <w:sz w:val="18"/>
          <w:szCs w:val="18"/>
          <w:color w:val="auto"/>
        </w:rPr>
        <w:t>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i w:val="1"/>
          <w:iCs w:val="1"/>
          <w:color w:val="auto"/>
        </w:rPr>
        <w:t xml:space="preserve">Notification Requirements. </w:t>
      </w:r>
      <w:r>
        <w:rPr>
          <w:rFonts w:ascii="Arial" w:cs="Arial" w:eastAsia="Arial" w:hAnsi="Arial"/>
          <w:sz w:val="18"/>
          <w:szCs w:val="18"/>
          <w:color w:val="auto"/>
        </w:rPr>
        <w:t>A unitholder who sells any of his units is generally required to notify us in writing of that sale within</w:t>
      </w:r>
      <w:r>
        <w:rPr>
          <w:rFonts w:ascii="Arial" w:cs="Arial" w:eastAsia="Arial" w:hAnsi="Arial"/>
          <w:sz w:val="18"/>
          <w:szCs w:val="18"/>
          <w:i w:val="1"/>
          <w:iCs w:val="1"/>
          <w:color w:val="auto"/>
        </w:rPr>
        <w:t xml:space="preserve"> </w:t>
      </w:r>
      <w:r>
        <w:rPr>
          <w:rFonts w:ascii="Arial" w:cs="Arial" w:eastAsia="Arial" w:hAnsi="Arial"/>
          <w:sz w:val="18"/>
          <w:szCs w:val="18"/>
          <w:color w:val="auto"/>
        </w:rPr>
        <w:t>30 days after the sale (or, if earlier, January 15 of the 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95"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i w:val="1"/>
          <w:iCs w:val="1"/>
          <w:color w:val="auto"/>
        </w:rPr>
        <w:t xml:space="preserve">Constructive Termination. </w:t>
      </w:r>
      <w:r>
        <w:rPr>
          <w:rFonts w:ascii="Arial" w:cs="Arial" w:eastAsia="Arial" w:hAnsi="Arial"/>
          <w:sz w:val="17"/>
          <w:szCs w:val="17"/>
          <w:color w:val="auto"/>
        </w:rPr>
        <w:t>We will be considered to have been terminated for tax purposes if there are sales or exchanges which, in</w:t>
      </w:r>
      <w:r>
        <w:rPr>
          <w:rFonts w:ascii="Arial" w:cs="Arial" w:eastAsia="Arial" w:hAnsi="Arial"/>
          <w:sz w:val="17"/>
          <w:szCs w:val="17"/>
          <w:i w:val="1"/>
          <w:iCs w:val="1"/>
          <w:color w:val="auto"/>
        </w:rPr>
        <w:t xml:space="preserve"> </w:t>
      </w:r>
      <w:r>
        <w:rPr>
          <w:rFonts w:ascii="Arial" w:cs="Arial" w:eastAsia="Arial" w:hAnsi="Arial"/>
          <w:sz w:val="17"/>
          <w:szCs w:val="17"/>
          <w:color w:val="auto"/>
        </w:rPr>
        <w:t>the aggregate, constitute 50% or more of the total interests in our capital and profits within a twelve-month period. For purposes of measuring whether the 50% threshold is reached, multiple sales of the same interest are counted only once.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his taxable income for the year of termination. A constructive termination occurring on a date other than December 31 will result in us filing two tax returns (and common unitholders receiving two Schedules K-1) for one fiscal year and the cost of the preparation of these returns will be borne by all common unitholders.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 The IRS has recently announced that it plans to issue guidance regarding the treatment of constructive terminations of publicly traded partnerships such as us. Any such guidance may change the application of the rules discussed above and may affect the tax treatment of a unitholder.</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Uniformity of Units</w:t>
      </w:r>
    </w:p>
    <w:p>
      <w:pPr>
        <w:spacing w:after="0" w:line="135"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see “— Tax Consequences of Unit Ownership — Section 754 Election.”</w:t>
      </w:r>
    </w:p>
    <w:p>
      <w:pPr>
        <w:spacing w:after="0" w:line="94"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the common basis of which is not amortizable, consistent with the regulations under Section 743 of the Internal Revenue Code, even though that position may be inconsistent with Treasury</w:t>
      </w:r>
    </w:p>
    <w:p>
      <w:pPr>
        <w:spacing w:after="0" w:line="3" w:lineRule="exact"/>
        <w:rPr>
          <w:sz w:val="20"/>
          <w:szCs w:val="20"/>
          <w:color w:val="auto"/>
        </w:rPr>
      </w:pPr>
    </w:p>
    <w:p>
      <w:pPr>
        <w:ind w:left="700" w:right="40"/>
        <w:spacing w:after="0" w:line="286" w:lineRule="auto"/>
        <w:rPr>
          <w:sz w:val="20"/>
          <w:szCs w:val="20"/>
          <w:color w:val="auto"/>
        </w:rPr>
      </w:pPr>
      <w:r>
        <w:rPr>
          <w:rFonts w:ascii="Arial" w:cs="Arial" w:eastAsia="Arial" w:hAnsi="Arial"/>
          <w:sz w:val="16"/>
          <w:szCs w:val="16"/>
          <w:color w:val="auto"/>
        </w:rPr>
        <w:t>Regulation Section 1.167(c)-1(a)(6), which is not expected to directly apply to a material portion of our assets, and Treasury Regulation Section 1.197-2(g)(3). Please see “— Tax Consequences of Unit Ownership — 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methods and lives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w:t>
      </w:r>
    </w:p>
    <w:p>
      <w:pPr>
        <w:spacing w:after="0" w:line="35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97" w:lineRule="auto"/>
        <w:rPr>
          <w:sz w:val="20"/>
          <w:szCs w:val="20"/>
          <w:color w:val="auto"/>
        </w:rPr>
      </w:pPr>
      <w:r>
        <w:rPr>
          <w:rFonts w:ascii="Arial" w:cs="Arial" w:eastAsia="Arial" w:hAnsi="Arial"/>
          <w:sz w:val="16"/>
          <w:szCs w:val="16"/>
          <w:color w:val="auto"/>
        </w:rPr>
        <w:t>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see “— Disposition of Common Units — Recognition of Gain or Loss.”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135" w:lineRule="exact"/>
        <w:rPr>
          <w:sz w:val="20"/>
          <w:szCs w:val="20"/>
          <w:color w:val="auto"/>
        </w:rPr>
      </w:pPr>
    </w:p>
    <w:p>
      <w:pPr>
        <w:ind w:left="700" w:right="140" w:firstLine="397"/>
        <w:spacing w:after="0" w:line="312" w:lineRule="auto"/>
        <w:rPr>
          <w:sz w:val="20"/>
          <w:szCs w:val="20"/>
          <w:color w:val="auto"/>
        </w:rPr>
      </w:pPr>
      <w:r>
        <w:rPr>
          <w:rFonts w:ascii="Arial" w:cs="Arial" w:eastAsia="Arial" w:hAnsi="Arial"/>
          <w:sz w:val="16"/>
          <w:szCs w:val="16"/>
          <w:color w:val="auto"/>
        </w:rPr>
        <w:t>Ownership of units by employee benefit plans, other tax-exempt organizations, non-resident aliens, foreign corporations and other non-U.S. persons raises issues unique to those investors and, as described below, may have substantially adverse tax consequences to them. If you are a tax-exempt entity or a non-U.S. person, you should consult your tax advisor before investing in our common units.</w:t>
      </w:r>
    </w:p>
    <w:p>
      <w:pPr>
        <w:spacing w:after="0" w:line="52" w:lineRule="exact"/>
        <w:rPr>
          <w:sz w:val="20"/>
          <w:szCs w:val="20"/>
          <w:color w:val="auto"/>
        </w:rPr>
      </w:pPr>
    </w:p>
    <w:p>
      <w:pPr>
        <w:ind w:left="700" w:right="20" w:firstLine="397"/>
        <w:spacing w:after="0" w:line="312" w:lineRule="auto"/>
        <w:rPr>
          <w:sz w:val="20"/>
          <w:szCs w:val="20"/>
          <w:color w:val="auto"/>
        </w:rPr>
      </w:pPr>
      <w:r>
        <w:rPr>
          <w:rFonts w:ascii="Arial" w:cs="Arial" w:eastAsia="Arial" w:hAnsi="Arial"/>
          <w:sz w:val="16"/>
          <w:szCs w:val="16"/>
          <w:color w:val="auto"/>
        </w:rPr>
        <w:t>Employee benefit plans and most other organizations exempt from federal income tax, including individual retirement accounts and other retirement plans, are subject to federal income tax on unrelated business taxable income. Virtually all of our income allocated to a unitholder that is a tax-exempt organization will be unrelated business taxable income and will be taxable to it.</w:t>
      </w:r>
    </w:p>
    <w:p>
      <w:pPr>
        <w:spacing w:after="0" w:line="52"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net income or gain. Moreover, under rules applicable to publicly traded partnerships, we will withhold at the highest applicable effective tax rate from cash distributions made quarterly to non-U.S. unitholders. Each non-U.S. unitholder must obtain a taxpayer identification number from the IRS and submit that number to our transfer agent on a Form W-8BEN or applicable substitute form in order to obtain credit for these withholding taxes. A change in applicable law may require us to change these procedures.</w:t>
      </w:r>
    </w:p>
    <w:p>
      <w:pPr>
        <w:spacing w:after="0" w:line="83"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In addition, because a foreign corporation that owns units will be treated as engaged in a United States trade or business, that corporation may be subject to the United States branch profits tax at a rate of 30%, in addition to regular federal income tax, on its share of our income and gain, as adjusted for changes in the foreign corporation’s “U.S. net equity,” which are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w:t>
      </w:r>
    </w:p>
    <w:p>
      <w:pPr>
        <w:spacing w:after="0" w:line="84"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A foreign unitholder who sells or otherwise disposes of a unit will be subject to U.S. federal income tax on gain realized from the sale or disposition of that unit to the extent the gain is effectively connected with a U.S. trade or business of the foreign unitholder. Under a ruling published by the IRS, interpreting the scope of “effectively connected income,” a foreign unitholder would be considered to be engaged in a trade or business in the U.S. by virtue of the U.S. activities of the partnership, and part or all of that unitholder’s gain would be effectively connected with that unitholder’s indirect U.S. trade or business. Moreover, under the Foreign Investment in Real Property Tax Act, a foreign unitholder generally will be subject to U.S. federal income tax upon the sale or disposition of a unit if (i) he owned (directly or constructively applying certain attribution rules) more than 5% of our common units at any time during the five-year period ending on the date of such disposition and (ii) 50% or more of the fair market value of all of our assets consisted of U.S. real property interests at any time during the shorter of the period during which such unitholder held the common units or the 5-year period ending on the date of disposition. Currently, more than 50% of our assets consist of U.S. real property interests and we do not expect that to change in the foreseeable future. Therefore, foreign unitholders may be subject to federal income tax on gain from the sale or disposition of their units.</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Administrative Matters</w:t>
      </w:r>
    </w:p>
    <w:p>
      <w:pPr>
        <w:spacing w:after="0" w:line="135"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i w:val="1"/>
          <w:iCs w:val="1"/>
          <w:color w:val="auto"/>
        </w:rPr>
        <w:t xml:space="preserve">Information Returns and Audit Procedures. </w:t>
      </w:r>
      <w:r>
        <w:rPr>
          <w:rFonts w:ascii="Arial" w:cs="Arial" w:eastAsia="Arial" w:hAnsi="Arial"/>
          <w:sz w:val="18"/>
          <w:szCs w:val="18"/>
          <w:color w:val="auto"/>
        </w:rPr>
        <w:t>We intend to furnish to each unitholder, within 90 days after the close of each calendar</w:t>
      </w:r>
      <w:r>
        <w:rPr>
          <w:rFonts w:ascii="Arial" w:cs="Arial" w:eastAsia="Arial" w:hAnsi="Arial"/>
          <w:sz w:val="18"/>
          <w:szCs w:val="18"/>
          <w:i w:val="1"/>
          <w:iCs w:val="1"/>
          <w:color w:val="auto"/>
        </w:rPr>
        <w:t xml:space="preserve"> </w:t>
      </w:r>
      <w:r>
        <w:rPr>
          <w:rFonts w:ascii="Arial" w:cs="Arial" w:eastAsia="Arial" w:hAnsi="Arial"/>
          <w:sz w:val="18"/>
          <w:szCs w:val="18"/>
          <w:color w:val="auto"/>
        </w:rPr>
        <w:t>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in all cases yield a result that conforms to the requirements of the Internal Revenue Code, Treasury Regulations or administrative interpretations of the IRS. Neither we nor Vinson &amp; Elkins L.L.P. can assure prospective unitholders that the IRS will not successfully contend in court that those positions are impermissible. Any challenge by the IRS could negatively affect the value of the units.</w:t>
      </w:r>
    </w:p>
    <w:p>
      <w:pPr>
        <w:spacing w:after="0" w:line="98"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The IRS may audit our federal income tax information returns. Adjustments resulting from an IRS audit may require each unitholder to adjust a prior year’s tax liability, and possibly may result in an audit of his return. Any audit of a unitholder’s return could result in adjustments not related to our returns as well as those related to our returns.</w:t>
      </w:r>
    </w:p>
    <w:p>
      <w:pPr>
        <w:spacing w:after="0" w:line="87" w:lineRule="exact"/>
        <w:rPr>
          <w:sz w:val="20"/>
          <w:szCs w:val="20"/>
          <w:color w:val="auto"/>
        </w:rPr>
      </w:pPr>
    </w:p>
    <w:p>
      <w:pPr>
        <w:ind w:left="700" w:right="220" w:firstLine="397"/>
        <w:spacing w:after="0" w:line="257" w:lineRule="auto"/>
        <w:rPr>
          <w:sz w:val="20"/>
          <w:szCs w:val="20"/>
          <w:color w:val="auto"/>
        </w:rPr>
      </w:pPr>
      <w:r>
        <w:rPr>
          <w:rFonts w:ascii="Arial" w:cs="Arial" w:eastAsia="Arial" w:hAnsi="Arial"/>
          <w:sz w:val="18"/>
          <w:szCs w:val="18"/>
          <w:color w:val="auto"/>
        </w:rPr>
        <w:t>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Our partnership agreement names our general partner as our Tax Matters Partner.</w:t>
      </w:r>
    </w:p>
    <w:p>
      <w:pPr>
        <w:spacing w:after="0" w:line="94"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color w:val="auto"/>
        </w:rPr>
        <w:t>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w:t>
      </w:r>
    </w:p>
    <w:p>
      <w:pPr>
        <w:spacing w:after="0" w:line="84"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A unitholder must file a statement with the IRS identifying the treatment of any item on his federal income tax return that is not consistent with the treatment of the item on our return. Intentional or negligent disregard of this consistency requirement may subject a unitholder to substantial penalties. Nominee Reporting. Persons who hold an interest in us as a nominee for another person are required to furnish to us:</w:t>
      </w:r>
    </w:p>
    <w:p>
      <w:pPr>
        <w:spacing w:after="0" w:line="92" w:lineRule="exact"/>
        <w:rPr>
          <w:sz w:val="20"/>
          <w:szCs w:val="20"/>
          <w:color w:val="auto"/>
        </w:rPr>
      </w:pPr>
    </w:p>
    <w:p>
      <w:pPr>
        <w:ind w:left="1300" w:hanging="202"/>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the beneficial owner is:</w:t>
      </w:r>
    </w:p>
    <w:p>
      <w:pPr>
        <w:spacing w:after="0" w:line="130" w:lineRule="exact"/>
        <w:rPr>
          <w:rFonts w:ascii="Arial" w:cs="Arial" w:eastAsia="Arial" w:hAnsi="Arial"/>
          <w:sz w:val="18"/>
          <w:szCs w:val="18"/>
          <w:color w:val="auto"/>
        </w:rPr>
      </w:pPr>
    </w:p>
    <w:p>
      <w:pPr>
        <w:ind w:left="1480" w:hanging="180"/>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person that is not a United States person;</w:t>
      </w:r>
    </w:p>
    <w:p>
      <w:pPr>
        <w:spacing w:after="0" w:line="117" w:lineRule="exact"/>
        <w:rPr>
          <w:rFonts w:ascii="Arial" w:cs="Arial" w:eastAsia="Arial" w:hAnsi="Arial"/>
          <w:sz w:val="18"/>
          <w:szCs w:val="18"/>
          <w:color w:val="auto"/>
        </w:rPr>
      </w:pPr>
    </w:p>
    <w:p>
      <w:pPr>
        <w:ind w:left="1480" w:right="860" w:hanging="180"/>
        <w:spacing w:after="0" w:line="277" w:lineRule="auto"/>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foreign government, an international organization or any wholly owned agency or instrumentality of either of the foregoing; or</w:t>
      </w:r>
    </w:p>
    <w:p>
      <w:pPr>
        <w:spacing w:after="0" w:line="62" w:lineRule="exact"/>
        <w:rPr>
          <w:rFonts w:ascii="Arial" w:cs="Arial" w:eastAsia="Arial" w:hAnsi="Arial"/>
          <w:sz w:val="18"/>
          <w:szCs w:val="18"/>
          <w:color w:val="auto"/>
        </w:rPr>
      </w:pPr>
    </w:p>
    <w:p>
      <w:pPr>
        <w:ind w:left="1480" w:hanging="180"/>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30" w:lineRule="exact"/>
        <w:rPr>
          <w:rFonts w:ascii="Arial" w:cs="Arial" w:eastAsia="Arial" w:hAnsi="Arial"/>
          <w:sz w:val="18"/>
          <w:szCs w:val="18"/>
          <w:color w:val="auto"/>
        </w:rPr>
      </w:pPr>
    </w:p>
    <w:p>
      <w:pPr>
        <w:ind w:left="1300" w:hanging="202"/>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117"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76" w:lineRule="exact"/>
        <w:rPr>
          <w:sz w:val="20"/>
          <w:szCs w:val="20"/>
          <w:color w:val="auto"/>
        </w:rPr>
      </w:pPr>
    </w:p>
    <w:p>
      <w:pPr>
        <w:jc w:val="both"/>
        <w:ind w:left="700" w:right="180" w:firstLine="397"/>
        <w:spacing w:after="0" w:line="264" w:lineRule="auto"/>
        <w:rPr>
          <w:sz w:val="20"/>
          <w:szCs w:val="20"/>
          <w:color w:val="auto"/>
        </w:rPr>
      </w:pPr>
      <w:r>
        <w:rPr>
          <w:rFonts w:ascii="Arial" w:cs="Arial" w:eastAsia="Arial" w:hAnsi="Arial"/>
          <w:sz w:val="18"/>
          <w:szCs w:val="18"/>
          <w:color w:val="auto"/>
        </w:rPr>
        <w:t>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00"/>
        <w:spacing w:after="0" w:line="277" w:lineRule="auto"/>
        <w:rPr>
          <w:sz w:val="20"/>
          <w:szCs w:val="20"/>
          <w:color w:val="auto"/>
        </w:rPr>
      </w:pPr>
      <w:r>
        <w:rPr>
          <w:rFonts w:ascii="Arial" w:cs="Arial" w:eastAsia="Arial" w:hAnsi="Arial"/>
          <w:sz w:val="18"/>
          <w:szCs w:val="18"/>
          <w:color w:val="auto"/>
        </w:rPr>
        <w:t>Internal Revenue Code for failure to report that information to us. The nominee is required to supply the beneficial owner of the units with the information furnished to us.</w:t>
      </w:r>
    </w:p>
    <w:p>
      <w:pPr>
        <w:spacing w:after="0" w:line="76"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i w:val="1"/>
          <w:iCs w:val="1"/>
          <w:color w:val="auto"/>
        </w:rPr>
        <w:t xml:space="preserve">Accuracy-Related Penalties. </w:t>
      </w:r>
      <w:r>
        <w:rPr>
          <w:rFonts w:ascii="Arial" w:cs="Arial" w:eastAsia="Arial" w:hAnsi="Arial"/>
          <w:sz w:val="18"/>
          <w:szCs w:val="18"/>
          <w:color w:val="auto"/>
        </w:rPr>
        <w:t>An additional tax equal to 20% of the amount of any portion of an underpayment of tax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one or more 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w:t>
      </w:r>
    </w:p>
    <w:p>
      <w:pPr>
        <w:spacing w:after="0" w:line="94" w:lineRule="exact"/>
        <w:rPr>
          <w:sz w:val="20"/>
          <w:szCs w:val="20"/>
          <w:color w:val="auto"/>
        </w:rPr>
      </w:pPr>
    </w:p>
    <w:p>
      <w:pPr>
        <w:ind w:left="700" w:right="160" w:firstLine="397"/>
        <w:spacing w:after="0" w:line="312" w:lineRule="auto"/>
        <w:rPr>
          <w:sz w:val="20"/>
          <w:szCs w:val="20"/>
          <w:color w:val="auto"/>
        </w:rPr>
      </w:pPr>
      <w:r>
        <w:rPr>
          <w:rFonts w:ascii="Arial" w:cs="Arial" w:eastAsia="Arial" w:hAnsi="Arial"/>
          <w:sz w:val="16"/>
          <w:szCs w:val="16"/>
          <w:color w:val="auto"/>
        </w:rPr>
        <w:t>For individuals, a substantial understatement of income tax in any taxable year exists if the amount of the understatement exceeds the greater of 10% of the tax required to be shown on the return for the taxable year or $5,000 ($10,000 for most corporations). The amount of any understatement subject to penalty generally is reduced if any portion is attributable to a position adopted on the return:</w:t>
      </w:r>
    </w:p>
    <w:p>
      <w:pPr>
        <w:spacing w:after="0" w:line="52" w:lineRule="exact"/>
        <w:rPr>
          <w:sz w:val="20"/>
          <w:szCs w:val="20"/>
          <w:color w:val="auto"/>
        </w:rPr>
      </w:pPr>
    </w:p>
    <w:p>
      <w:pPr>
        <w:ind w:left="1300" w:hanging="202"/>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which there is, or was, “substantial authority;”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 to which there is a reasonable basis and the pertinent facts of that position are disclosed on the return.</w:t>
      </w:r>
    </w:p>
    <w:p>
      <w:pPr>
        <w:spacing w:after="0" w:line="131"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and to take other actions as may be appropriate to permit unitholders to avoid liability for this penalty. More stringent rules apply to “tax shelters,” which we do not believe includes us or any of our investments, plans or arrangements.</w:t>
      </w:r>
    </w:p>
    <w:p>
      <w:pPr>
        <w:spacing w:after="0" w:line="78" w:lineRule="exact"/>
        <w:rPr>
          <w:sz w:val="20"/>
          <w:szCs w:val="20"/>
          <w:color w:val="auto"/>
        </w:rPr>
      </w:pPr>
    </w:p>
    <w:p>
      <w:pPr>
        <w:ind w:left="700" w:right="60" w:firstLine="397"/>
        <w:spacing w:after="0" w:line="290" w:lineRule="auto"/>
        <w:rPr>
          <w:sz w:val="20"/>
          <w:szCs w:val="20"/>
          <w:color w:val="auto"/>
        </w:rPr>
      </w:pPr>
      <w:r>
        <w:rPr>
          <w:rFonts w:ascii="Arial" w:cs="Arial" w:eastAsia="Arial" w:hAnsi="Arial"/>
          <w:sz w:val="16"/>
          <w:szCs w:val="16"/>
          <w:color w:val="auto"/>
        </w:rPr>
        <w:t>A substantial valuation misstatement exists if (i) the value of any property, or the tax basis of any property, claimed on a tax return is 150% or more of the amount determined to be the correct amount of the valuation or tax basis, (ii) the price for any property or services (or for the use of property) claimed on any such return with respect to any transaction between persons described in Internal Revenue Code Section 482 is 200% or more (or 50% or less) of the amount determined under Internal Revenue Code Section 482 to be the correct amount of such price or (iii) the net Internal Revenue Code Section 482 transfer price adjustment for the taxable year exceeds the lesser of $5 million or 10% of the taxpayer’s gross receipts. No penalty is imposed unless the portion of the underpayment attributable to a substantial valuation misstatement exceeds $5,000 ($10,000 for a corporation other than an S Corporation or a personal holding company). The penalty is increased to 40% in the event of a gross valuation misstatement.</w:t>
      </w:r>
    </w:p>
    <w:p>
      <w:pPr>
        <w:spacing w:after="0" w:line="7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Reportable Transactions. </w:t>
      </w:r>
      <w:r>
        <w:rPr>
          <w:rFonts w:ascii="Arial" w:cs="Arial" w:eastAsia="Arial" w:hAnsi="Arial"/>
          <w:sz w:val="18"/>
          <w:szCs w:val="18"/>
          <w:color w:val="auto"/>
        </w:rPr>
        <w:t>If we were to engage in a “reportable transaction,” we (and possibly you and others) would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a detailed 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for partnerships, individuals, S corporations, and trusts in excess of $2 million in any single year, or $4 million in any combination of 6 successive tax years. Our participation in a reportable transaction could increase the likelihood that our federal income tax information return (and possibly your tax return) would be audited by the IRS. Please see “— Information Returns and Audit Procedures.”</w:t>
      </w:r>
    </w:p>
    <w:p>
      <w:pPr>
        <w:spacing w:after="0" w:line="95"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Moreover, if we were to participate in a reportable transaction with a significant purpose to avoid or evade tax, or in any listed transaction, you may be subject to the following provisions of the American Jobs Creation Act of 2004:</w:t>
      </w:r>
    </w:p>
    <w:p>
      <w:pPr>
        <w:spacing w:after="0" w:line="76" w:lineRule="exact"/>
        <w:rPr>
          <w:sz w:val="20"/>
          <w:szCs w:val="20"/>
          <w:color w:val="auto"/>
        </w:rPr>
      </w:pPr>
    </w:p>
    <w:p>
      <w:pPr>
        <w:ind w:left="1300" w:right="660" w:hanging="202"/>
        <w:spacing w:after="0" w:line="277"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accuracy-related penalties with a broader scope, significantly narrower exceptions, and potentially greater amounts than described above at “— Accuracy-Related Penalties;”</w:t>
      </w:r>
    </w:p>
    <w:p>
      <w:pPr>
        <w:spacing w:after="0" w:line="62" w:lineRule="exact"/>
        <w:rPr>
          <w:rFonts w:ascii="Arial" w:cs="Arial" w:eastAsia="Arial" w:hAnsi="Arial"/>
          <w:sz w:val="18"/>
          <w:szCs w:val="18"/>
          <w:color w:val="auto"/>
        </w:rPr>
      </w:pPr>
    </w:p>
    <w:p>
      <w:pPr>
        <w:ind w:left="1300" w:hanging="202"/>
        <w:spacing w:after="0" w:line="277"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those persons otherwise entitled to deduct interest on federal tax deficiencies, nondeductibility of interest on any resulting tax liability;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the case of a listed transaction, an extended statute of limitations.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do not expect to engage in any “reportable transactions.”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State, Local, Foreign and Other Tax Considerations</w:t>
      </w:r>
    </w:p>
    <w:p>
      <w:pPr>
        <w:spacing w:after="0" w:line="135"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In addition to federal income taxes, you may be subject to other taxes, such as state, local and foreign income taxes, unincorporated business taxes, and estate, inheritance or intangible taxes that may be imposed by the various jurisdictions in which we do business or own property or in which you are a resident. Although an analysis of those various taxes is not presented here, each prospective unitholder should consider their potential impact on his investment in us. We currently own property and do business in Canada and most states of the United States. A unitholder may be required to file Canadian federal income tax returns and pay Canadian federal and provincial income taxes and to file state income tax returns and to pay taxes in various states and may be subject to penalties for failure to comply with those requirements. In some jurisdictions, tax losses may not produce a tax benefit in the year incurred and may not be available to offset income in subsequent taxable years. Some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see “— Tax Consequences of Unit Ownership — Entity-Level Collections.” Based on current law and our estimate of our future operations, the general partner anticipates that any amounts required to be withheld will not be material.</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Consequences of Ownership of Debt Securities</w:t>
      </w:r>
    </w:p>
    <w:p>
      <w:pPr>
        <w:spacing w:after="0" w:line="135"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A description of the material federal income tax consequences of the acquisition, ownership and disposition of debt securities will be set forth in the prospectus supplement relating to the offering of debt securities.</w:t>
      </w:r>
    </w:p>
    <w:p>
      <w:pPr>
        <w:spacing w:after="0" w:line="72"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7"/>
          <w:szCs w:val="17"/>
          <w:b w:val="1"/>
          <w:bCs w:val="1"/>
          <w:color w:val="auto"/>
        </w:rPr>
        <w:t>It is the responsibility of each unitholder to investigate the legal and tax consequences, under the laws of pertinent jurisdictions, of his investment in us. Accordingly, each prospective unitholder is urged to consult, and depend upon, his tax counsel or other advisor with regard to those matters. Further, it is the responsibility of each unitholder to file all state, local and foreign, as well as United States federal tax returns, that may be required of him. Vinson &amp; Elkins L.L.P. has not rendered an opinion on the state, local or foreign tax consequences of an investment in us.</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120" w:firstLine="397"/>
        <w:spacing w:after="0" w:line="257"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of Plains All American Pipeline, L.P. for the year ended December 31, 2008, have been so incorporated in reliance on the report of PricewaterhouseCoopers LLP, an independent registered public accounting firm, given on the authority of said firm as experts in auditing and accounting.</w:t>
      </w:r>
    </w:p>
    <w:p>
      <w:pPr>
        <w:spacing w:after="0" w:line="78"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balance sheet as of December 31, 2008 of PAA GP LLC incorporated in this prospectus by reference to the Current Report on Form 8-K of Plains All American Pipeline, L.P. filed March 12, 2009 has been so incorporated in reliance on the report of PricewaterhouseCoopers LLP, an independent registered public accounting firm, given on the authority of said firm as experts in auditing and accounting.</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220345</wp:posOffset>
            </wp:positionV>
            <wp:extent cx="6303010" cy="6000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03010" cy="600075"/>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380"/>
        <w:spacing w:after="0"/>
        <w:rPr>
          <w:sz w:val="20"/>
          <w:szCs w:val="20"/>
          <w:color w:val="auto"/>
        </w:rPr>
      </w:pPr>
      <w:r>
        <w:rPr>
          <w:rFonts w:ascii="Arial" w:cs="Arial" w:eastAsia="Arial" w:hAnsi="Arial"/>
          <w:sz w:val="32"/>
          <w:szCs w:val="32"/>
          <w:b w:val="1"/>
          <w:bCs w:val="1"/>
          <w:color w:val="auto"/>
        </w:rPr>
        <w:t>$</w:t>
      </w:r>
    </w:p>
    <w:p>
      <w:pPr>
        <w:spacing w:after="0" w:line="341" w:lineRule="exact"/>
        <w:rPr>
          <w:sz w:val="20"/>
          <w:szCs w:val="20"/>
          <w:color w:val="auto"/>
        </w:rPr>
      </w:pPr>
    </w:p>
    <w:p>
      <w:pPr>
        <w:ind w:left="4420"/>
        <w:spacing w:after="0"/>
        <w:rPr>
          <w:sz w:val="20"/>
          <w:szCs w:val="20"/>
          <w:color w:val="auto"/>
        </w:rPr>
      </w:pPr>
      <w:r>
        <w:rPr>
          <w:rFonts w:ascii="Arial" w:cs="Arial" w:eastAsia="Arial" w:hAnsi="Arial"/>
          <w:sz w:val="34"/>
          <w:szCs w:val="34"/>
          <w:b w:val="1"/>
          <w:bCs w:val="1"/>
          <w:color w:val="auto"/>
        </w:rPr>
        <w:t>% Senior Notes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PROSPECTUS SUPPLEMENT</w:t>
      </w:r>
    </w:p>
    <w:p>
      <w:pPr>
        <w:spacing w:after="0" w:line="331" w:lineRule="exact"/>
        <w:rPr>
          <w:sz w:val="20"/>
          <w:szCs w:val="20"/>
          <w:color w:val="auto"/>
        </w:rPr>
      </w:pPr>
    </w:p>
    <w:p>
      <w:pPr>
        <w:jc w:val="center"/>
        <w:ind w:right="-1100"/>
        <w:spacing w:after="0"/>
        <w:rPr>
          <w:sz w:val="20"/>
          <w:szCs w:val="20"/>
          <w:color w:val="auto"/>
        </w:rPr>
      </w:pPr>
      <w:r>
        <w:rPr>
          <w:rFonts w:ascii="Arial" w:cs="Arial" w:eastAsia="Arial" w:hAnsi="Arial"/>
          <w:sz w:val="34"/>
          <w:szCs w:val="34"/>
          <w:b w:val="1"/>
          <w:bCs w:val="1"/>
          <w:color w:val="auto"/>
        </w:rPr>
        <w:t>J.P. Morgan</w:t>
      </w:r>
    </w:p>
    <w:p>
      <w:pPr>
        <w:spacing w:after="0" w:line="41" w:lineRule="exact"/>
        <w:rPr>
          <w:sz w:val="20"/>
          <w:szCs w:val="20"/>
          <w:color w:val="auto"/>
        </w:rPr>
      </w:pPr>
    </w:p>
    <w:p>
      <w:pPr>
        <w:jc w:val="center"/>
        <w:ind w:right="-1100"/>
        <w:spacing w:after="0"/>
        <w:rPr>
          <w:sz w:val="20"/>
          <w:szCs w:val="20"/>
          <w:color w:val="auto"/>
        </w:rPr>
      </w:pPr>
      <w:r>
        <w:rPr>
          <w:rFonts w:ascii="Arial" w:cs="Arial" w:eastAsia="Arial" w:hAnsi="Arial"/>
          <w:sz w:val="31"/>
          <w:szCs w:val="31"/>
          <w:b w:val="1"/>
          <w:bCs w:val="1"/>
          <w:color w:val="auto"/>
        </w:rPr>
        <w:t>SunTrust Robinson Humphrey</w:t>
      </w:r>
    </w:p>
    <w:p>
      <w:pPr>
        <w:spacing w:after="0" w:line="35" w:lineRule="exact"/>
        <w:rPr>
          <w:sz w:val="20"/>
          <w:szCs w:val="20"/>
          <w:color w:val="auto"/>
        </w:rPr>
      </w:pPr>
    </w:p>
    <w:p>
      <w:pPr>
        <w:jc w:val="center"/>
        <w:ind w:right="-1100"/>
        <w:spacing w:after="0"/>
        <w:rPr>
          <w:sz w:val="20"/>
          <w:szCs w:val="20"/>
          <w:color w:val="auto"/>
        </w:rPr>
      </w:pPr>
      <w:r>
        <w:rPr>
          <w:rFonts w:ascii="Arial" w:cs="Arial" w:eastAsia="Arial" w:hAnsi="Arial"/>
          <w:sz w:val="34"/>
          <w:szCs w:val="34"/>
          <w:b w:val="1"/>
          <w:bCs w:val="1"/>
          <w:color w:val="auto"/>
        </w:rPr>
        <w:t>Wells Fargo Securities</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34"/>
          <w:szCs w:val="34"/>
          <w:b w:val="1"/>
          <w:bCs w:val="1"/>
          <w:color w:val="auto"/>
        </w:rPr>
        <w:t>BofA Merrill Lynch</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34"/>
          <w:szCs w:val="34"/>
          <w:b w:val="1"/>
          <w:bCs w:val="1"/>
          <w:color w:val="auto"/>
        </w:rPr>
        <w:t>DnB NOR Markets</w:t>
      </w:r>
    </w:p>
    <w:p>
      <w:pPr>
        <w:spacing w:after="0" w:line="200" w:lineRule="exact"/>
        <w:rPr>
          <w:sz w:val="20"/>
          <w:szCs w:val="20"/>
          <w:color w:val="auto"/>
        </w:rPr>
      </w:pPr>
    </w:p>
    <w:p>
      <w:pPr>
        <w:spacing w:after="0" w:line="22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January  ,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283210</wp:posOffset>
            </wp:positionV>
            <wp:extent cx="630301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03010" cy="26035"/>
                    </a:xfrm>
                    <a:prstGeom prst="rect">
                      <a:avLst/>
                    </a:prstGeom>
                    <a:noFill/>
                  </pic:spPr>
                </pic:pic>
              </a:graphicData>
            </a:graphic>
          </wp:anchor>
        </w:drawing>
      </w:r>
    </w:p>
    <w:sectPr>
      <w:pgSz w:w="11900" w:h="16838" w:orient="portrait"/>
      <w:cols w:equalWidth="0" w:num="1">
        <w:col w:w="10219"/>
      </w:cols>
      <w:pgMar w:left="240" w:top="4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lvl w:ilvl="1">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1)"/>
      <w:numFmt w:val="decimal"/>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1)"/>
      <w:numFmt w:val="decimal"/>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lvl w:ilvl="1">
      <w:lvlJc w:val="left"/>
      <w:lvlText w:val="•"/>
      <w:numFmt w:val="bullet"/>
      <w:start w:val="1"/>
    </w:lvl>
  </w:abstractNum>
  <w:abstractNum w:abstractNumId="16">
    <w:nsid w:val="1BA026FA"/>
    <w:multiLevelType w:val="hybridMultilevel"/>
    <w:lvl w:ilvl="0">
      <w:lvlJc w:val="left"/>
      <w:lvlText w:val="•"/>
      <w:numFmt w:val="bullet"/>
      <w:start w:val="1"/>
    </w:lvl>
    <w:lvl w:ilvl="1">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1)"/>
      <w:numFmt w:val="decimal"/>
      <w:start w:val="1"/>
    </w:lvl>
    <w:lvl w:ilvl="1">
      <w:lvlJc w:val="left"/>
      <w:lvlText w:val="(%2)"/>
      <w:numFmt w:val="lowerLetter"/>
      <w:start w:val="1"/>
    </w:lvl>
  </w:abstractNum>
  <w:abstractNum w:abstractNumId="26">
    <w:nsid w:val="275AC794"/>
    <w:multiLevelType w:val="hybridMultilevel"/>
    <w:lvl w:ilvl="0">
      <w:lvlJc w:val="left"/>
      <w:lvlText w:val="(%1)"/>
      <w:numFmt w:val="decimal"/>
      <w:start w:val="1"/>
    </w:lvl>
  </w:abstractNum>
  <w:abstractNum w:abstractNumId="27">
    <w:nsid w:val="39386575"/>
    <w:multiLevelType w:val="hybridMultilevel"/>
    <w:lvl w:ilvl="0">
      <w:lvlJc w:val="left"/>
      <w:lvlText w:val="(%1)"/>
      <w:numFmt w:val="decimal"/>
      <w:start w:val="3"/>
    </w:lvl>
  </w:abstractNum>
  <w:abstractNum w:abstractNumId="28">
    <w:nsid w:val="1CF10FD8"/>
    <w:multiLevelType w:val="hybridMultilevel"/>
    <w:lvl w:ilvl="0">
      <w:lvlJc w:val="left"/>
      <w:lvlText w:val="(%1)"/>
      <w:numFmt w:val="decimal"/>
      <w:start w:val="17"/>
    </w:lvl>
  </w:abstractNum>
  <w:abstractNum w:abstractNumId="29">
    <w:nsid w:val="180115BE"/>
    <w:multiLevelType w:val="hybridMultilevel"/>
    <w:lvl w:ilvl="0">
      <w:lvlJc w:val="left"/>
      <w:lvlText w:val="(%1)"/>
      <w:numFmt w:val="decimal"/>
      <w:start w:val="1"/>
    </w:lvl>
  </w:abstractNum>
  <w:abstractNum w:abstractNumId="30">
    <w:nsid w:val="235BA861"/>
    <w:multiLevelType w:val="hybridMultilevel"/>
    <w:lvl w:ilvl="0">
      <w:lvlJc w:val="left"/>
      <w:lvlText w:val="(%1)"/>
      <w:numFmt w:val="decimal"/>
      <w:start w:val="1"/>
    </w:lvl>
  </w:abstractNum>
  <w:abstractNum w:abstractNumId="31">
    <w:nsid w:val="47398C89"/>
    <w:multiLevelType w:val="hybridMultilevel"/>
    <w:lvl w:ilvl="0">
      <w:lvlJc w:val="left"/>
      <w:lvlText w:val="(%1)"/>
      <w:numFmt w:val="decimal"/>
      <w:start w:val="2"/>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1)"/>
      <w:numFmt w:val="decimal"/>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1)"/>
      <w:numFmt w:val="decimal"/>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1)"/>
      <w:numFmt w:val="lowerLetter"/>
      <w:start w:val="1"/>
    </w:lvl>
    <w:lvl w:ilvl="1">
      <w:lvlJc w:val="left"/>
      <w:lvlText w:val="(%2)"/>
      <w:numFmt w:val="decimal"/>
      <w:start w:val="1"/>
    </w:lvl>
  </w:abstractNum>
  <w:abstractNum w:abstractNumId="61">
    <w:nsid w:val="661E3F1E"/>
    <w:multiLevelType w:val="hybridMultilevel"/>
    <w:lvl w:ilvl="0">
      <w:lvlJc w:val="left"/>
      <w:lvlText w:val="(%1)"/>
      <w:numFmt w:val="lowerLetter"/>
      <w:start w:val="2"/>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
      <w:numFmt w:val="bullet"/>
      <w:start w:val="1"/>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
      <w:numFmt w:val="bullet"/>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1)"/>
      <w:numFmt w:val="lowerLetter"/>
      <w:start w:val="1"/>
    </w:lvl>
  </w:abstractNum>
  <w:abstractNum w:abstractNumId="77">
    <w:nsid w:val="6A5EE64"/>
    <w:multiLevelType w:val="hybridMultilevel"/>
    <w:lvl w:ilvl="0">
      <w:lvlJc w:val="left"/>
      <w:lvlText w:val="•"/>
      <w:numFmt w:val="bullet"/>
      <w:start w:val="1"/>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
      <w:numFmt w:val="bullet"/>
      <w:start w:val="1"/>
    </w:lvl>
    <w:lvl w:ilvl="1">
      <w:lvlJc w:val="left"/>
      <w:lvlText w:val="•"/>
      <w:numFmt w:val="bullet"/>
      <w:start w:val="1"/>
    </w:lvl>
  </w:abstractNum>
  <w:abstractNum w:abstractNumId="83">
    <w:nsid w:val="7FB7E0AA"/>
    <w:multiLevelType w:val="hybridMultilevel"/>
    <w:lvl w:ilvl="0">
      <w:lvlJc w:val="left"/>
      <w:lvlText w:val="•"/>
      <w:numFmt w:val="bullet"/>
      <w:start w:val="1"/>
    </w:lvl>
  </w:abstractNum>
  <w:abstractNum w:abstractNumId="84">
    <w:nsid w:val="6EB5B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2020-01-31T01:53:31Z</dcterms:created>
  <dcterms:modified xsi:type="dcterms:W3CDTF">2020-01-31T01:53:31Z</dcterms:modified>
</cp:coreProperties>
</file>