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________________________________________________________________________________________________________________________________</w:t>
      </w:r>
    </w:p>
    <w:p>
      <w:pPr>
        <w:spacing w:after="0" w:line="117"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2018</w:t>
      </w:r>
    </w:p>
    <w:p>
      <w:pPr>
        <w:spacing w:after="0" w:line="1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5" w:lineRule="exact"/>
        <w:rPr>
          <w:sz w:val="24"/>
          <w:szCs w:val="24"/>
          <w:color w:val="auto"/>
        </w:rPr>
      </w:pPr>
    </w:p>
    <w:p>
      <w:pPr>
        <w:ind w:left="260" w:hanging="252"/>
        <w:spacing w:after="0"/>
        <w:tabs>
          <w:tab w:leader="none" w:pos="2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1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1-14569</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1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940" w:type="dxa"/>
        <w:tblCellMar>
          <w:top w:w="0" w:type="dxa"/>
          <w:left w:w="0" w:type="dxa"/>
          <w:bottom w:w="0" w:type="dxa"/>
          <w:right w:w="0" w:type="dxa"/>
        </w:tblCellMar>
      </w:tblPr>
      <w:tr>
        <w:trPr>
          <w:trHeight w:val="238"/>
        </w:trPr>
        <w:tc>
          <w:tcPr>
            <w:tcW w:w="6680" w:type="dxa"/>
            <w:vAlign w:val="bottom"/>
          </w:tcPr>
          <w:p>
            <w:pPr>
              <w:jc w:val="center"/>
              <w:ind w:right="3253"/>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2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76-0582150</w:t>
            </w:r>
          </w:p>
        </w:tc>
      </w:tr>
      <w:tr>
        <w:trPr>
          <w:trHeight w:val="251"/>
        </w:trPr>
        <w:tc>
          <w:tcPr>
            <w:tcW w:w="6680" w:type="dxa"/>
            <w:vAlign w:val="bottom"/>
          </w:tcPr>
          <w:p>
            <w:pPr>
              <w:jc w:val="center"/>
              <w:ind w:right="3273"/>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57"/>
        </w:trPr>
        <w:tc>
          <w:tcPr>
            <w:tcW w:w="6680" w:type="dxa"/>
            <w:vAlign w:val="bottom"/>
          </w:tcPr>
          <w:p>
            <w:pPr>
              <w:jc w:val="center"/>
              <w:ind w:right="3253"/>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11"/>
        </w:trPr>
        <w:tc>
          <w:tcPr>
            <w:tcW w:w="6680" w:type="dxa"/>
            <w:vAlign w:val="bottom"/>
          </w:tcPr>
          <w:p>
            <w:pPr>
              <w:jc w:val="center"/>
              <w:ind w:right="3253"/>
              <w:spacing w:after="0"/>
              <w:rPr>
                <w:sz w:val="20"/>
                <w:szCs w:val="20"/>
                <w:color w:val="auto"/>
              </w:rPr>
            </w:pPr>
            <w:r>
              <w:rPr>
                <w:rFonts w:ascii="Times New Roman" w:cs="Times New Roman" w:eastAsia="Times New Roman" w:hAnsi="Times New Roman"/>
                <w:sz w:val="18"/>
                <w:szCs w:val="18"/>
                <w:b w:val="1"/>
                <w:bCs w:val="1"/>
                <w:color w:val="auto"/>
                <w:w w:val="99"/>
              </w:rPr>
              <w:t>333 Clay Street, Suite 1600, Houston, Texas</w:t>
            </w:r>
          </w:p>
        </w:tc>
        <w:tc>
          <w:tcPr>
            <w:tcW w:w="122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251"/>
        </w:trPr>
        <w:tc>
          <w:tcPr>
            <w:tcW w:w="6680" w:type="dxa"/>
            <w:vAlign w:val="bottom"/>
          </w:tcPr>
          <w:p>
            <w:pPr>
              <w:jc w:val="center"/>
              <w:ind w:right="3253"/>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379"/>
        </w:trPr>
        <w:tc>
          <w:tcPr>
            <w:tcW w:w="6680" w:type="dxa"/>
            <w:vAlign w:val="bottom"/>
          </w:tcPr>
          <w:p>
            <w:pPr>
              <w:jc w:val="right"/>
              <w:ind w:right="1253"/>
              <w:spacing w:after="0"/>
              <w:rPr>
                <w:sz w:val="20"/>
                <w:szCs w:val="20"/>
                <w:color w:val="auto"/>
              </w:rPr>
            </w:pPr>
            <w:r>
              <w:rPr>
                <w:rFonts w:ascii="Times New Roman" w:cs="Times New Roman" w:eastAsia="Times New Roman" w:hAnsi="Times New Roman"/>
                <w:sz w:val="18"/>
                <w:szCs w:val="18"/>
                <w:b w:val="1"/>
                <w:bCs w:val="1"/>
                <w:color w:val="auto"/>
              </w:rPr>
              <w:t>(713) 646-4100</w:t>
            </w:r>
          </w:p>
        </w:tc>
        <w:tc>
          <w:tcPr>
            <w:tcW w:w="1220" w:type="dxa"/>
            <w:vAlign w:val="bottom"/>
          </w:tcPr>
          <w:p>
            <w:pPr>
              <w:spacing w:after="0"/>
              <w:rPr>
                <w:sz w:val="24"/>
                <w:szCs w:val="24"/>
                <w:color w:val="auto"/>
              </w:rPr>
            </w:pPr>
          </w:p>
        </w:tc>
      </w:tr>
      <w:tr>
        <w:trPr>
          <w:trHeight w:val="216"/>
        </w:trPr>
        <w:tc>
          <w:tcPr>
            <w:tcW w:w="6680" w:type="dxa"/>
            <w:vAlign w:val="bottom"/>
          </w:tcPr>
          <w:p>
            <w:pPr>
              <w:ind w:left="28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220" w:type="dxa"/>
            <w:vAlign w:val="bottom"/>
          </w:tcPr>
          <w:p>
            <w:pPr>
              <w:spacing w:after="0"/>
              <w:rPr>
                <w:sz w:val="18"/>
                <w:szCs w:val="18"/>
                <w:color w:val="auto"/>
              </w:rPr>
            </w:pPr>
          </w:p>
        </w:tc>
      </w:tr>
      <w:tr>
        <w:trPr>
          <w:trHeight w:val="234"/>
        </w:trPr>
        <w:tc>
          <w:tcPr>
            <w:tcW w:w="79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tc>
      </w:tr>
    </w:tbl>
    <w:p>
      <w:pPr>
        <w:spacing w:after="0" w:line="103" w:lineRule="exact"/>
        <w:rPr>
          <w:sz w:val="24"/>
          <w:szCs w:val="24"/>
          <w:color w:val="auto"/>
        </w:rPr>
      </w:pPr>
    </w:p>
    <w:p>
      <w:pPr>
        <w:ind w:right="6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o No</w:t>
      </w:r>
    </w:p>
    <w:p>
      <w:pPr>
        <w:spacing w:after="0" w:line="71" w:lineRule="exact"/>
        <w:rPr>
          <w:sz w:val="24"/>
          <w:szCs w:val="24"/>
          <w:color w:val="auto"/>
        </w:rPr>
      </w:pPr>
    </w:p>
    <w:p>
      <w:pPr>
        <w:ind w:firstLine="36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o No</w:t>
      </w:r>
    </w:p>
    <w:p>
      <w:pPr>
        <w:spacing w:after="0" w:line="71" w:lineRule="exact"/>
        <w:rPr>
          <w:sz w:val="24"/>
          <w:szCs w:val="24"/>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3" w:lineRule="exact"/>
        <w:rPr>
          <w:sz w:val="24"/>
          <w:szCs w:val="24"/>
          <w:color w:val="auto"/>
        </w:rPr>
      </w:pPr>
    </w:p>
    <w:tbl>
      <w:tblPr>
        <w:tblLayout w:type="fixed"/>
        <w:tblInd w:w="940" w:type="dxa"/>
        <w:tblCellMar>
          <w:top w:w="0" w:type="dxa"/>
          <w:left w:w="0" w:type="dxa"/>
          <w:bottom w:w="0" w:type="dxa"/>
          <w:right w:w="0" w:type="dxa"/>
        </w:tblCellMar>
      </w:tblPr>
      <w:tr>
        <w:trPr>
          <w:trHeight w:val="283"/>
        </w:trPr>
        <w:tc>
          <w:tcPr>
            <w:tcW w:w="4800" w:type="dxa"/>
            <w:vAlign w:val="bottom"/>
          </w:tcPr>
          <w:p>
            <w:pPr>
              <w:jc w:val="center"/>
              <w:ind w:right="1370"/>
              <w:spacing w:after="0" w:line="207" w:lineRule="exact"/>
              <w:rPr>
                <w:sz w:val="20"/>
                <w:szCs w:val="20"/>
                <w:color w:val="auto"/>
              </w:rPr>
            </w:pPr>
            <w:r>
              <w:rPr>
                <w:rFonts w:ascii="Times New Roman" w:cs="Times New Roman" w:eastAsia="Times New Roman" w:hAnsi="Times New Roman"/>
                <w:sz w:val="18"/>
                <w:szCs w:val="18"/>
                <w:color w:val="auto"/>
                <w:w w:val="98"/>
              </w:rPr>
              <w:t xml:space="preserve">Large accelerated filer </w:t>
            </w:r>
            <w:r>
              <w:rPr>
                <w:rFonts w:ascii="MS PGothic" w:cs="MS PGothic" w:eastAsia="MS PGothic" w:hAnsi="MS PGothic"/>
                <w:sz w:val="18"/>
                <w:szCs w:val="18"/>
                <w:color w:val="auto"/>
                <w:w w:val="98"/>
              </w:rPr>
              <w:t>☒</w:t>
            </w:r>
          </w:p>
        </w:tc>
        <w:tc>
          <w:tcPr>
            <w:tcW w:w="354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Accelerated filer o</w:t>
            </w:r>
          </w:p>
        </w:tc>
      </w:tr>
      <w:tr>
        <w:trPr>
          <w:trHeight w:val="520"/>
        </w:trPr>
        <w:tc>
          <w:tcPr>
            <w:tcW w:w="480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rPr>
              <w:t>Non-accelerated filer o</w:t>
            </w:r>
          </w:p>
        </w:tc>
        <w:tc>
          <w:tcPr>
            <w:tcW w:w="354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Smaller reporting company o</w:t>
            </w:r>
          </w:p>
        </w:tc>
      </w:tr>
      <w:tr>
        <w:trPr>
          <w:trHeight w:val="392"/>
        </w:trPr>
        <w:tc>
          <w:tcPr>
            <w:tcW w:w="480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9"/>
              </w:rPr>
              <w:t>(Do not check if a smaller reporting company)</w:t>
            </w:r>
          </w:p>
        </w:tc>
        <w:tc>
          <w:tcPr>
            <w:tcW w:w="354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Emerging growth company o</w:t>
            </w:r>
          </w:p>
        </w:tc>
      </w:tr>
    </w:tbl>
    <w:p>
      <w:pPr>
        <w:spacing w:after="0" w:line="63" w:lineRule="exact"/>
        <w:rPr>
          <w:sz w:val="24"/>
          <w:szCs w:val="24"/>
          <w:color w:val="auto"/>
        </w:rPr>
      </w:pPr>
    </w:p>
    <w:p>
      <w:pPr>
        <w:ind w:right="300" w:firstLine="351"/>
        <w:spacing w:after="0" w:line="31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left="340" w:right="188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As of October 31, 2018, there were 726,272,203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3060" w:type="dxa"/>
            <w:vAlign w:val="bottom"/>
            <w:tcBorders>
              <w:bottom w:val="single" w:sz="8" w:color="0000EE"/>
            </w:tcBorders>
            <w:gridSpan w:val="18"/>
          </w:tcPr>
          <w:p>
            <w:pPr>
              <w:spacing w:after="0" w:line="189" w:lineRule="exact"/>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FINANCIAL INFORMATION</w:t>
              </w:r>
            </w:hyperlink>
          </w:p>
        </w:tc>
        <w:tc>
          <w:tcPr>
            <w:tcW w:w="7300" w:type="dxa"/>
            <w:vAlign w:val="bottom"/>
            <w:gridSpan w:val="18"/>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0360" w:type="dxa"/>
            <w:vAlign w:val="bottom"/>
            <w:gridSpan w:val="36"/>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UNAUDITED CONDENSED CONSOLIDATED FINANCIAL STATEMENTS:</w:t>
              </w:r>
            </w:hyperlink>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3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September 30, 2018 and December 31, 2017</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5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 and nine months ended September 30, 2018 and 2017</w:t>
              </w:r>
            </w:hyperlink>
          </w:p>
        </w:tc>
        <w:tc>
          <w:tcPr>
            <w:tcW w:w="1640" w:type="dxa"/>
            <w:vAlign w:val="bottom"/>
            <w:gridSpan w:val="5"/>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50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 For the three and nine months ended September 30, 2018 and 2017</w:t>
              </w:r>
            </w:hyperlink>
          </w:p>
        </w:tc>
        <w:tc>
          <w:tcPr>
            <w:tcW w:w="7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3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Changes in Accumulated Other Comprehensive Income/(Loss): For the nine months ended</w:t>
              </w:r>
            </w:hyperlink>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1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September 30, 2018 and 2017</w:t>
              </w:r>
            </w:hyperlink>
          </w:p>
        </w:tc>
        <w:tc>
          <w:tcPr>
            <w:tcW w:w="7080" w:type="dxa"/>
            <w:vAlign w:val="bottom"/>
            <w:tcBorders>
              <w:top w:val="single" w:sz="8" w:color="0000EE"/>
            </w:tcBorders>
            <w:gridSpan w:val="20"/>
          </w:tcPr>
          <w:p>
            <w:pPr>
              <w:spacing w:after="0"/>
              <w:rPr>
                <w:sz w:val="17"/>
                <w:szCs w:val="17"/>
                <w:color w:val="auto"/>
              </w:rPr>
            </w:pPr>
          </w:p>
        </w:tc>
        <w:tc>
          <w:tcPr>
            <w:tcW w:w="82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79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For the nine months ended September 30, 2018 and 2017</w:t>
              </w:r>
            </w:hyperlink>
          </w:p>
        </w:tc>
        <w:tc>
          <w:tcPr>
            <w:tcW w:w="2300" w:type="dxa"/>
            <w:vAlign w:val="bottom"/>
            <w:gridSpan w:val="6"/>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14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Changes in Partners’ Capital: For the nine months ended September 30, 2018 and 2017</w:t>
              </w:r>
            </w:hyperlink>
          </w:p>
        </w:tc>
        <w:tc>
          <w:tcPr>
            <w:tcW w:w="108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7</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43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the Condensed Consolidated Financial Statements:</w:t>
              </w:r>
            </w:hyperlink>
          </w:p>
        </w:tc>
        <w:tc>
          <w:tcPr>
            <w:tcW w:w="5920" w:type="dxa"/>
            <w:vAlign w:val="bottom"/>
            <w:gridSpan w:val="13"/>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Borders>
              <w:bottom w:val="single" w:sz="8" w:color="0000EE"/>
            </w:tcBorders>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1.</w:t>
              </w:r>
            </w:hyperlink>
          </w:p>
        </w:tc>
        <w:tc>
          <w:tcPr>
            <w:tcW w:w="4200" w:type="dxa"/>
            <w:vAlign w:val="bottom"/>
            <w:tcBorders>
              <w:bottom w:val="single" w:sz="8" w:color="0000EE"/>
            </w:tcBorders>
            <w:gridSpan w:val="20"/>
          </w:tcPr>
          <w:p>
            <w:pPr>
              <w:ind w:left="20"/>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Organization and Basis of Consolidation and Presentation</w:t>
              </w:r>
            </w:hyperlink>
          </w:p>
        </w:tc>
        <w:tc>
          <w:tcPr>
            <w:tcW w:w="5660" w:type="dxa"/>
            <w:vAlign w:val="bottom"/>
            <w:gridSpan w:val="1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8</w:t>
              </w:r>
            </w:hyperlink>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2.</w:t>
              </w:r>
            </w:hyperlink>
          </w:p>
        </w:tc>
        <w:tc>
          <w:tcPr>
            <w:tcW w:w="2680" w:type="dxa"/>
            <w:vAlign w:val="bottom"/>
            <w:gridSpan w:val="16"/>
          </w:tcPr>
          <w:p>
            <w:pPr>
              <w:ind w:left="20"/>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Recent Accounting Pronouncements</w:t>
              </w:r>
            </w:hyperlink>
          </w:p>
        </w:tc>
        <w:tc>
          <w:tcPr>
            <w:tcW w:w="7180" w:type="dxa"/>
            <w:vAlign w:val="bottom"/>
            <w:gridSpan w:val="16"/>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10</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3.</w:t>
              </w:r>
            </w:hyperlink>
          </w:p>
        </w:tc>
        <w:tc>
          <w:tcPr>
            <w:tcW w:w="2680" w:type="dxa"/>
            <w:vAlign w:val="bottom"/>
            <w:gridSpan w:val="16"/>
          </w:tcPr>
          <w:p>
            <w:pPr>
              <w:ind w:left="20"/>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Revenues</w:t>
              </w:r>
            </w:hyperlink>
          </w:p>
        </w:tc>
        <w:tc>
          <w:tcPr>
            <w:tcW w:w="7180" w:type="dxa"/>
            <w:vAlign w:val="bottom"/>
            <w:gridSpan w:val="16"/>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11</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4.</w:t>
              </w:r>
            </w:hyperlink>
          </w:p>
        </w:tc>
        <w:tc>
          <w:tcPr>
            <w:tcW w:w="9860" w:type="dxa"/>
            <w:vAlign w:val="bottom"/>
            <w:gridSpan w:val="32"/>
          </w:tcPr>
          <w:p>
            <w:pPr>
              <w:ind w:left="2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Net Income/(Loss) Per Common Unit</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15</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5.</w:t>
              </w:r>
            </w:hyperlink>
          </w:p>
        </w:tc>
        <w:tc>
          <w:tcPr>
            <w:tcW w:w="2680" w:type="dxa"/>
            <w:vAlign w:val="bottom"/>
            <w:gridSpan w:val="16"/>
          </w:tcPr>
          <w:p>
            <w:pPr>
              <w:ind w:left="20"/>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Accounts Receivable, Net</w:t>
              </w:r>
            </w:hyperlink>
          </w:p>
        </w:tc>
        <w:tc>
          <w:tcPr>
            <w:tcW w:w="7180" w:type="dxa"/>
            <w:vAlign w:val="bottom"/>
            <w:gridSpan w:val="16"/>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17</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6.</w:t>
              </w:r>
            </w:hyperlink>
          </w:p>
        </w:tc>
        <w:tc>
          <w:tcPr>
            <w:tcW w:w="4240" w:type="dxa"/>
            <w:vAlign w:val="bottom"/>
            <w:gridSpan w:val="21"/>
          </w:tcPr>
          <w:p>
            <w:pPr>
              <w:ind w:left="20"/>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Inventory, Linefill and Base Gas and Long-term Inventory</w:t>
              </w:r>
            </w:hyperlink>
          </w:p>
        </w:tc>
        <w:tc>
          <w:tcPr>
            <w:tcW w:w="56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17</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7.</w:t>
              </w:r>
            </w:hyperlink>
          </w:p>
        </w:tc>
        <w:tc>
          <w:tcPr>
            <w:tcW w:w="860" w:type="dxa"/>
            <w:vAlign w:val="bottom"/>
            <w:gridSpan w:val="4"/>
          </w:tcPr>
          <w:p>
            <w:pPr>
              <w:ind w:left="20"/>
              <w:spacing w:after="0"/>
              <w:rPr>
                <w:rFonts w:ascii="Times New Roman" w:cs="Times New Roman" w:eastAsia="Times New Roman" w:hAnsi="Times New Roman"/>
                <w:sz w:val="18"/>
                <w:szCs w:val="18"/>
                <w:color w:val="0000EE"/>
                <w:w w:val="91"/>
              </w:rPr>
            </w:pPr>
            <w:hyperlink w:anchor="page18">
              <w:r>
                <w:rPr>
                  <w:rFonts w:ascii="Times New Roman" w:cs="Times New Roman" w:eastAsia="Times New Roman" w:hAnsi="Times New Roman"/>
                  <w:sz w:val="18"/>
                  <w:szCs w:val="18"/>
                  <w:color w:val="0000EE"/>
                  <w:w w:val="91"/>
                </w:rPr>
                <w:t>Divestitures</w:t>
              </w:r>
            </w:hyperlink>
          </w:p>
        </w:tc>
        <w:tc>
          <w:tcPr>
            <w:tcW w:w="3380" w:type="dxa"/>
            <w:vAlign w:val="bottom"/>
            <w:gridSpan w:val="17"/>
          </w:tcPr>
          <w:p>
            <w:pPr>
              <w:spacing w:after="0"/>
              <w:rPr>
                <w:sz w:val="21"/>
                <w:szCs w:val="21"/>
                <w:color w:val="auto"/>
              </w:rPr>
            </w:pPr>
          </w:p>
        </w:tc>
        <w:tc>
          <w:tcPr>
            <w:tcW w:w="56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18</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8.</w:t>
              </w:r>
            </w:hyperlink>
          </w:p>
        </w:tc>
        <w:tc>
          <w:tcPr>
            <w:tcW w:w="860" w:type="dxa"/>
            <w:vAlign w:val="bottom"/>
            <w:gridSpan w:val="4"/>
          </w:tcPr>
          <w:p>
            <w:pPr>
              <w:ind w:left="20"/>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Goodwill</w:t>
              </w:r>
            </w:hyperlink>
          </w:p>
        </w:tc>
        <w:tc>
          <w:tcPr>
            <w:tcW w:w="9000" w:type="dxa"/>
            <w:vAlign w:val="bottom"/>
            <w:gridSpan w:val="28"/>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18</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9.</w:t>
              </w:r>
            </w:hyperlink>
          </w:p>
        </w:tc>
        <w:tc>
          <w:tcPr>
            <w:tcW w:w="380" w:type="dxa"/>
            <w:vAlign w:val="bottom"/>
          </w:tcPr>
          <w:p>
            <w:pPr>
              <w:ind w:left="20"/>
              <w:spacing w:after="0"/>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Debt</w:t>
              </w:r>
            </w:hyperlink>
          </w:p>
        </w:tc>
        <w:tc>
          <w:tcPr>
            <w:tcW w:w="320" w:type="dxa"/>
            <w:vAlign w:val="bottom"/>
            <w:gridSpan w:val="2"/>
          </w:tcPr>
          <w:p>
            <w:pPr>
              <w:spacing w:after="0"/>
              <w:rPr>
                <w:sz w:val="21"/>
                <w:szCs w:val="21"/>
                <w:color w:val="auto"/>
              </w:rPr>
            </w:pPr>
          </w:p>
        </w:tc>
        <w:tc>
          <w:tcPr>
            <w:tcW w:w="9160" w:type="dxa"/>
            <w:vAlign w:val="bottom"/>
            <w:gridSpan w:val="29"/>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19</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20" w:type="dxa"/>
            <w:vAlign w:val="bottom"/>
            <w:gridSpan w:val="33"/>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10. Partners’ Capital and Distributions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20</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20" w:type="dxa"/>
            <w:vAlign w:val="bottom"/>
            <w:gridSpan w:val="33"/>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11. Derivatives and Risk Management Activities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22</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00" w:type="dxa"/>
            <w:vAlign w:val="bottom"/>
            <w:gridSpan w:val="19"/>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12. Related Party Transactions</w:t>
              </w:r>
            </w:hyperlink>
          </w:p>
        </w:tc>
        <w:tc>
          <w:tcPr>
            <w:tcW w:w="652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30</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4"/>
          </w:tcPr>
          <w:p>
            <w:pPr>
              <w:spacing w:after="0"/>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13. Commitments and Contingencies</w:t>
              </w:r>
            </w:hyperlink>
          </w:p>
        </w:tc>
        <w:tc>
          <w:tcPr>
            <w:tcW w:w="7360" w:type="dxa"/>
            <w:vAlign w:val="bottom"/>
            <w:gridSpan w:val="19"/>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31</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4"/>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14. Operating Segments</w:t>
              </w:r>
            </w:hyperlink>
          </w:p>
        </w:tc>
        <w:tc>
          <w:tcPr>
            <w:tcW w:w="7360" w:type="dxa"/>
            <w:vAlign w:val="bottom"/>
            <w:gridSpan w:val="19"/>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35</w:t>
              </w:r>
            </w:hyperlink>
          </w:p>
        </w:tc>
      </w:tr>
      <w:tr>
        <w:trPr>
          <w:trHeight w:val="20"/>
        </w:trPr>
        <w:tc>
          <w:tcPr>
            <w:tcW w:w="34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360" w:type="dxa"/>
            <w:vAlign w:val="bottom"/>
            <w:gridSpan w:val="36"/>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39</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8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00" w:type="dxa"/>
            <w:vAlign w:val="bottom"/>
            <w:gridSpan w:val="28"/>
          </w:tcPr>
          <w:p>
            <w:pPr>
              <w:spacing w:after="0"/>
              <w:rPr>
                <w:rFonts w:ascii="Times New Roman" w:cs="Times New Roman" w:eastAsia="Times New Roman" w:hAnsi="Times New Roman"/>
                <w:sz w:val="18"/>
                <w:szCs w:val="18"/>
                <w:color w:val="0000EE"/>
                <w:w w:val="98"/>
              </w:rPr>
            </w:pPr>
            <w:hyperlink w:anchor="page61">
              <w:r>
                <w:rPr>
                  <w:rFonts w:ascii="Times New Roman" w:cs="Times New Roman" w:eastAsia="Times New Roman" w:hAnsi="Times New Roman"/>
                  <w:sz w:val="18"/>
                  <w:szCs w:val="18"/>
                  <w:color w:val="0000EE"/>
                  <w:w w:val="98"/>
                </w:rPr>
                <w:t>Item 3. QUANTITATIVE AND QUALITATIVE DISCLOSURES ABOUT MARKET RISK</w:t>
              </w:r>
            </w:hyperlink>
          </w:p>
        </w:tc>
        <w:tc>
          <w:tcPr>
            <w:tcW w:w="2760" w:type="dxa"/>
            <w:vAlign w:val="bottom"/>
            <w:gridSpan w:val="5"/>
          </w:tcPr>
          <w:p>
            <w:pPr>
              <w:spacing w:after="0"/>
              <w:rPr>
                <w:sz w:val="21"/>
                <w:szCs w:val="21"/>
                <w:color w:val="auto"/>
              </w:rPr>
            </w:pPr>
          </w:p>
        </w:tc>
        <w:tc>
          <w:tcPr>
            <w:tcW w:w="900" w:type="dxa"/>
            <w:vAlign w:val="bottom"/>
            <w:gridSpan w:val="3"/>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61</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8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80" w:type="dxa"/>
            <w:vAlign w:val="bottom"/>
            <w:gridSpan w:val="20"/>
          </w:tcPr>
          <w:p>
            <w:pPr>
              <w:spacing w:after="0"/>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Item 4. CONTROLS AND PROCEDURES</w:t>
              </w:r>
            </w:hyperlink>
          </w:p>
        </w:tc>
        <w:tc>
          <w:tcPr>
            <w:tcW w:w="3520" w:type="dxa"/>
            <w:vAlign w:val="bottom"/>
            <w:gridSpan w:val="8"/>
          </w:tcPr>
          <w:p>
            <w:pPr>
              <w:spacing w:after="0"/>
              <w:rPr>
                <w:sz w:val="21"/>
                <w:szCs w:val="21"/>
                <w:color w:val="auto"/>
              </w:rPr>
            </w:pPr>
          </w:p>
        </w:tc>
        <w:tc>
          <w:tcPr>
            <w:tcW w:w="366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62</w:t>
              </w:r>
            </w:hyperlink>
          </w:p>
        </w:tc>
      </w:tr>
      <w:tr>
        <w:trPr>
          <w:trHeight w:val="520"/>
        </w:trPr>
        <w:tc>
          <w:tcPr>
            <w:tcW w:w="276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b w:val="1"/>
                <w:bCs w:val="1"/>
                <w:color w:val="0000EE"/>
                <w:w w:val="97"/>
              </w:rPr>
            </w:pPr>
            <w:hyperlink w:anchor="page63">
              <w:r>
                <w:rPr>
                  <w:rFonts w:ascii="Times New Roman" w:cs="Times New Roman" w:eastAsia="Times New Roman" w:hAnsi="Times New Roman"/>
                  <w:sz w:val="18"/>
                  <w:szCs w:val="18"/>
                  <w:b w:val="1"/>
                  <w:bCs w:val="1"/>
                  <w:color w:val="0000EE"/>
                  <w:w w:val="97"/>
                </w:rPr>
                <w:t>PART II. OTHER INFORMATION</w:t>
              </w:r>
            </w:hyperlink>
          </w:p>
        </w:tc>
        <w:tc>
          <w:tcPr>
            <w:tcW w:w="420" w:type="dxa"/>
            <w:vAlign w:val="bottom"/>
            <w:tcBorders>
              <w:top w:val="single" w:sz="8" w:color="0000EE"/>
            </w:tcBorders>
            <w:gridSpan w:val="4"/>
          </w:tcPr>
          <w:p>
            <w:pPr>
              <w:spacing w:after="0"/>
              <w:rPr>
                <w:sz w:val="24"/>
                <w:szCs w:val="24"/>
                <w:color w:val="auto"/>
              </w:rPr>
            </w:pPr>
          </w:p>
        </w:tc>
        <w:tc>
          <w:tcPr>
            <w:tcW w:w="7180" w:type="dxa"/>
            <w:vAlign w:val="bottom"/>
            <w:gridSpan w:val="16"/>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360" w:type="dxa"/>
            <w:vAlign w:val="bottom"/>
            <w:gridSpan w:val="36"/>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Item 1. LEGAL PROCEEDINGS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63</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12"/>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Item 1A. RISK FACTORS</w:t>
              </w:r>
            </w:hyperlink>
          </w:p>
        </w:tc>
        <w:tc>
          <w:tcPr>
            <w:tcW w:w="7940" w:type="dxa"/>
            <w:vAlign w:val="bottom"/>
            <w:gridSpan w:val="24"/>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63</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36"/>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Item 2. UNREGISTERED SALES OF EQUITY SECURITIES AND USE OF PROCEEDS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63</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2880" w:type="dxa"/>
            <w:vAlign w:val="bottom"/>
            <w:gridSpan w:val="6"/>
            <w:shd w:val="clear" w:color="auto" w:fill="0000EE"/>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21"/>
          </w:tcPr>
          <w:p>
            <w:pPr>
              <w:spacing w:after="0"/>
              <w:rPr>
                <w:rFonts w:ascii="Times New Roman" w:cs="Times New Roman" w:eastAsia="Times New Roman" w:hAnsi="Times New Roman"/>
                <w:sz w:val="18"/>
                <w:szCs w:val="18"/>
                <w:color w:val="0000EE"/>
                <w:w w:val="98"/>
              </w:rPr>
            </w:pPr>
            <w:hyperlink w:anchor="page63">
              <w:r>
                <w:rPr>
                  <w:rFonts w:ascii="Times New Roman" w:cs="Times New Roman" w:eastAsia="Times New Roman" w:hAnsi="Times New Roman"/>
                  <w:sz w:val="18"/>
                  <w:szCs w:val="18"/>
                  <w:color w:val="0000EE"/>
                  <w:w w:val="98"/>
                </w:rPr>
                <w:t>Item 3. DEFAULTS UPON SENIOR SECURITIES</w:t>
              </w:r>
            </w:hyperlink>
          </w:p>
        </w:tc>
        <w:tc>
          <w:tcPr>
            <w:tcW w:w="2880" w:type="dxa"/>
            <w:vAlign w:val="bottom"/>
            <w:gridSpan w:val="6"/>
          </w:tcPr>
          <w:p>
            <w:pPr>
              <w:spacing w:after="0"/>
              <w:rPr>
                <w:sz w:val="21"/>
                <w:szCs w:val="21"/>
                <w:color w:val="auto"/>
              </w:rPr>
            </w:pPr>
          </w:p>
        </w:tc>
        <w:tc>
          <w:tcPr>
            <w:tcW w:w="374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63</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6620" w:type="dxa"/>
            <w:vAlign w:val="bottom"/>
            <w:gridSpan w:val="15"/>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000" w:type="dxa"/>
            <w:vAlign w:val="bottom"/>
            <w:gridSpan w:val="17"/>
          </w:tcPr>
          <w:p>
            <w:pPr>
              <w:spacing w:after="0"/>
              <w:rPr>
                <w:rFonts w:ascii="Times New Roman" w:cs="Times New Roman" w:eastAsia="Times New Roman" w:hAnsi="Times New Roman"/>
                <w:sz w:val="18"/>
                <w:szCs w:val="18"/>
                <w:color w:val="0000EE"/>
                <w:w w:val="98"/>
              </w:rPr>
            </w:pPr>
            <w:hyperlink w:anchor="page63">
              <w:r>
                <w:rPr>
                  <w:rFonts w:ascii="Times New Roman" w:cs="Times New Roman" w:eastAsia="Times New Roman" w:hAnsi="Times New Roman"/>
                  <w:sz w:val="18"/>
                  <w:szCs w:val="18"/>
                  <w:color w:val="0000EE"/>
                  <w:w w:val="98"/>
                </w:rPr>
                <w:t>Item 4. MINE SAFETY DISCLOSURES</w:t>
              </w:r>
            </w:hyperlink>
          </w:p>
        </w:tc>
        <w:tc>
          <w:tcPr>
            <w:tcW w:w="740" w:type="dxa"/>
            <w:vAlign w:val="bottom"/>
            <w:gridSpan w:val="4"/>
          </w:tcPr>
          <w:p>
            <w:pPr>
              <w:spacing w:after="0"/>
              <w:rPr>
                <w:sz w:val="21"/>
                <w:szCs w:val="21"/>
                <w:color w:val="auto"/>
              </w:rPr>
            </w:pPr>
          </w:p>
        </w:tc>
        <w:tc>
          <w:tcPr>
            <w:tcW w:w="66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63</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360" w:type="dxa"/>
            <w:vAlign w:val="bottom"/>
            <w:gridSpan w:val="19"/>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3"/>
          </w:tcPr>
          <w:p>
            <w:pPr>
              <w:spacing w:after="0"/>
              <w:rPr>
                <w:rFonts w:ascii="Times New Roman" w:cs="Times New Roman" w:eastAsia="Times New Roman" w:hAnsi="Times New Roman"/>
                <w:sz w:val="18"/>
                <w:szCs w:val="18"/>
                <w:color w:val="0000EE"/>
                <w:w w:val="98"/>
              </w:rPr>
            </w:pPr>
            <w:hyperlink w:anchor="page63">
              <w:r>
                <w:rPr>
                  <w:rFonts w:ascii="Times New Roman" w:cs="Times New Roman" w:eastAsia="Times New Roman" w:hAnsi="Times New Roman"/>
                  <w:sz w:val="18"/>
                  <w:szCs w:val="18"/>
                  <w:color w:val="0000EE"/>
                  <w:w w:val="98"/>
                </w:rPr>
                <w:t>Item 5. OTHER INFORMATION</w:t>
              </w:r>
            </w:hyperlink>
          </w:p>
        </w:tc>
        <w:tc>
          <w:tcPr>
            <w:tcW w:w="560" w:type="dxa"/>
            <w:vAlign w:val="bottom"/>
            <w:gridSpan w:val="4"/>
          </w:tcPr>
          <w:p>
            <w:pPr>
              <w:spacing w:after="0"/>
              <w:rPr>
                <w:sz w:val="21"/>
                <w:szCs w:val="21"/>
                <w:color w:val="auto"/>
              </w:rPr>
            </w:pPr>
          </w:p>
        </w:tc>
        <w:tc>
          <w:tcPr>
            <w:tcW w:w="7360" w:type="dxa"/>
            <w:vAlign w:val="bottom"/>
            <w:gridSpan w:val="19"/>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63</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7920" w:type="dxa"/>
            <w:vAlign w:val="bottom"/>
            <w:gridSpan w:val="23"/>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3"/>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Item 6. EXHIBITS</w:t>
              </w:r>
            </w:hyperlink>
          </w:p>
        </w:tc>
        <w:tc>
          <w:tcPr>
            <w:tcW w:w="7920" w:type="dxa"/>
            <w:vAlign w:val="bottom"/>
            <w:gridSpan w:val="23"/>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64</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000" w:type="dxa"/>
            <w:vAlign w:val="bottom"/>
            <w:gridSpan w:val="28"/>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6"/>
          </w:tcPr>
          <w:p>
            <w:pPr>
              <w:spacing w:after="0"/>
              <w:rPr>
                <w:rFonts w:ascii="Times New Roman" w:cs="Times New Roman" w:eastAsia="Times New Roman" w:hAnsi="Times New Roman"/>
                <w:sz w:val="18"/>
                <w:szCs w:val="18"/>
                <w:color w:val="0000EE"/>
                <w:w w:val="96"/>
              </w:rPr>
            </w:pPr>
            <w:hyperlink w:anchor="page68">
              <w:r>
                <w:rPr>
                  <w:rFonts w:ascii="Times New Roman" w:cs="Times New Roman" w:eastAsia="Times New Roman" w:hAnsi="Times New Roman"/>
                  <w:sz w:val="18"/>
                  <w:szCs w:val="18"/>
                  <w:color w:val="0000EE"/>
                  <w:w w:val="96"/>
                </w:rPr>
                <w:t>SIGNATURES</w:t>
              </w:r>
            </w:hyperlink>
          </w:p>
        </w:tc>
        <w:tc>
          <w:tcPr>
            <w:tcW w:w="260" w:type="dxa"/>
            <w:vAlign w:val="bottom"/>
            <w:gridSpan w:val="2"/>
          </w:tcPr>
          <w:p>
            <w:pPr>
              <w:spacing w:after="0"/>
              <w:rPr>
                <w:sz w:val="21"/>
                <w:szCs w:val="21"/>
                <w:color w:val="auto"/>
              </w:rPr>
            </w:pPr>
          </w:p>
        </w:tc>
        <w:tc>
          <w:tcPr>
            <w:tcW w:w="9000" w:type="dxa"/>
            <w:vAlign w:val="bottom"/>
            <w:gridSpan w:val="28"/>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68</w:t>
              </w:r>
            </w:hyperlink>
          </w:p>
        </w:tc>
      </w:tr>
      <w:tr>
        <w:trPr>
          <w:trHeight w:val="723"/>
        </w:trPr>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5300" w:type="dxa"/>
            <w:vAlign w:val="bottom"/>
            <w:gridSpan w:val="20"/>
          </w:tcPr>
          <w:p>
            <w:pPr>
              <w:jc w:val="right"/>
              <w:ind w:right="68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6"/>
        </w:trPr>
        <w:tc>
          <w:tcPr>
            <w:tcW w:w="8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2017</w:t>
            </w:r>
          </w:p>
        </w:tc>
      </w:tr>
      <w:tr>
        <w:trPr>
          <w:trHeight w:val="29"/>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21"/>
        </w:trPr>
        <w:tc>
          <w:tcPr>
            <w:tcW w:w="8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4"/>
          </w:tcPr>
          <w:p>
            <w:pPr>
              <w:jc w:val="right"/>
              <w:ind w:right="1015"/>
              <w:spacing w:after="0"/>
              <w:rPr>
                <w:sz w:val="20"/>
                <w:szCs w:val="20"/>
                <w:color w:val="auto"/>
              </w:rPr>
            </w:pPr>
            <w:r>
              <w:rPr>
                <w:rFonts w:ascii="Times New Roman" w:cs="Times New Roman" w:eastAsia="Times New Roman" w:hAnsi="Times New Roman"/>
                <w:sz w:val="17"/>
                <w:szCs w:val="17"/>
                <w:b w:val="1"/>
                <w:bCs w:val="1"/>
                <w:color w:val="auto"/>
              </w:rPr>
              <w:t>(unaudited)</w:t>
            </w:r>
          </w:p>
        </w:tc>
      </w:tr>
      <w:tr>
        <w:trPr>
          <w:trHeight w:val="29"/>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16"/>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37</w:t>
            </w:r>
          </w:p>
        </w:tc>
      </w:tr>
      <w:tr>
        <w:trPr>
          <w:trHeight w:val="29"/>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Trade accounts receivable and other receivables,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3,029</w:t>
            </w: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Inventory</w:t>
            </w:r>
          </w:p>
        </w:tc>
        <w:tc>
          <w:tcPr>
            <w:tcW w:w="1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713</w:t>
            </w:r>
          </w:p>
        </w:tc>
      </w:tr>
      <w:tr>
        <w:trPr>
          <w:trHeight w:val="29"/>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221</w:t>
            </w:r>
          </w:p>
        </w:tc>
      </w:tr>
      <w:tr>
        <w:trPr>
          <w:trHeight w:val="22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4,127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4,000</w:t>
            </w:r>
          </w:p>
        </w:tc>
      </w:tr>
      <w:tr>
        <w:trPr>
          <w:trHeight w:val="29"/>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8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1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17,712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16,862</w:t>
            </w:r>
          </w:p>
        </w:tc>
      </w:tr>
      <w:tr>
        <w:trPr>
          <w:trHeight w:val="29"/>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(2,773)</w:t>
            </w:r>
          </w:p>
        </w:tc>
      </w:tr>
      <w:tr>
        <w:trPr>
          <w:trHeight w:val="22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14,677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14,089</w:t>
            </w:r>
          </w:p>
        </w:tc>
      </w:tr>
      <w:tr>
        <w:trPr>
          <w:trHeight w:val="29"/>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8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OTHER ASSETS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9"/>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2,566</w:t>
            </w: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1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2,756</w:t>
            </w:r>
          </w:p>
        </w:tc>
      </w:tr>
      <w:tr>
        <w:trPr>
          <w:trHeight w:val="29"/>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Linefill and base gas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872</w:t>
            </w: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Long-term inventory</w:t>
            </w:r>
          </w:p>
        </w:tc>
        <w:tc>
          <w:tcPr>
            <w:tcW w:w="1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164</w:t>
            </w:r>
          </w:p>
        </w:tc>
      </w:tr>
      <w:tr>
        <w:trPr>
          <w:trHeight w:val="29"/>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904</w:t>
            </w:r>
          </w:p>
        </w:tc>
      </w:tr>
      <w:tr>
        <w:trPr>
          <w:trHeight w:val="284"/>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25,927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25,351</w:t>
            </w:r>
          </w:p>
        </w:tc>
      </w:tr>
      <w:tr>
        <w:trPr>
          <w:trHeight w:val="203"/>
        </w:trPr>
        <w:tc>
          <w:tcPr>
            <w:tcW w:w="8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9"/>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8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9"/>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3,457</w:t>
            </w: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Short-term debt</w:t>
            </w:r>
          </w:p>
        </w:tc>
        <w:tc>
          <w:tcPr>
            <w:tcW w:w="1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737</w:t>
            </w:r>
          </w:p>
        </w:tc>
      </w:tr>
      <w:tr>
        <w:trPr>
          <w:trHeight w:val="29"/>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337</w:t>
            </w:r>
          </w:p>
        </w:tc>
      </w:tr>
      <w:tr>
        <w:trPr>
          <w:trHeight w:val="22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4,656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4,531</w:t>
            </w:r>
          </w:p>
        </w:tc>
      </w:tr>
      <w:tr>
        <w:trPr>
          <w:trHeight w:val="29"/>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8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9"/>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Senior notes,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8,933</w:t>
            </w: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Other long-term debt, net</w:t>
            </w:r>
          </w:p>
        </w:tc>
        <w:tc>
          <w:tcPr>
            <w:tcW w:w="1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250</w:t>
            </w:r>
          </w:p>
        </w:tc>
      </w:tr>
      <w:tr>
        <w:trPr>
          <w:trHeight w:val="29"/>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679</w:t>
            </w:r>
          </w:p>
        </w:tc>
      </w:tr>
      <w:tr>
        <w:trPr>
          <w:trHeight w:val="22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long-term liabilities</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9,921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9,862</w:t>
            </w:r>
          </w:p>
        </w:tc>
      </w:tr>
      <w:tr>
        <w:trPr>
          <w:trHeight w:val="29"/>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8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13)</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9"/>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8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PARTNERS’ CAPITAL</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9"/>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Series A preferred unitholders (71,090,468 and 69,696,542 units outstanding,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1,505</w:t>
            </w: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Series B preferred unitholders (800,000 and 800,000 units outstanding, respectively)</w:t>
            </w:r>
          </w:p>
        </w:tc>
        <w:tc>
          <w:tcPr>
            <w:tcW w:w="1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788</w:t>
            </w:r>
          </w:p>
        </w:tc>
      </w:tr>
      <w:tr>
        <w:trPr>
          <w:trHeight w:val="29"/>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Common unitholders (726,088,389 and 725,189,138 units outstanding, respectively)</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9,058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8,665</w:t>
            </w:r>
          </w:p>
        </w:tc>
      </w:tr>
      <w:tr>
        <w:trPr>
          <w:trHeight w:val="22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partners’ capital</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11,350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10,958</w:t>
            </w:r>
          </w:p>
        </w:tc>
      </w:tr>
      <w:tr>
        <w:trPr>
          <w:trHeight w:val="29"/>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25,351</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unit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20" w:type="dxa"/>
            <w:vAlign w:val="bottom"/>
            <w:gridSpan w:val="4"/>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3"/>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3"/>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tcPr>
          <w:p>
            <w:pPr>
              <w:spacing w:after="0"/>
              <w:rPr>
                <w:sz w:val="21"/>
                <w:szCs w:val="2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Supply and Logistics segment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8,482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24,374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17,749</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Transportation segment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459</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Facilities segment revenues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25,269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18,618</w:t>
            </w:r>
          </w:p>
        </w:tc>
      </w:tr>
      <w:tr>
        <w:trPr>
          <w:trHeight w:val="297"/>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22,838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16,239</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Field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876</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8,299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24,307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17,726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201</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investment in unconsolidated entities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 of capitalized interest of $8, $11, $21 and $26,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income/(expense),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318"/>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INCOME/(LOSS) BEFORE TAX</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income tax (expense)/benefit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318"/>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665</w:t>
            </w:r>
          </w:p>
        </w:tc>
      </w:tr>
      <w:tr>
        <w:trPr>
          <w:trHeight w:val="311"/>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INCOME/(LOSS) PER COMMON UNIT (NOTE 4):</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income/(loss) allocated to common unitholders — 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547</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714</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0.77</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income/(loss) allocated to common unitholders —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547</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income/(loss) per common unit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0.76</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CONDENSED CONSOLIDATED STATEMENTS OF COMPREHENSIVE INCOME (in millions)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200" w:type="dxa"/>
            <w:vAlign w:val="bottom"/>
            <w:gridSpan w:val="4"/>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6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60" w:type="dxa"/>
            <w:vAlign w:val="bottom"/>
            <w:gridSpan w:val="3"/>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tcPr>
          <w:p>
            <w:pPr>
              <w:spacing w:after="0"/>
              <w:rPr>
                <w:sz w:val="21"/>
                <w:szCs w:val="2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667</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840" w:type="dxa"/>
            <w:vAlign w:val="bottom"/>
          </w:tcPr>
          <w:p>
            <w:pPr>
              <w:spacing w:after="0"/>
              <w:rPr>
                <w:sz w:val="21"/>
                <w:szCs w:val="21"/>
                <w:color w:val="auto"/>
              </w:rPr>
            </w:pP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256</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923</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8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PAA</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921</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6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 on hedges</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period activity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6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loss on hedges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period activity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4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20" w:type="dxa"/>
            <w:vAlign w:val="bottom"/>
          </w:tcPr>
          <w:p>
            <w:pPr>
              <w:spacing w:after="0"/>
              <w:rPr>
                <w:sz w:val="17"/>
                <w:szCs w:val="17"/>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valuation adjustments</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(Gain)/loss on foreign currency revaluation</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terminated interest rate hedging instruments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on earnings from unconsolidated entities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investment in unconsolidated entities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1,918</w:t>
            </w:r>
          </w:p>
        </w:tc>
      </w:tr>
      <w:tr>
        <w:trPr>
          <w:trHeight w:val="169"/>
        </w:trPr>
        <w:tc>
          <w:tcPr>
            <w:tcW w:w="83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in connection with acquisitions, net of cash acquired</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to property, equipment and other</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Return of investment from unconsolidated entities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9"/>
        </w:trPr>
        <w:tc>
          <w:tcPr>
            <w:tcW w:w="8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repayments under commercial paper program (Note 9)</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borrowings/(repayments) under senior secured hedged inventory facility (Note 9)</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GO Zone term loans (Note 9)</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Repayments of senior notes</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proceeds from sales of common units</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 paid to Series A preferred unitholders (Note 10)</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Distributions paid to Series B preferred unitholders (Note 10)</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 paid to common unitholders (Note 10)</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(1,115)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9"/>
        </w:trPr>
        <w:tc>
          <w:tcPr>
            <w:tcW w:w="8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translation adjustment on cash</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62"/>
        </w:trPr>
        <w:tc>
          <w:tcPr>
            <w:tcW w:w="8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2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163"/>
        </w:trPr>
        <w:tc>
          <w:tcPr>
            <w:tcW w:w="8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net of amounts refunded</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10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103"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left="260" w:right="2080"/>
        <w:spacing w:after="0" w:line="27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6"/>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restart"/>
          </w:tcPr>
          <w:p>
            <w:pPr>
              <w:jc w:val="center"/>
              <w:ind w:left="516"/>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gridSpan w:val="5"/>
            <w:vMerge w:val="restart"/>
          </w:tcPr>
          <w:p>
            <w:pPr>
              <w:jc w:val="center"/>
              <w:ind w:right="660"/>
              <w:spacing w:after="0" w:line="137"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vMerge w:val="restart"/>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160" w:type="dxa"/>
            <w:vAlign w:val="bottom"/>
            <w:gridSpan w:val="6"/>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3"/>
                <w:szCs w:val="23"/>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420" w:type="dxa"/>
            <w:vAlign w:val="bottom"/>
            <w:tcBorders>
              <w:bottom w:val="single" w:sz="8" w:color="auto"/>
            </w:tcBorders>
            <w:gridSpan w:val="2"/>
            <w:shd w:val="clear" w:color="auto" w:fill="CCEEFF"/>
          </w:tcPr>
          <w:p>
            <w:pPr>
              <w:jc w:val="right"/>
              <w:ind w:right="124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8"/>
              </w:rPr>
              <w:t>1,505</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788</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8,665</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Impact of adoption of ASU 2017-05 (Note</w:t>
            </w: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3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0"/>
                <w:szCs w:val="20"/>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at January 1, 2018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8"/>
              </w:rPr>
              <w:t>1,505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8,778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(Note 10)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1"/>
                <w:szCs w:val="21"/>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1420" w:type="dxa"/>
            <w:vAlign w:val="bottom"/>
            <w:tcBorders>
              <w:bottom w:val="single" w:sz="8" w:color="auto"/>
            </w:tcBorders>
            <w:gridSpan w:val="2"/>
            <w:shd w:val="clear" w:color="auto" w:fill="CCEEFF"/>
          </w:tcPr>
          <w:p>
            <w:pPr>
              <w:jc w:val="right"/>
              <w:ind w:right="124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8"/>
              </w:rPr>
              <w:t>1,505</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787</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9,058</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left="465"/>
              <w:spacing w:after="0" w:line="151"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vMerge w:val="restart"/>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4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left="445"/>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3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left="445"/>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0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34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2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8"/>
              </w:rPr>
              <w:t>1,508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7,251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8,759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8,816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of common units</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interest in Advantage Joint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Venture</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2017</w:t>
            </w:r>
          </w:p>
        </w:tc>
        <w:tc>
          <w:tcPr>
            <w:tcW w:w="1420" w:type="dxa"/>
            <w:vAlign w:val="bottom"/>
            <w:gridSpan w:val="2"/>
            <w:shd w:val="clear" w:color="auto" w:fill="CCEEFF"/>
          </w:tcPr>
          <w:p>
            <w:pPr>
              <w:jc w:val="right"/>
              <w:ind w:right="112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8"/>
              </w:rPr>
              <w:t>1,506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8,717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10,223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left="300" w:right="2500"/>
        <w:spacing w:after="0" w:line="26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NOTES TO THE CONDENSED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Basis of Consolidation and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own and operate midstream energy infrastructure and provide logistics services primarily for crude oil, natural gas liquids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14 for further discussion of our operating segments.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non-economic general partner interest is held by PAA GP LLC (“PAA GP”), a Delaware limited liability company, whose sole member is Plains AAP, L.P. (“AAP”), a Delaware limited partnership. In addition to its ownership of PAA GP, as of September 30, 2018, AAP also owned a limited partner interest in us through its ownership of approximately 281.0 million of our common units (approximately 35% of our total outstanding common units and Series A preferred units combined). Plains All American GP LLC (“GP LLC”), a Delaware limited liability company, is AAP’s general partner. Plains GP Holdings, L.P. (“PAGP”) is the sole and managing member of GP LLC, and, at September 30, 2018, owned an approximate 57% limited partner interest in AAP. PAA GP Holdings LLC (“PAGP GP”) is the general partner of PAGP.</w:t>
      </w:r>
    </w:p>
    <w:p>
      <w:pPr>
        <w:spacing w:after="0" w:line="18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References to our “general partner,” as the context requires, include any or all of PAGP GP, PAGP, GP LLC, AAP and PAA GP.</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AOCI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Billion cubic feet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Btu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British thermal unit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CAD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Canadian dollar</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CODM</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DERs</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 equivalent rights</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Earnings before interest, taxes, depreciation and amortization</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EPA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Generally accepted accounting principles in the United States</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ICE</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Intercontinental Exchange</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ISDA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 Swaps and Derivatives Association</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LIBOR</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incentive plan</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Thousand cubic feet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Natural gas liquids, including ethane, propane and butane</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NYMEX</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Oxy</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Occidental Petroleum Corporation or its subsidiaries</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PLA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Pipeline loss allowance</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dollar</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WTI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West Texas Intermediate</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Presentation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and related notes thereto should be read in conjunction with our 2017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 condensed consolidated balance sheet data as of December 31, 2017 was derived from audited financial statements, but does not include all disclosures required by GAAP. The results of operations for the three and nine months ended September 30, 2018 should not be taken as indicative of results to be expected for the entire year.</w:t>
      </w:r>
    </w:p>
    <w:p>
      <w:pPr>
        <w:spacing w:after="0" w:line="18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40" w:top="121" w:right="29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2—Recent Accounting Pronouncements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Except as discussed below and in our 2017 Annual Report on Form 10-K, there have been no new accounting pronouncements that have become effective or have been issued during the nine months ended September 30, 2018 that are of significance or potential significance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Adopted During the Period</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February 2017, the FASB issued ASU 2017-05, </w:t>
      </w:r>
      <w:r>
        <w:rPr>
          <w:rFonts w:ascii="Times New Roman" w:cs="Times New Roman" w:eastAsia="Times New Roman" w:hAnsi="Times New Roman"/>
          <w:sz w:val="18"/>
          <w:szCs w:val="18"/>
          <w:i w:val="1"/>
          <w:iCs w:val="1"/>
          <w:color w:val="auto"/>
        </w:rPr>
        <w:t>Other Income—Gains and Losses from the Derecognition of Nonfinancial Assets (Subtopic 610-20): Clarifying the Scope of Asset Derecognition Guidance and Accounting for Partial Sales of Nonfinancial Assets</w:t>
      </w:r>
      <w:r>
        <w:rPr>
          <w:rFonts w:ascii="Times New Roman" w:cs="Times New Roman" w:eastAsia="Times New Roman" w:hAnsi="Times New Roman"/>
          <w:sz w:val="18"/>
          <w:szCs w:val="18"/>
          <w:color w:val="auto"/>
        </w:rPr>
        <w:t>. The ASU clarifies what type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involving nonfinancial assets are covered by the scope of the standard and provides guidance on how to account for those transactions, including partial sales of real estate. Within this guidance, all sales and partial sales of businesses, which may have previously been accounted for using the in-substance real estate guidance, should follow the consolidation guidance. This guidance is effective for interim and annual periods beginning after December 15, 2017, and must be adopted at the same time as Topic 606 (defined below). We adopted this ASU on January 1, 2018, using the modified retrospective approach. The cumulative effect of our adoption resulted in increases in both the carrying value of investments in unconsolidated entities and retained earnings of $113 million related to the retained noncontrolling interest in those entities from partial sales of businesses accounted for under in-substance real estate guidance during 2016 and 2017.</w:t>
      </w:r>
    </w:p>
    <w:p>
      <w:pPr>
        <w:spacing w:after="0" w:line="189"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 (Topic 230): Restricted Cash (a consensus of the FASB Emerging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Issues Task Force)</w:t>
      </w:r>
      <w:r>
        <w:rPr>
          <w:rFonts w:ascii="Times New Roman" w:cs="Times New Roman" w:eastAsia="Times New Roman" w:hAnsi="Times New Roman"/>
          <w:sz w:val="18"/>
          <w:szCs w:val="18"/>
          <w:color w:val="auto"/>
        </w:rPr>
        <w:t>, requiring that a statement of cash flows explain the change in total cash, cash equivalents, and amounts generally described as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or restricted cash equivalents during the period. Therefore, amounts generally described as restricted cash and restricted cash equivalents should be included with cash and cash equivalents when reconciling the beginning-of-period total amounts shown on the statement of cash flows. This guidance is effective for interim and annual periods beginning after December 15, 2017. We adopted this ASU on January 1, 2018. Our adoption did not have an impact on our statement of cash flows.</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followed by a series of related accounting standard updates (collectively referred to as “Topic 606”) with the underlying principle that an entity will recognize revenue to reflect amounts expected to be received in exchange for the provision of goods and services to customers upon the transfer of control of those goods or services. We adopted Topic 606 on January 1, 2018, and applied the modified retrospective approach. See Note 3 for additional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Issued During the Period</w:t>
      </w:r>
    </w:p>
    <w:p>
      <w:pPr>
        <w:spacing w:after="0" w:line="227"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Intangibles—Goodwill and Other—Internal-Use Software (Subtopic 350-40):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Implementation Costs Incurred in a Cloud Computing Arrangement That Is a Service Contract (a consensus of the FASB Emerging Issues Task Force), </w:t>
      </w:r>
      <w:r>
        <w:rPr>
          <w:rFonts w:ascii="Times New Roman" w:cs="Times New Roman" w:eastAsia="Times New Roman" w:hAnsi="Times New Roman"/>
          <w:sz w:val="18"/>
          <w:szCs w:val="18"/>
          <w:color w:val="auto"/>
        </w:rPr>
        <w:t>to address the accounting for implementation costs of a hosting arrangement that is a service contract and to align the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costs for hosting arrangements, regardless of whether they convey a license to the hosted software. This guidance is effective for interim and annual periods beginning after December 15, 2019, with early adoption permitted. We expect to adopt this guidance on January 1, 2020, and we are currently evaluating the effect that our adoption of this guidance will have on our financial position, results of operations and cash flows.</w:t>
      </w:r>
    </w:p>
    <w:p>
      <w:pPr>
        <w:spacing w:after="0" w:line="18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modifying the disclosure requirements on fair value measurements in Topic 820. This guidance is effective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and annual periods beginning after December 15, 2019, with early adoption permitted. We expect to adopt this guidance on January 1, 2020, and we are currently evaluating the effect that our adoption of this guidance will have on our financial position, results of operations and cash flows.</w:t>
      </w:r>
    </w:p>
    <w:p>
      <w:pPr>
        <w:spacing w:after="0" w:line="180"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July 2018, the FASB issued ASU 2018-09,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makes updates for clarifications, technical corrections and other minor improvements to a wide variety of Topics to make the ASC easier to understand and to apply. The transition and effective date is based on the facts and circumstances of each amendment with some amendments effective upon issuance. The remaining amendments are effective for annual periods beginning after December 15, 2018. We expect to adopt the remaining applicable amendments within this guidance on January 1, 2019, and we are currently evaluating the effect that our adoption of this guidance will have on our financial position, results of operations and cash flows.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Compensation—Stock Compensation (Topic 718): Improvements to Nonemployee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Accounting</w:t>
      </w:r>
      <w:r>
        <w:rPr>
          <w:rFonts w:ascii="Times New Roman" w:cs="Times New Roman" w:eastAsia="Times New Roman" w:hAnsi="Times New Roman"/>
          <w:sz w:val="18"/>
          <w:szCs w:val="18"/>
          <w:color w:val="auto"/>
        </w:rPr>
        <w:t>, which expands the scope of Topic 718 to include share-based payment awards to nonemployees and eliminates the classification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for employee and nonemployee share-based payment awards. This guidance is effective for interim and annual periods beginning after December 15, 2018, with early adoption permitted. We expect to adopt this guidance on January 1, 2019, and we do not currently anticipate that our adoption will have a material impact on our financial position, results of operations or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Accounting Standards Updates</w:t>
      </w:r>
    </w:p>
    <w:p>
      <w:pPr>
        <w:spacing w:after="0" w:line="22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that revises the current accounting model for leases. The most significant changes are the clarification of the definition of a lease and required lessee recognition on the balance sheet of lease assets and liabilities with lease terms of more than 12 months (with the election of the practical expedient to exclude short-term leases on the balance sheet), including extensive quantitative and qualitative disclosures. This guidance will become effective for interim and annual periods beginning after December 15, 2018, with a modified retrospective application required. Early adoption is permitted, including adoption in an interim period. We expect to adopt this guidance on January 1, 2019. We have implemented a process to evaluate the impact of adopting this guidance on each type of lease contract we have entered into with counterparties. Our implementation team is in the process of determining appropriate changes to our business processes, systems and controls to support recognition and disclosure under the new standard. Although our evaluation and implementation procedures are ongoing, we currently estimate that there will be a material impact on our financial position (both lease assets and lease liabilities), as well as an increase in disclosures related to leases. However, the determination of the ultimate impact of adopting this guidance will not be known until our implementation procedures are complete and will depend on our lease portfolio as of the adoption date.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January 1, 2018, we adopted Topic 606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our historic accounting under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was no material impact to opening retained earnings as of January 1, 2018 due to the adoption of Topic 606. There also was no material impact to revenues, or any other financial statement line items, for the three and nine months ended September 30, 2018 as a result of applying Topic 606.</w:t>
      </w:r>
    </w:p>
    <w:p>
      <w:pPr>
        <w:spacing w:after="0" w:line="162"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Under Topic 606, we disaggregate our revenues by segment and type of activity. These categories depict how the nature, amount, timing and uncertainty of revenues and cash flows are affected by economic factors.</w:t>
      </w:r>
    </w:p>
    <w:p>
      <w:pPr>
        <w:spacing w:after="0" w:line="160"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Supply and Logistics Segment Revenues from Contracts with Customers. </w:t>
      </w:r>
      <w:r>
        <w:rPr>
          <w:rFonts w:ascii="Times New Roman" w:cs="Times New Roman" w:eastAsia="Times New Roman" w:hAnsi="Times New Roman"/>
          <w:sz w:val="18"/>
          <w:szCs w:val="18"/>
          <w:color w:val="auto"/>
        </w:rPr>
        <w:t>The following table presents our Supply and Logistics segment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contracts with customers disaggregated by type of activity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6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200" w:type="dxa"/>
            <w:vAlign w:val="bottom"/>
          </w:tcPr>
          <w:p>
            <w:pPr>
              <w:spacing w:after="0"/>
              <w:rPr>
                <w:sz w:val="16"/>
                <w:szCs w:val="16"/>
                <w:color w:val="auto"/>
              </w:rPr>
            </w:pPr>
          </w:p>
        </w:tc>
        <w:tc>
          <w:tcPr>
            <w:tcW w:w="16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Supply and Logistics segment revenues from contracts with customers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Crude oil transactions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7,978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22,651</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 and other transactions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2,181</w:t>
            </w:r>
          </w:p>
        </w:tc>
      </w:tr>
      <w:tr>
        <w:trPr>
          <w:trHeight w:val="25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Supply and Logistics segment revenues from contracts with customers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8,534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24,832</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Revenues from sales of crude oil, NGL and natural gas are recognized at the time title to the product sold transfers to the purchaser, which occurs upon delivery of the product to the purchaser or its designee. Sales of crude oil and NGL consist of outright sales contracts. The consideration received under these contracts is variable based on commodity prices. Inventory purchases and sales under buy/sell transactions are treated as inventory exchanges which are excluded from Supply and Logistics segment revenues in our Condensed Consolidated Statements of Operations. Revenues recognized by our Supply and Logistics segment primarily represent margin based activities.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we have certain crude oil sales agreements that are entered into in conjunction with storage arrangements and future inventory exchanges. The revenues under these agreements are deferred until all performance obligations associated with the related agreements are completed. The inventory that has been sold under these crude oil sales agreements is reflected in “Other Current Assets” on our Condensed Consolidated Balance Sheet until all of our performance obligations are complete. At that time, the inventory that has been sold is removed from our Condensed Consolidated Balance Sheet and recorded as “Purchases and Related Costs” in our Condensed Consolidated Statement of Operations. At September 30, 2018, other current assets and deferred revenue associated with these agreements was approximately $157 million and $159 million, respectively. See Contract Balances below for further discussion of contract liabilities associated with these agreements.</w:t>
      </w:r>
    </w:p>
    <w:p>
      <w:pPr>
        <w:spacing w:after="0" w:line="18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may also utilize derivatives in connection with the transactions described above. Derivative revenue is not included as a component of revenue from contracts with customers, but is included in other items in revenue. The change in the fair value of derivatives that are not designated or do not qualify for hedge accounting is recognized in revenues each period.</w:t>
      </w:r>
    </w:p>
    <w:p>
      <w:pPr>
        <w:spacing w:after="0" w:line="174"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Transportation Segment Revenues from Contracts with Customers. </w:t>
      </w:r>
      <w:r>
        <w:rPr>
          <w:rFonts w:ascii="Times New Roman" w:cs="Times New Roman" w:eastAsia="Times New Roman" w:hAnsi="Times New Roman"/>
          <w:sz w:val="18"/>
          <w:szCs w:val="18"/>
          <w:color w:val="auto"/>
        </w:rPr>
        <w:t>The following table presents our Transportation segment revenues from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customers disaggregated by type of activity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6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200" w:type="dxa"/>
            <w:vAlign w:val="bottom"/>
          </w:tcPr>
          <w:p>
            <w:pPr>
              <w:spacing w:after="0"/>
              <w:rPr>
                <w:sz w:val="16"/>
                <w:szCs w:val="16"/>
                <w:color w:val="auto"/>
              </w:rPr>
            </w:pPr>
          </w:p>
        </w:tc>
        <w:tc>
          <w:tcPr>
            <w:tcW w:w="16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Transportation segment revenues from contracts with customers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Tariff activities: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Crude oil pipelines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1,237</w:t>
            </w: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NGL pipelines</w:t>
            </w: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tariff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1,313</w:t>
            </w: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Trucking</w:t>
            </w: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Transportation segment revenues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1,416</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Our Transportation segment operations generally consist of fee-based activities associated with transporting crude oil and NGL on pipelines, gathering systems 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182"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Facilities Segment Revenues from Contracts with Customers. </w:t>
      </w:r>
      <w:r>
        <w:rPr>
          <w:rFonts w:ascii="Times New Roman" w:cs="Times New Roman" w:eastAsia="Times New Roman" w:hAnsi="Times New Roman"/>
          <w:sz w:val="18"/>
          <w:szCs w:val="18"/>
          <w:color w:val="auto"/>
        </w:rPr>
        <w:t>The following table presents our Facilities segment revenues from contracts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disaggregated by type of activity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6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200" w:type="dxa"/>
            <w:vAlign w:val="bottom"/>
          </w:tcPr>
          <w:p>
            <w:pPr>
              <w:spacing w:after="0"/>
              <w:rPr>
                <w:sz w:val="16"/>
                <w:szCs w:val="16"/>
                <w:color w:val="auto"/>
              </w:rPr>
            </w:pPr>
          </w:p>
        </w:tc>
        <w:tc>
          <w:tcPr>
            <w:tcW w:w="16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Facilities segment revenues from contracts with customers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Crude oil, NGL and other terminalling and storage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511</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 and natural gas processing and fractionation</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278</w:t>
            </w: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Rail load / unload</w:t>
            </w: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Facilities segment revenues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845</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Revenues generated in this segment include (i) fees that are generated from storage capacity agreements, (ii) terminal throughput fees that are generated when we receive liquids from one connecting source and deliver the applicable product to another connecting carrier, (iii) fees from NGL fractionation and isomerization services, (iv) fees from natural gas and condensate processing services, (v) fees associated with natural gas park and loan activities, interruptible storage services and wheeling and balancing services (“natural gas storage related activities”) and (vi) loading and unloading fees at our rail terminals.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rail fees) are recognized as the liquids enter or exit the terminal and are received from or delivered to the connecting carrier or third-party terminal, as applicable. Fees from NGL fractionation and isomerization services and gas processing services are recognized in the period when the services are performed. Natural gas storage related activities fees are recognized in the period the natural gas moves across our header system. We recognize rail loading and unloading fees when the volumes are delivered or received.</w:t>
      </w:r>
    </w:p>
    <w:p>
      <w:pPr>
        <w:spacing w:after="0" w:line="186"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Reconciliation to Total Revenues of Reportable Segments. </w:t>
      </w:r>
      <w:r>
        <w:rPr>
          <w:rFonts w:ascii="Times New Roman" w:cs="Times New Roman" w:eastAsia="Times New Roman" w:hAnsi="Times New Roman"/>
          <w:sz w:val="18"/>
          <w:szCs w:val="18"/>
          <w:color w:val="auto"/>
        </w:rPr>
        <w:t>Topic 606 requires us to provide information about the relationship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revenues presented above and segment revenues. These disclosures only include information regarding revenues associated with consolidated entities, and revenues from entities accounted for by the equity method are not included in the disclosures. The following table presents the reconciliation of our revenues from contracts with customers (as described above for each segment) to segment revenues and total revenues as disclosed in our Condensed Consolidated Statement of Operations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2018</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20" w:type="dxa"/>
            <w:vAlign w:val="bottom"/>
            <w:gridSpan w:val="2"/>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Supply and</w:t>
            </w:r>
          </w:p>
        </w:tc>
        <w:tc>
          <w:tcPr>
            <w:tcW w:w="300" w:type="dxa"/>
            <w:vAlign w:val="bottom"/>
          </w:tcPr>
          <w:p>
            <w:pPr>
              <w:spacing w:after="0"/>
              <w:rPr>
                <w:sz w:val="13"/>
                <w:szCs w:val="13"/>
                <w:color w:val="auto"/>
              </w:rPr>
            </w:pPr>
          </w:p>
        </w:tc>
        <w:tc>
          <w:tcPr>
            <w:tcW w:w="10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5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20" w:type="dxa"/>
            <w:vAlign w:val="bottom"/>
            <w:tcBorders>
              <w:bottom w:val="single" w:sz="8" w:color="CCEEFF"/>
            </w:tcBorders>
            <w:gridSpan w:val="2"/>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Supply and</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0" w:type="dxa"/>
            <w:vAlign w:val="bottom"/>
          </w:tcPr>
          <w:p>
            <w:pPr>
              <w:spacing w:after="0"/>
              <w:rPr>
                <w:sz w:val="23"/>
                <w:szCs w:val="23"/>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tc>
        <w:tc>
          <w:tcPr>
            <w:tcW w:w="120" w:type="dxa"/>
            <w:vAlign w:val="bottom"/>
            <w:vMerge w:val="restart"/>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00" w:type="dxa"/>
            <w:vAlign w:val="bottom"/>
            <w:gridSpan w:val="2"/>
            <w:vMerge w:val="restart"/>
          </w:tcPr>
          <w:p>
            <w:pPr>
              <w:spacing w:after="0"/>
              <w:rPr>
                <w:sz w:val="23"/>
                <w:szCs w:val="23"/>
                <w:color w:val="auto"/>
              </w:rPr>
            </w:pPr>
          </w:p>
        </w:tc>
        <w:tc>
          <w:tcPr>
            <w:tcW w:w="4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40" w:type="dxa"/>
            <w:vAlign w:val="bottom"/>
            <w:vMerge w:val="restart"/>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4"/>
            <w:vMerge w:val="continue"/>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845</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24,832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27,093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1,427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866</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24,376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26,669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25,269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Trade Accounts Receivable and Other Receivables. </w:t>
      </w:r>
      <w:r>
        <w:rPr>
          <w:rFonts w:ascii="Times New Roman" w:cs="Times New Roman" w:eastAsia="Times New Roman" w:hAnsi="Times New Roman"/>
          <w:sz w:val="18"/>
          <w:szCs w:val="18"/>
          <w:color w:val="auto"/>
        </w:rPr>
        <w:t>We generally invoice customers in the month following that in which products or services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and generally require payment within 30 days of the invoice date. The following is a reconciliation of trade accounts receivable from revenues from contracts with customers to total Trade accounts receivable and other receivables, net as presented on our Condensed Consolidated Balance Sheet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3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receivable arising from revenues from contracts with customers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2,584</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trade accounts receivables and other receivables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23"/>
                <w:szCs w:val="23"/>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3,482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3,709</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due to contractual rights of offset with counterparties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3,029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balance is comprised primarily of accounts receivable associated with buy/sell arrangements that are not within the scope of Topic 606.</w:t>
      </w:r>
    </w:p>
    <w:p>
      <w:pPr>
        <w:spacing w:after="0" w:line="200" w:lineRule="exact"/>
        <w:rPr>
          <w:rFonts w:ascii="Times New Roman" w:cs="Times New Roman" w:eastAsia="Times New Roman" w:hAnsi="Times New Roman"/>
          <w:sz w:val="25"/>
          <w:szCs w:val="25"/>
          <w:color w:val="auto"/>
          <w:vertAlign w:val="superscript"/>
        </w:rPr>
      </w:pPr>
    </w:p>
    <w:p>
      <w:pPr>
        <w:spacing w:after="0" w:line="240" w:lineRule="exact"/>
        <w:rPr>
          <w:rFonts w:ascii="Times New Roman" w:cs="Times New Roman" w:eastAsia="Times New Roman" w:hAnsi="Times New Roman"/>
          <w:sz w:val="25"/>
          <w:szCs w:val="25"/>
          <w:color w:val="auto"/>
          <w:vertAlign w:val="superscript"/>
        </w:rPr>
      </w:pPr>
    </w:p>
    <w:p>
      <w:pPr>
        <w:ind w:left="562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Minimum Volume Commitments. </w:t>
      </w:r>
      <w:r>
        <w:rPr>
          <w:rFonts w:ascii="Times New Roman" w:cs="Times New Roman" w:eastAsia="Times New Roman" w:hAnsi="Times New Roman"/>
          <w:sz w:val="18"/>
          <w:szCs w:val="18"/>
          <w:color w:val="auto"/>
        </w:rPr>
        <w:t>We have certain agreements that require counterparties to transport or throughput a minimum volume over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agreed upon period. These contracts are within the scope of Topic 606. In addition, we have certain buy/sell agreements that require customers to deliver a minimum volume over an agreed upon period that are within the scope of ASC Topic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 xml:space="preserve"> (“Topic 845”).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At September 30, 2018 and December 31, 2017, counterparty deficiencies associated with agreements (under Topic 606 and Topic 845) that include minimum volume commitments totaled $62 million and $57 million, respectively, of which $42 million and $37 million, respectively, was recorded as a contract liability, which we refer to as deferred revenue. The remaining balance of $20 million at both September 30, 2018 and December 31, 2017 was related to deficiencies for which the counterparties had not met their contractual minimum commitments and were not reflected in our Condensed Consolidated Financial Statements as we had not yet billed or collected such amounts.</w:t>
      </w:r>
    </w:p>
    <w:p>
      <w:pPr>
        <w:spacing w:after="0" w:line="182"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Contract Balances</w:t>
      </w:r>
      <w:r>
        <w:rPr>
          <w:rFonts w:ascii="Times New Roman" w:cs="Times New Roman" w:eastAsia="Times New Roman" w:hAnsi="Times New Roman"/>
          <w:sz w:val="18"/>
          <w:szCs w:val="18"/>
          <w:color w:val="auto"/>
        </w:rPr>
        <w:t>. Our contract balances consist of amounts received associated with services or sales for which we have not yet completed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performance obligation. The following table presents the change in the contract liability balance during the nine months ended September 30, 2018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Contract Liabilities</w:t>
            </w:r>
          </w:p>
        </w:tc>
      </w:tr>
      <w:tr>
        <w:trPr>
          <w:trHeight w:val="262"/>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9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0"/>
        </w:trPr>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recognized as revenue</w:t>
            </w: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36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Additions </w:t>
            </w:r>
            <w:r>
              <w:rPr>
                <w:rFonts w:ascii="Times New Roman" w:cs="Times New Roman" w:eastAsia="Times New Roman" w:hAnsi="Times New Roman"/>
                <w:sz w:val="25"/>
                <w:szCs w:val="25"/>
                <w:color w:val="auto"/>
                <w:vertAlign w:val="superscript"/>
              </w:rPr>
              <w:t>(1) (2)</w:t>
            </w: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384</w:t>
            </w:r>
          </w:p>
        </w:tc>
      </w:tr>
      <w:tr>
        <w:trPr>
          <w:trHeight w:val="243"/>
        </w:trPr>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9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393</w:t>
            </w:r>
          </w:p>
        </w:tc>
      </w:tr>
      <w:tr>
        <w:trPr>
          <w:trHeight w:val="20"/>
        </w:trPr>
        <w:tc>
          <w:tcPr>
            <w:tcW w:w="9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6" w:lineRule="exact"/>
        <w:rPr>
          <w:sz w:val="20"/>
          <w:szCs w:val="20"/>
          <w:color w:val="auto"/>
        </w:rPr>
      </w:pPr>
    </w:p>
    <w:p>
      <w:pPr>
        <w:ind w:left="660" w:right="200" w:hanging="652"/>
        <w:spacing w:after="0" w:line="218" w:lineRule="auto"/>
        <w:tabs>
          <w:tab w:leader="none" w:pos="66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approximately $159 million associated with crude oil sales agreements that are entered into in conjunction with storage arrangements and future inventory exchanges. Such amount is expected to be recognized as revenue in the fourth quarter of 2018.</w:t>
      </w:r>
    </w:p>
    <w:p>
      <w:pPr>
        <w:spacing w:after="0" w:line="37"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$100 million associated with long-term capacity agreements with Cactus II Pipeline LLC. See Note 12 for additional information.</w:t>
      </w:r>
    </w:p>
    <w:p>
      <w:pPr>
        <w:spacing w:after="0" w:line="19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Remaining Performance Obligations</w:t>
      </w:r>
      <w:r>
        <w:rPr>
          <w:rFonts w:ascii="Times New Roman" w:cs="Times New Roman" w:eastAsia="Times New Roman" w:hAnsi="Times New Roman"/>
          <w:sz w:val="18"/>
          <w:szCs w:val="18"/>
          <w:color w:val="auto"/>
        </w:rPr>
        <w:t>. Topic 606 requires a presentation of information about partially and wholly unsatisfied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September 30, 2018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240" w:type="dxa"/>
            <w:vAlign w:val="bottom"/>
          </w:tcPr>
          <w:p>
            <w:pPr>
              <w:spacing w:after="0"/>
              <w:rPr>
                <w:sz w:val="13"/>
                <w:szCs w:val="13"/>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2023 and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Pipeline revenues supported by minimum volume commitments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700" w:type="dxa"/>
            <w:vAlign w:val="bottom"/>
            <w:shd w:val="clear" w:color="auto" w:fill="CCEEFF"/>
          </w:tcPr>
          <w:p>
            <w:pPr>
              <w:ind w:left="200"/>
              <w:spacing w:after="0" w:line="262" w:lineRule="exact"/>
              <w:rPr>
                <w:sz w:val="20"/>
                <w:szCs w:val="20"/>
                <w:color w:val="auto"/>
              </w:rPr>
            </w:pPr>
            <w:r>
              <w:rPr>
                <w:rFonts w:ascii="Times New Roman" w:cs="Times New Roman" w:eastAsia="Times New Roman" w:hAnsi="Times New Roman"/>
                <w:sz w:val="18"/>
                <w:szCs w:val="18"/>
                <w:color w:val="auto"/>
              </w:rPr>
              <w:t xml:space="preserve">and long-term capacity agreements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storage, terminalling and throughput agreements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6" w:lineRule="exact"/>
        <w:rPr>
          <w:sz w:val="20"/>
          <w:szCs w:val="20"/>
          <w:color w:val="auto"/>
        </w:rPr>
      </w:pPr>
    </w:p>
    <w:p>
      <w:pPr>
        <w:ind w:left="660" w:right="640" w:hanging="652"/>
        <w:spacing w:after="0" w:line="218" w:lineRule="auto"/>
        <w:tabs>
          <w:tab w:leader="none" w:pos="66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revenues from certain contracts for which the amount and timing of revenue is subject to the completion of underlying construction projects.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84" w:lineRule="exact"/>
        <w:rPr>
          <w:sz w:val="20"/>
          <w:szCs w:val="20"/>
          <w:color w:val="auto"/>
        </w:rPr>
      </w:pPr>
    </w:p>
    <w:p>
      <w:pPr>
        <w:ind w:left="820" w:right="100" w:hanging="164"/>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volume commitments related to the assets of equity method investees — Contracts include those related to the Eagle Ford, BridgeTex, STACK, Caddo, Saddlehorn, White Cliffs, Cheyenne, Diamond and Cactus II pipeline systems;</w:t>
      </w:r>
    </w:p>
    <w:p>
      <w:pPr>
        <w:spacing w:after="0" w:line="53"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Acreage dedications — Contracts include those related to the Permian Basin, Eagle Ford, Central, Rocky Mountain and Canada regions;</w:t>
      </w:r>
    </w:p>
    <w:p>
      <w:pPr>
        <w:spacing w:after="0" w:line="117" w:lineRule="exact"/>
        <w:rPr>
          <w:rFonts w:ascii="Times New Roman" w:cs="Times New Roman" w:eastAsia="Times New Roman" w:hAnsi="Times New Roman"/>
          <w:sz w:val="18"/>
          <w:szCs w:val="18"/>
          <w:color w:val="auto"/>
        </w:rPr>
      </w:pPr>
    </w:p>
    <w:p>
      <w:pPr>
        <w:ind w:left="820" w:right="440" w:hanging="164"/>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Logistics contracts within the scope of Topic 845 — Contracts include buy/sell arrangements with future committed volumes on certain Permian Basin, Eagle Ford, Central and Canada region systems;</w:t>
      </w:r>
    </w:p>
    <w:p>
      <w:pPr>
        <w:spacing w:after="0" w:line="53" w:lineRule="exact"/>
        <w:rPr>
          <w:rFonts w:ascii="Times New Roman" w:cs="Times New Roman" w:eastAsia="Times New Roman" w:hAnsi="Times New Roman"/>
          <w:sz w:val="18"/>
          <w:szCs w:val="18"/>
          <w:color w:val="auto"/>
        </w:rPr>
      </w:pPr>
    </w:p>
    <w:p>
      <w:pPr>
        <w:ind w:left="820" w:right="160" w:hanging="164"/>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Supply and Logistics contracts, due to the election of practical expedients related to variable consideration and short-term contracts, as discussed below;</w:t>
      </w:r>
    </w:p>
    <w:p>
      <w:pPr>
        <w:spacing w:after="0" w:line="53"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and Facilities contracts that are short-term, as discussed below;</w:t>
      </w:r>
    </w:p>
    <w:p>
      <w:pPr>
        <w:spacing w:after="0" w:line="11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under Topic 606 due to variability in amount of performance obligation remaining, variability in the timing of recognition or variability in consideration. Acreage dedications do require us to perform future services but do not contain a minimum level of services and are therefore excluded from this presentation. Long-term supply and logistics arrangements contain variable timing, volumes and/or consideration and are excluded from this presentation. The duration of these contracts varies across the periods presented above.</w:t>
      </w:r>
    </w:p>
    <w:p>
      <w:pPr>
        <w:spacing w:after="0" w:line="188"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Additionally, we have elected practical expedients to exclude contracts with terms of one year or less, and therefore exclude the presentation of remaining performance obligations for short-term transportation, storage and processing services, supply and logistics arrangements, including the non-cancelable period of evergreen arrangements, and any other types of arrangements with terms of one year or less.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4—Net Income/(Loss) Per Common Unit</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calculate basic and diluted net income/(loss) per common unit by dividing net income attributable to PAA (after deducting amounts allocated to preferred unitholders and participating securities) by the basic and diluted weighted average number of common units outstanding during the period. Participating securities include LTIP awards that have vested DERs, which entitle the grantee to a cash payment equal to the cash distribution paid on our outstanding common units.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60"/>
          </w:cols>
          <w:pgMar w:left="240" w:top="121" w:right="29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(which include LTIP awards and AAP Management Units). When applying the if-converted method prescribed by FASB guidance, the possible conversion of our Series A preferred units was excluded from the calculation of diluted net income/(loss) per common unit for the nine months ended September 30, 2018 and the three and nine months ended September 30, 2017 as the effect was antidilutive. Our LTIP awards that contemplate the issuance of common units and certain AAP Management Units that contemplate the issuance of common units to AAP when such AAP Management Units become earned are considered dilutive unless (i) they become vested or earned only upon the satisfaction of a performance condition and (ii) that performance condition has yet to be satisfied. LTIP awards and AAP Management Units that were deemed to be dilutive during the three and nine months ended September 30, 2018 and the nine months ended September 30, 2017 were reduced by a hypothetical common unit repurchase based on the remaining unamortized fair value, as prescribed by the treasury stock method in guidance issued by the FASB. LTIP Awards and AAP Management Units were excluded from the computation of diluted net loss per common unit from the three months ended September 30, 2017 as the effect was antidilutive. See Note 16 to our Consolidated Financial Statements included in Part IV of our 2017 Annual Report on Form 10-K for a complete discussion of our LTIP awards and the AAP Management Units.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income/(loss) per common unit (in millions, except per unit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14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35"/>
        </w:trPr>
        <w:tc>
          <w:tcPr>
            <w:tcW w:w="4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Net Income/(Loss) per Common Unit</w:t>
            </w: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202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21"/>
                <w:szCs w:val="21"/>
                <w:color w:val="auto"/>
              </w:rPr>
            </w:pPr>
          </w:p>
        </w:tc>
        <w:tc>
          <w:tcPr>
            <w:tcW w:w="7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1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3"/>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participating securities</w:t>
            </w:r>
          </w:p>
        </w:tc>
        <w:tc>
          <w:tcPr>
            <w:tcW w:w="1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60" w:type="dxa"/>
            <w:vAlign w:val="bottom"/>
            <w:gridSpan w:val="2"/>
            <w:shd w:val="clear" w:color="auto" w:fill="CCEEFF"/>
          </w:tcPr>
          <w:p>
            <w:pPr>
              <w:ind w:left="200"/>
              <w:spacing w:after="0" w:line="264" w:lineRule="exact"/>
              <w:rPr>
                <w:sz w:val="20"/>
                <w:szCs w:val="20"/>
                <w:color w:val="auto"/>
              </w:rPr>
            </w:pPr>
            <w:r>
              <w:rPr>
                <w:rFonts w:ascii="Times New Roman" w:cs="Times New Roman" w:eastAsia="Times New Roman" w:hAnsi="Times New Roman"/>
                <w:sz w:val="18"/>
                <w:szCs w:val="18"/>
                <w:color w:val="auto"/>
              </w:rPr>
              <w:t xml:space="preserve">Net income/(loss) allocated to common unitholders </w:t>
            </w:r>
            <w:r>
              <w:rPr>
                <w:rFonts w:ascii="Times New Roman" w:cs="Times New Roman" w:eastAsia="Times New Roman" w:hAnsi="Times New Roman"/>
                <w:sz w:val="25"/>
                <w:szCs w:val="25"/>
                <w:color w:val="auto"/>
                <w:vertAlign w:val="superscript"/>
              </w:rPr>
              <w:t>(1)</w:t>
            </w:r>
          </w:p>
        </w:tc>
        <w:tc>
          <w:tcPr>
            <w:tcW w:w="202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1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97"/>
        </w:trPr>
        <w:tc>
          <w:tcPr>
            <w:tcW w:w="3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202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Diluted Net Income/(Loss) per Common Unit</w:t>
            </w:r>
          </w:p>
        </w:tc>
        <w:tc>
          <w:tcPr>
            <w:tcW w:w="1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202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21"/>
                <w:szCs w:val="21"/>
                <w:color w:val="auto"/>
              </w:rPr>
            </w:pPr>
          </w:p>
        </w:tc>
        <w:tc>
          <w:tcPr>
            <w:tcW w:w="7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1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3"/>
        </w:trPr>
        <w:tc>
          <w:tcPr>
            <w:tcW w:w="4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Distributions to participating securities</w:t>
            </w:r>
          </w:p>
        </w:tc>
        <w:tc>
          <w:tcPr>
            <w:tcW w:w="1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60" w:type="dxa"/>
            <w:vAlign w:val="bottom"/>
            <w:gridSpan w:val="2"/>
            <w:shd w:val="clear" w:color="auto" w:fill="CCEEFF"/>
          </w:tcPr>
          <w:p>
            <w:pPr>
              <w:ind w:left="200"/>
              <w:spacing w:after="0" w:line="264" w:lineRule="exact"/>
              <w:rPr>
                <w:sz w:val="20"/>
                <w:szCs w:val="20"/>
                <w:color w:val="auto"/>
              </w:rPr>
            </w:pPr>
            <w:r>
              <w:rPr>
                <w:rFonts w:ascii="Times New Roman" w:cs="Times New Roman" w:eastAsia="Times New Roman" w:hAnsi="Times New Roman"/>
                <w:sz w:val="18"/>
                <w:szCs w:val="18"/>
                <w:color w:val="auto"/>
              </w:rPr>
              <w:t xml:space="preserve">Net income/(loss) allocated to common unitholders </w:t>
            </w:r>
            <w:r>
              <w:rPr>
                <w:rFonts w:ascii="Times New Roman" w:cs="Times New Roman" w:eastAsia="Times New Roman" w:hAnsi="Times New Roman"/>
                <w:sz w:val="25"/>
                <w:szCs w:val="25"/>
                <w:color w:val="auto"/>
                <w:vertAlign w:val="superscript"/>
              </w:rPr>
              <w:t>(1)</w:t>
            </w:r>
          </w:p>
        </w:tc>
        <w:tc>
          <w:tcPr>
            <w:tcW w:w="202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1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43"/>
        </w:trPr>
        <w:tc>
          <w:tcPr>
            <w:tcW w:w="4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Series A preferred units</w:t>
            </w:r>
          </w:p>
        </w:tc>
        <w:tc>
          <w:tcPr>
            <w:tcW w:w="1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Equity-indexed compensation plan awards</w:t>
            </w: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1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net income/(loss) per common unit</w:t>
            </w:r>
          </w:p>
        </w:tc>
        <w:tc>
          <w:tcPr>
            <w:tcW w:w="202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960" w:type="dxa"/>
            <w:vAlign w:val="bottom"/>
            <w:tcBorders>
              <w:bottom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Borders>
              <w:bottom w:val="single" w:sz="8" w:color="CCEEFF"/>
            </w:tcBorders>
            <w:vMerge w:val="continue"/>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ind w:left="660" w:right="200" w:hanging="652"/>
        <w:spacing w:after="0" w:line="233" w:lineRule="auto"/>
        <w:tabs>
          <w:tab w:leader="none" w:pos="66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calculate net income/(loss)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5—Accounts Receivable, Net</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Our accounts receivable are primarily from purchasers and shippers of crude oil and, to a lesser extent, purchasers of NGL and natural gas.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As of September 30, 2018 and December 31, 2017, we had received $136 million and $117 million, respectively, of advance cash payments from third parties to mitigate credit risk. We also received $36 million and $54 million as of September 30, 2018 and December 31, 2017,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the majority of our net-cash arrangements.</w:t>
      </w:r>
    </w:p>
    <w:p>
      <w:pPr>
        <w:spacing w:after="0" w:line="18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September 30, 2018 and December 31, 2017, substantially all of our trade accounts receivable (net of allowance for doubtful accounts) were less than 30 days past their scheduled invoice date. Our allowance for doubtful accounts receivable totaled $3 million at both September 30, 2018 and December 31, 2017. Although we consider our allowance for doubtful accounts receivable to be adequate, actual amounts could vary significantly from estimated amounts.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6—Inventory, Linefill and Base Gas and Long-term Inventory</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Inventory, linefill and base gas and long-term inventory consisted of the following (barrels and natural gas volumes in thousands and carrying value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1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4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4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2"/>
                <w:szCs w:val="12"/>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1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40" w:type="dxa"/>
            <w:vAlign w:val="bottom"/>
          </w:tcPr>
          <w:p>
            <w:pPr>
              <w:spacing w:after="0"/>
              <w:rPr>
                <w:sz w:val="12"/>
                <w:szCs w:val="12"/>
                <w:color w:val="auto"/>
              </w:rPr>
            </w:pPr>
          </w:p>
        </w:tc>
        <w:tc>
          <w:tcPr>
            <w:tcW w:w="760" w:type="dxa"/>
            <w:vAlign w:val="bottom"/>
          </w:tcPr>
          <w:p>
            <w:pPr>
              <w:jc w:val="right"/>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40" w:type="dxa"/>
            <w:vAlign w:val="bottom"/>
          </w:tcPr>
          <w:p>
            <w:pPr>
              <w:spacing w:after="0"/>
              <w:rPr>
                <w:sz w:val="16"/>
                <w:szCs w:val="16"/>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35"/>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Crude oil</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7,020</w:t>
            </w:r>
          </w:p>
        </w:tc>
        <w:tc>
          <w:tcPr>
            <w:tcW w:w="140" w:type="dxa"/>
            <w:vAlign w:val="bottom"/>
          </w:tcPr>
          <w:p>
            <w:pPr>
              <w:spacing w:after="0"/>
              <w:rPr>
                <w:sz w:val="21"/>
                <w:szCs w:val="21"/>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55.41</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51.54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15,122</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27.91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27.29</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1"/>
                <w:szCs w:val="21"/>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Linefill and base gas</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Crude oil</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13,033</w:t>
            </w:r>
          </w:p>
        </w:tc>
        <w:tc>
          <w:tcPr>
            <w:tcW w:w="140" w:type="dxa"/>
            <w:vAlign w:val="bottom"/>
          </w:tcPr>
          <w:p>
            <w:pPr>
              <w:spacing w:after="0"/>
              <w:rPr>
                <w:sz w:val="21"/>
                <w:szCs w:val="21"/>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58.01</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12,340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58.27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1,764</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28.34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28.18</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24,976</w:t>
            </w:r>
          </w:p>
        </w:tc>
        <w:tc>
          <w:tcPr>
            <w:tcW w:w="140" w:type="dxa"/>
            <w:vAlign w:val="bottom"/>
          </w:tcPr>
          <w:p>
            <w:pPr>
              <w:spacing w:after="0"/>
              <w:rPr>
                <w:sz w:val="21"/>
                <w:szCs w:val="21"/>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Mcf</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24,976</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Linefill and base gas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inventory</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Crude oil</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1,882</w:t>
            </w:r>
          </w:p>
        </w:tc>
        <w:tc>
          <w:tcPr>
            <w:tcW w:w="140" w:type="dxa"/>
            <w:vAlign w:val="bottom"/>
          </w:tcPr>
          <w:p>
            <w:pPr>
              <w:spacing w:after="0"/>
              <w:rPr>
                <w:sz w:val="21"/>
                <w:szCs w:val="21"/>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59.51</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56.15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2,351</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27.23</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inventory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7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ind w:left="660" w:right="160" w:hanging="652"/>
        <w:spacing w:after="0" w:line="218" w:lineRule="auto"/>
        <w:tabs>
          <w:tab w:leader="none" w:pos="66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$35 million during the nine months ended September 30, 2017 primarily related to the writedown of our crude oil inventory due to a decline in prices. Substantially all of this inventory valuation adjustment was offset by the recognition of gains on derivative instruments being utilized to hedge future sales of our crude oil inventory. Such gains were recorded to “Supply and Logistics segment revenues” on our accompanying Condensed Consolidated Statements of Operations. See Note 11 for discussion of our derivative and risk management activities. We did not record such charges during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7—Divestitures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nine months ended September 30, 2018, we received proceeds from asset sales of $1.298 billion.</w:t>
      </w:r>
    </w:p>
    <w:p>
      <w:pPr>
        <w:spacing w:after="0" w:line="22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BridgeTex</w:t>
      </w:r>
      <w:r>
        <w:rPr>
          <w:rFonts w:ascii="Times New Roman" w:cs="Times New Roman" w:eastAsia="Times New Roman" w:hAnsi="Times New Roman"/>
          <w:sz w:val="18"/>
          <w:szCs w:val="18"/>
          <w:color w:val="auto"/>
        </w:rPr>
        <w:t>. During the third quarter of 2018, we sold a 30% interest in BridgeTex Pipeline Company, LLC (“BridgeTex”) for proceeds of $868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including working capital adjustments, and have retained a 20% interest. We recorded a gain of $210 million related to this sale, which is included in “Gain on sale of investment in unconsolidated entities” on our Condensed Consolidated Statement of Operations. We continue to account for our remaining interest under the equity method of accounting.</w:t>
      </w:r>
    </w:p>
    <w:p>
      <w:pPr>
        <w:spacing w:after="0" w:line="180"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The other assets sold during the nine months ended September 30, 2018 primarily included non-core property and equipment or are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formation of strategic joint ventures and were previously reported in our Facilities and Transportation segments. We recognized losses related to these asset sales of $2 million for the three months ended September 30, 2018. For the nine months ended September 30, 2018, we recognized a net gain of $79 million, which is comprised of gains of $105 million and losses of $26 million. Such amounts are included in “Depreciation and amortization” on our Condensed Consolidated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8—Goodwill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Goodwill by segment and changes in goodwill are reflected in the following table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Supply and Logistics</w:t>
            </w: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2"/>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2,566</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Dispositions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2,540</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completed our goodwill impairment test as of June 30, 2018 and determined that there was no impairment of goodwill.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consisted of the following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3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324"/>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Commercial paper notes, bearing a weighted-average interest rate of 3.3% </w:t>
            </w:r>
            <w:r>
              <w:rPr>
                <w:rFonts w:ascii="Times New Roman" w:cs="Times New Roman" w:eastAsia="Times New Roman" w:hAnsi="Times New Roman"/>
                <w:sz w:val="25"/>
                <w:szCs w:val="25"/>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Senior secured hedged inventory facility, bearing a weighted-average interest rate of 3.2% and 2.6%, respectively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shd w:val="clear" w:color="auto" w:fill="CCEEFF"/>
          </w:tcPr>
          <w:p>
            <w:pPr>
              <w:ind w:left="380"/>
              <w:spacing w:after="0" w:line="264" w:lineRule="exact"/>
              <w:rPr>
                <w:sz w:val="20"/>
                <w:szCs w:val="20"/>
                <w:color w:val="auto"/>
              </w:rPr>
            </w:pPr>
            <w:r>
              <w:rPr>
                <w:rFonts w:ascii="Times New Roman" w:cs="Times New Roman" w:eastAsia="Times New Roman" w:hAnsi="Times New Roman"/>
                <w:sz w:val="18"/>
                <w:szCs w:val="18"/>
                <w:color w:val="auto"/>
              </w:rPr>
              <w:t xml:space="preserve">Total short-term debt </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737</w:t>
            </w:r>
          </w:p>
        </w:tc>
      </w:tr>
      <w:tr>
        <w:trPr>
          <w:trHeight w:val="284"/>
        </w:trPr>
        <w:tc>
          <w:tcPr>
            <w:tcW w:w="8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 net of unamortized discounts and debt issuance costs of $61 and $67, respectively</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8,933</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Commercial paper notes and senior secured hedged inventory facility borrowings </w:t>
            </w:r>
            <w:r>
              <w:rPr>
                <w:rFonts w:ascii="Times New Roman" w:cs="Times New Roman" w:eastAsia="Times New Roman" w:hAnsi="Times New Roman"/>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247</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 Zone term loans, net of debt issuance costs of $2, bearing a weighted-average interest rate of 2.9%</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9,140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9,183</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580"/>
              <w:spacing w:after="0" w:line="264" w:lineRule="exact"/>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5"/>
                <w:szCs w:val="25"/>
                <w:color w:val="auto"/>
                <w:vertAlign w:val="superscript"/>
              </w:rPr>
              <w:t>(4)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9,920</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6" w:lineRule="exact"/>
        <w:rPr>
          <w:sz w:val="20"/>
          <w:szCs w:val="20"/>
          <w:color w:val="auto"/>
        </w:rPr>
      </w:pPr>
    </w:p>
    <w:p>
      <w:pPr>
        <w:ind w:left="660" w:right="160" w:hanging="652"/>
        <w:spacing w:after="0" w:line="228" w:lineRule="auto"/>
        <w:tabs>
          <w:tab w:leader="none" w:pos="66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classified these commercial paper notes and credit facility borrowings as short-term as of September 30, 2018 and December 31, 2017, as these notes and borrowings were primarily designated as working capital borrowings, were required to be repaid within one year and were primarily for hedged NGL and crude oil inventory and NYMEX and ICE margin deposits.</w:t>
      </w:r>
    </w:p>
    <w:p>
      <w:pPr>
        <w:spacing w:after="0" w:line="89" w:lineRule="exact"/>
        <w:rPr>
          <w:rFonts w:ascii="Times New Roman" w:cs="Times New Roman" w:eastAsia="Times New Roman" w:hAnsi="Times New Roman"/>
          <w:sz w:val="25"/>
          <w:szCs w:val="25"/>
          <w:color w:val="auto"/>
          <w:vertAlign w:val="superscript"/>
        </w:rPr>
      </w:pPr>
    </w:p>
    <w:p>
      <w:pPr>
        <w:ind w:left="660" w:right="660" w:hanging="652"/>
        <w:spacing w:after="0" w:line="218" w:lineRule="auto"/>
        <w:tabs>
          <w:tab w:leader="none" w:pos="66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 of September 30, 2018 and December 31, 2017, balance includes borrowings for cash margin deposits with NYMEX and ICE, which are associated with financial derivatives used for hedging purposes.</w:t>
      </w:r>
    </w:p>
    <w:p>
      <w:pPr>
        <w:spacing w:after="0" w:line="91" w:lineRule="exact"/>
        <w:rPr>
          <w:rFonts w:ascii="Times New Roman" w:cs="Times New Roman" w:eastAsia="Times New Roman" w:hAnsi="Times New Roman"/>
          <w:sz w:val="25"/>
          <w:szCs w:val="25"/>
          <w:color w:val="auto"/>
          <w:vertAlign w:val="superscript"/>
        </w:rPr>
      </w:pPr>
    </w:p>
    <w:p>
      <w:pPr>
        <w:ind w:left="660" w:right="40" w:hanging="652"/>
        <w:spacing w:after="0" w:line="218" w:lineRule="auto"/>
        <w:tabs>
          <w:tab w:leader="none" w:pos="66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 of December 31, 2017, we classified a portion of our commercial paper notes and credit facility borrowings as long-term based on our ability and intent to refinance such amounts on a long-term basis.</w:t>
      </w:r>
    </w:p>
    <w:p>
      <w:pPr>
        <w:spacing w:after="0" w:line="91" w:lineRule="exact"/>
        <w:rPr>
          <w:rFonts w:ascii="Times New Roman" w:cs="Times New Roman" w:eastAsia="Times New Roman" w:hAnsi="Times New Roman"/>
          <w:sz w:val="25"/>
          <w:szCs w:val="25"/>
          <w:color w:val="auto"/>
          <w:vertAlign w:val="superscript"/>
        </w:rPr>
      </w:pPr>
    </w:p>
    <w:p>
      <w:pPr>
        <w:ind w:left="660" w:right="60" w:hanging="652"/>
        <w:spacing w:after="0"/>
        <w:tabs>
          <w:tab w:leader="none" w:pos="66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Our fixed-rate senior notes had a face value of approximately $9.0 billion at both September 30, 2018 and December 31, 2017. We estimated the aggregate fair value of these notes as of September 30, 2018 and December 31, 2017 to be approximately $8.8 billion and $9.1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in Level 2 of the fair value hierarchy.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Go Zone term loans</w:t>
      </w:r>
      <w:r>
        <w:rPr>
          <w:rFonts w:ascii="Times New Roman" w:cs="Times New Roman" w:eastAsia="Times New Roman" w:hAnsi="Times New Roman"/>
          <w:sz w:val="18"/>
          <w:szCs w:val="18"/>
          <w:color w:val="auto"/>
        </w:rPr>
        <w:t>. In August 2018, we entered into an agreement for two $100 million term loans (the “GO Zone term loans”)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remarketing of our $100,000,000 Mississippi Business Finance Corporation Gulf Opportunity Zone Industrial Development Revenue Bonds (SG Resources Mississippi, LLC Project), Series 2009 and our $100,000,000 Mississippi Business Finance Corporation Gulf Opportunity Zone Industrial Development Revenue Bonds (SG Resources Mississippi, LLC Project), Series 2010 (collectively, the “GO Bonds”). The GO Zone term loans accrue interest in accordance with the interest payable on the related GO Bonds as provided in the GO Bonds Indenture pursuant to which such GO Bonds are issued and governed. The purchasers of the two GO Zone term loans have the right to put, at par, the GO Zone term loans in July 2023. The GO Bonds mature by their terms in May 2032 and August 2035, respectively.</w:t>
      </w:r>
    </w:p>
    <w:p>
      <w:pPr>
        <w:spacing w:after="0" w:line="183" w:lineRule="exact"/>
        <w:rPr>
          <w:sz w:val="20"/>
          <w:szCs w:val="20"/>
          <w:color w:val="auto"/>
        </w:rPr>
      </w:pPr>
    </w:p>
    <w:p>
      <w:pPr>
        <w:jc w:val="both"/>
        <w:ind w:right="5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In August 2018, we extended the maturity dates of our senior unsecured revolving credit facility and senior secured hedged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facility by one year to August 2023 and August 2021, respectively, for each extending lender. Our 364-day senior unsecured revolving credit facility, which had a borrowing capacity of $1.0 billion, matured in August 2018.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and Repayments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Total borrowings under our credit facilities and commercial paper program for the nine months ended September 30, 2018 and 2017 were approximately $38.6 billion and $52.6 billion, respectively. Total repayments under our credit facilities and commercial paper program were approximately $39.2 billion and $52.7 billion for the nine months ended September 30, 2018 and 2017, respectively. The variance in total gross borrowings and repayments is impacted by various business and financial factors including, but not limited to, the timing, average term and method of general partnership borrowing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 related margin obligations and construction activities. At September 30, 2018 and December 31, 2017, we had outstanding letters of credit of $181 million and $166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10—Partners’ Capital and Distributions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 Outstanding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activity for our preferred and common units: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Series A Preferred Units</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Series B Preferred Units</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0" w:type="dxa"/>
            <w:vAlign w:val="bottom"/>
          </w:tcPr>
          <w:p>
            <w:pPr>
              <w:spacing w:after="0"/>
              <w:rPr>
                <w:sz w:val="1"/>
                <w:szCs w:val="1"/>
                <w:color w:val="auto"/>
              </w:rPr>
            </w:pPr>
          </w:p>
        </w:tc>
      </w:tr>
      <w:tr>
        <w:trPr>
          <w:trHeight w:val="262"/>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69,696,542</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725,189,138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Series A preferred units in connection with in-kind distribution</w:t>
            </w:r>
          </w:p>
        </w:tc>
        <w:tc>
          <w:tcPr>
            <w:tcW w:w="15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1,393,926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899,251</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September 30, 2018</w:t>
            </w:r>
          </w:p>
        </w:tc>
        <w:tc>
          <w:tcPr>
            <w:tcW w:w="6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726,088,389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6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gridSpan w:val="2"/>
            <w:vMerge w:val="restart"/>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20" w:type="dxa"/>
            <w:vAlign w:val="bottom"/>
            <w:gridSpan w:val="6"/>
          </w:tcPr>
          <w:p>
            <w:pPr>
              <w:jc w:val="right"/>
              <w:ind w:right="145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4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64,388,853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spacing w:after="0"/>
              <w:rPr>
                <w:sz w:val="22"/>
                <w:szCs w:val="22"/>
                <w:color w:val="auto"/>
              </w:rPr>
            </w:pPr>
          </w:p>
        </w:tc>
        <w:tc>
          <w:tcPr>
            <w:tcW w:w="168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669,194,419</w:t>
            </w:r>
          </w:p>
        </w:tc>
        <w:tc>
          <w:tcPr>
            <w:tcW w:w="0" w:type="dxa"/>
            <w:vAlign w:val="bottom"/>
          </w:tcPr>
          <w:p>
            <w:pPr>
              <w:spacing w:after="0"/>
              <w:rPr>
                <w:sz w:val="1"/>
                <w:szCs w:val="1"/>
                <w:color w:val="auto"/>
              </w:rPr>
            </w:pPr>
          </w:p>
        </w:tc>
      </w:tr>
      <w:tr>
        <w:trPr>
          <w:trHeight w:val="20"/>
        </w:trPr>
        <w:tc>
          <w:tcPr>
            <w:tcW w:w="6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Issuances of Series A preferred units in connection with in-kind distributions</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3,941,096</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common units</w:t>
            </w:r>
          </w:p>
        </w:tc>
        <w:tc>
          <w:tcPr>
            <w:tcW w:w="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54,119,893</w:t>
            </w:r>
          </w:p>
        </w:tc>
        <w:tc>
          <w:tcPr>
            <w:tcW w:w="0" w:type="dxa"/>
            <w:vAlign w:val="bottom"/>
          </w:tcPr>
          <w:p>
            <w:pPr>
              <w:spacing w:after="0"/>
              <w:rPr>
                <w:sz w:val="1"/>
                <w:szCs w:val="1"/>
                <w:color w:val="auto"/>
              </w:rPr>
            </w:pPr>
          </w:p>
        </w:tc>
      </w:tr>
      <w:tr>
        <w:trPr>
          <w:trHeight w:val="225"/>
        </w:trPr>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Issuance of common units in connection with acquisition of interest in Advantage Joint</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Venture</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1,252,269</w:t>
            </w:r>
          </w:p>
        </w:tc>
        <w:tc>
          <w:tcPr>
            <w:tcW w:w="0" w:type="dxa"/>
            <w:vAlign w:val="bottom"/>
          </w:tcPr>
          <w:p>
            <w:pPr>
              <w:spacing w:after="0"/>
              <w:rPr>
                <w:sz w:val="1"/>
                <w:szCs w:val="1"/>
                <w:color w:val="auto"/>
              </w:rPr>
            </w:pPr>
          </w:p>
        </w:tc>
      </w:tr>
      <w:tr>
        <w:trPr>
          <w:trHeight w:val="27"/>
        </w:trPr>
        <w:tc>
          <w:tcPr>
            <w:tcW w:w="6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3"/>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622,557</w:t>
            </w:r>
          </w:p>
        </w:tc>
        <w:tc>
          <w:tcPr>
            <w:tcW w:w="0" w:type="dxa"/>
            <w:vAlign w:val="bottom"/>
          </w:tcPr>
          <w:p>
            <w:pPr>
              <w:spacing w:after="0"/>
              <w:rPr>
                <w:sz w:val="1"/>
                <w:szCs w:val="1"/>
                <w:color w:val="auto"/>
              </w:rPr>
            </w:pPr>
          </w:p>
        </w:tc>
      </w:tr>
      <w:tr>
        <w:trPr>
          <w:trHeight w:val="25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Outstanding at September 30, 2017</w:t>
            </w:r>
          </w:p>
        </w:tc>
        <w:tc>
          <w:tcPr>
            <w:tcW w:w="60" w:type="dxa"/>
            <w:vAlign w:val="bottom"/>
          </w:tcPr>
          <w:p>
            <w:pPr>
              <w:spacing w:after="0"/>
              <w:rPr>
                <w:sz w:val="22"/>
                <w:szCs w:val="22"/>
                <w:color w:val="auto"/>
              </w:rPr>
            </w:pPr>
          </w:p>
        </w:tc>
        <w:tc>
          <w:tcPr>
            <w:tcW w:w="14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68,329,949</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725,189,138</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4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7"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Series A Preferred Unit Distributions</w:t>
      </w:r>
      <w:r>
        <w:rPr>
          <w:rFonts w:ascii="Times New Roman" w:cs="Times New Roman" w:eastAsia="Times New Roman" w:hAnsi="Times New Roman"/>
          <w:sz w:val="18"/>
          <w:szCs w:val="18"/>
          <w:color w:val="auto"/>
        </w:rPr>
        <w:t>. The following table details distributions to our Series A preferred unitholders paid during or pertaining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nine months of 2018 (in millions, except unit and per unit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Series A Preferred Unitholders</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6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 xml:space="preserve">Distribution </w:t>
            </w:r>
            <w:r>
              <w:rPr>
                <w:rFonts w:ascii="Times New Roman" w:cs="Times New Roman" w:eastAsia="Times New Roman" w:hAnsi="Times New Roman"/>
                <w:sz w:val="8"/>
                <w:szCs w:val="8"/>
                <w:b w:val="1"/>
                <w:bCs w:val="1"/>
                <w:color w:val="auto"/>
              </w:rPr>
              <w:t>(2)</w:t>
            </w:r>
          </w:p>
        </w:tc>
        <w:tc>
          <w:tcPr>
            <w:tcW w:w="240" w:type="dxa"/>
            <w:vAlign w:val="bottom"/>
            <w:gridSpan w:val="3"/>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64"/>
        </w:trPr>
        <w:tc>
          <w:tcPr>
            <w:tcW w:w="6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Cash</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r>
      <w:tr>
        <w:trPr>
          <w:trHeight w:val="269"/>
        </w:trPr>
        <w:tc>
          <w:tcPr>
            <w:tcW w:w="624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November 14, 2018 </w:t>
            </w:r>
            <w:r>
              <w:rPr>
                <w:rFonts w:ascii="Times New Roman" w:cs="Times New Roman" w:eastAsia="Times New Roman" w:hAnsi="Times New Roman"/>
                <w:sz w:val="25"/>
                <w:szCs w:val="25"/>
                <w:color w:val="auto"/>
                <w:vertAlign w:val="superscript"/>
              </w:rPr>
              <w:t>(1)</w:t>
            </w: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3"/>
                <w:szCs w:val="23"/>
                <w:color w:val="auto"/>
              </w:rPr>
            </w:pPr>
          </w:p>
        </w:tc>
        <w:tc>
          <w:tcPr>
            <w:tcW w:w="17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0.525</w:t>
            </w:r>
          </w:p>
        </w:tc>
      </w:tr>
      <w:tr>
        <w:trPr>
          <w:trHeight w:val="243"/>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August 14, 2018</w:t>
            </w: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7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0.525</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15, 2018</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0.525</w:t>
            </w:r>
          </w:p>
        </w:tc>
      </w:tr>
      <w:tr>
        <w:trPr>
          <w:trHeight w:val="243"/>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14, 2018</w:t>
            </w: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1,393,926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0.525</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023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86" w:lineRule="exact"/>
        <w:rPr>
          <w:sz w:val="20"/>
          <w:szCs w:val="20"/>
          <w:color w:val="auto"/>
        </w:rPr>
      </w:pPr>
    </w:p>
    <w:p>
      <w:pPr>
        <w:ind w:left="660" w:hanging="652"/>
        <w:spacing w:after="0" w:line="228" w:lineRule="auto"/>
        <w:tabs>
          <w:tab w:leader="none" w:pos="66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Payable to unitholders of record at the close of business on October 31, 2018 for the period from July 1, 2018 through September 30, 2018. At September 30, 2018, such amount was accrued to distributions payable in “Accounts payable and accrued liabilities” on our Condensed Consolidated Balance Sheet.</w:t>
      </w:r>
    </w:p>
    <w:p>
      <w:pPr>
        <w:spacing w:after="0" w:line="35" w:lineRule="exact"/>
        <w:rPr>
          <w:rFonts w:ascii="Times New Roman" w:cs="Times New Roman" w:eastAsia="Times New Roman" w:hAnsi="Times New Roman"/>
          <w:sz w:val="25"/>
          <w:szCs w:val="25"/>
          <w:color w:val="auto"/>
          <w:vertAlign w:val="superscript"/>
        </w:rPr>
      </w:pPr>
    </w:p>
    <w:p>
      <w:pPr>
        <w:jc w:val="both"/>
        <w:ind w:left="660" w:right="140" w:hanging="652"/>
        <w:spacing w:after="0" w:line="233" w:lineRule="auto"/>
        <w:tabs>
          <w:tab w:leader="none" w:pos="66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On February 14, 2018, we issued additional Series A preferred units in lieu of a cash distribution of $37 million. With respect to quarters ending on or prior to December 31, 2017 (the “Initial Distribution Period”), we elected to pay distributions on our Series A preferred units in additional Series A preferred units. The Initial Distribution Period ended with the February 2018 distribution; as such, with respect to quarters ending after the Initial Distribution Period, distributions on our Series A preferred units are paid in cash.</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Series B Preferred Unit Distributions</w:t>
      </w:r>
      <w:r>
        <w:rPr>
          <w:rFonts w:ascii="Times New Roman" w:cs="Times New Roman" w:eastAsia="Times New Roman" w:hAnsi="Times New Roman"/>
          <w:sz w:val="18"/>
          <w:szCs w:val="18"/>
          <w:color w:val="auto"/>
        </w:rPr>
        <w:t>. Distributions on our Series B preferred units are payable semiannually in arrears on the 15th day of May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The following table details distributions paid or to be paid to our Series B preferred unitholders (in millions, except per unit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Series B Preferred Unitholders</w:t>
            </w:r>
          </w:p>
        </w:tc>
      </w:tr>
      <w:tr>
        <w:trPr>
          <w:trHeight w:val="264"/>
        </w:trPr>
        <w:tc>
          <w:tcPr>
            <w:tcW w:w="7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r>
      <w:tr>
        <w:trPr>
          <w:trHeight w:val="269"/>
        </w:trPr>
        <w:tc>
          <w:tcPr>
            <w:tcW w:w="800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November 15, 2018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right w:val="single" w:sz="8" w:color="auto"/>
            </w:tcBorders>
            <w:shd w:val="clear" w:color="auto" w:fill="CCEEFF"/>
          </w:tcPr>
          <w:p>
            <w:pPr>
              <w:spacing w:after="0"/>
              <w:rPr>
                <w:sz w:val="23"/>
                <w:szCs w:val="23"/>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30.625</w:t>
            </w:r>
          </w:p>
        </w:tc>
      </w:tr>
      <w:tr>
        <w:trPr>
          <w:trHeight w:val="243"/>
        </w:trPr>
        <w:tc>
          <w:tcPr>
            <w:tcW w:w="8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May 15, 2018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right w:val="single" w:sz="8" w:color="auto"/>
            </w:tcBorders>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30.625</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Payable to unitholders of record at the close of business on November 1, 2018 for the period from May 15, 2018 through November 14, 2018.</w:t>
      </w:r>
    </w:p>
    <w:p>
      <w:pPr>
        <w:spacing w:after="0" w:line="19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2018, we had accrued approximately $18 million of distributions payable to our Series B preferred unitholders in “Accounts payable and accrued liabilities” on our Condensed Consolidated Balance Sheet.</w:t>
      </w:r>
    </w:p>
    <w:p>
      <w:pPr>
        <w:spacing w:after="0" w:line="160"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Common Unit Distributions</w:t>
      </w:r>
      <w:r>
        <w:rPr>
          <w:rFonts w:ascii="Times New Roman" w:cs="Times New Roman" w:eastAsia="Times New Roman" w:hAnsi="Times New Roman"/>
          <w:sz w:val="18"/>
          <w:szCs w:val="18"/>
          <w:color w:val="auto"/>
        </w:rPr>
        <w:t>. The following table details distributions to our common unitholders paid during or pertaining to the first nine months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(in millions, except per unit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Common Unitholders</w:t>
            </w:r>
          </w:p>
        </w:tc>
        <w:tc>
          <w:tcPr>
            <w:tcW w:w="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Cash Distribution per</w:t>
            </w:r>
          </w:p>
        </w:tc>
        <w:tc>
          <w:tcPr>
            <w:tcW w:w="0" w:type="dxa"/>
            <w:vAlign w:val="bottom"/>
          </w:tcPr>
          <w:p>
            <w:pPr>
              <w:spacing w:after="0"/>
              <w:rPr>
                <w:sz w:val="1"/>
                <w:szCs w:val="1"/>
                <w:color w:val="auto"/>
              </w:rPr>
            </w:pPr>
          </w:p>
        </w:tc>
      </w:tr>
      <w:tr>
        <w:trPr>
          <w:trHeight w:val="68"/>
        </w:trPr>
        <w:tc>
          <w:tcPr>
            <w:tcW w:w="4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20" w:type="dxa"/>
            <w:vAlign w:val="bottom"/>
            <w:vMerge w:val="restart"/>
          </w:tcPr>
          <w:p>
            <w:pPr>
              <w:spacing w:after="0"/>
              <w:rPr>
                <w:sz w:val="5"/>
                <w:szCs w:val="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AAP</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Cash Distribution</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Common Unit</w:t>
            </w:r>
          </w:p>
        </w:tc>
        <w:tc>
          <w:tcPr>
            <w:tcW w:w="0" w:type="dxa"/>
            <w:vAlign w:val="bottom"/>
          </w:tcPr>
          <w:p>
            <w:pPr>
              <w:spacing w:after="0"/>
              <w:rPr>
                <w:sz w:val="1"/>
                <w:szCs w:val="1"/>
                <w:color w:val="auto"/>
              </w:rPr>
            </w:pPr>
          </w:p>
        </w:tc>
      </w:tr>
      <w:tr>
        <w:trPr>
          <w:trHeight w:val="269"/>
        </w:trPr>
        <w:tc>
          <w:tcPr>
            <w:tcW w:w="458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November 14, 2018 </w:t>
            </w:r>
            <w:r>
              <w:rPr>
                <w:rFonts w:ascii="Times New Roman" w:cs="Times New Roman" w:eastAsia="Times New Roman" w:hAnsi="Times New Roman"/>
                <w:sz w:val="25"/>
                <w:szCs w:val="25"/>
                <w:color w:val="auto"/>
                <w:vertAlign w:val="superscript"/>
              </w:rPr>
              <w:t>(1)</w:t>
            </w: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76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right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August 14, 2018</w:t>
            </w: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126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7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15, 2018</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760" w:type="dxa"/>
            <w:vAlign w:val="bottom"/>
            <w:tcBorders>
              <w:bottom w:val="single" w:sz="8" w:color="CCEEFF"/>
            </w:tcBorders>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14, 2018</w:t>
            </w: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126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7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Payable to unitholders of record at the close of business on October 31, 2018 for the period from July 1, 2018 through September 30, 2018.</w:t>
      </w:r>
    </w:p>
    <w:p>
      <w:pPr>
        <w:spacing w:after="0" w:line="200" w:lineRule="exact"/>
        <w:rPr>
          <w:rFonts w:ascii="Times New Roman" w:cs="Times New Roman" w:eastAsia="Times New Roman" w:hAnsi="Times New Roman"/>
          <w:sz w:val="25"/>
          <w:szCs w:val="25"/>
          <w:color w:val="auto"/>
          <w:vertAlign w:val="superscript"/>
        </w:rPr>
      </w:pPr>
    </w:p>
    <w:p>
      <w:pPr>
        <w:spacing w:after="0" w:line="240" w:lineRule="exact"/>
        <w:rPr>
          <w:rFonts w:ascii="Times New Roman" w:cs="Times New Roman" w:eastAsia="Times New Roman" w:hAnsi="Times New Roman"/>
          <w:sz w:val="25"/>
          <w:szCs w:val="25"/>
          <w:color w:val="auto"/>
          <w:vertAlign w:val="superscript"/>
        </w:rPr>
      </w:pPr>
    </w:p>
    <w:p>
      <w:pPr>
        <w:ind w:left="562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11—Derivatives and Risk Management Activities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 Hedging</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78"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Commodity Purchases and Sales </w:t>
      </w:r>
      <w:r>
        <w:rPr>
          <w:rFonts w:ascii="Times New Roman" w:cs="Times New Roman" w:eastAsia="Times New Roman" w:hAnsi="Times New Roman"/>
          <w:sz w:val="18"/>
          <w:szCs w:val="18"/>
          <w:color w:val="auto"/>
        </w:rPr>
        <w:t>— In the normal course of our operations, we purchase and sell commodities. We use derivatives to manage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risks and to optimize profits. As of September 30, 2018, net derivative positions related to these activities included:</w:t>
      </w:r>
    </w:p>
    <w:p>
      <w:pPr>
        <w:spacing w:after="0" w:line="160" w:lineRule="exact"/>
        <w:rPr>
          <w:sz w:val="20"/>
          <w:szCs w:val="20"/>
          <w:color w:val="auto"/>
        </w:rPr>
      </w:pPr>
    </w:p>
    <w:p>
      <w:pPr>
        <w:ind w:left="980" w:right="2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5.8 million barrels associated with our crude oil purchases, which was unwound ratably during October 2018 to match monthly average pricing.</w:t>
      </w:r>
    </w:p>
    <w:p>
      <w:pPr>
        <w:spacing w:after="0" w:line="107"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time spread position of 15.4 million barrels, which hedges a portion of our anticipated crude oil lease gathering purchases through December 2019.</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crude oil grade basis position of 68.6 million barrels through December 2020. These derivatives allow us to lock in grade basis differentials.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position of 16.5 million barrels through February 2020 related to anticipated net sales of our crude oil and NGL inventory.</w:t>
      </w:r>
    </w:p>
    <w:p>
      <w:pPr>
        <w:spacing w:after="0" w:line="22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Pipeline Loss Allowance Oil </w:t>
      </w:r>
      <w:r>
        <w:rPr>
          <w:rFonts w:ascii="Times New Roman" w:cs="Times New Roman" w:eastAsia="Times New Roman" w:hAnsi="Times New Roman"/>
          <w:sz w:val="18"/>
          <w:szCs w:val="18"/>
          <w:color w:val="auto"/>
        </w:rPr>
        <w:t>— As is common in the pipeline transportation industry, our tariffs incorporate a loss allowance factor. We utilize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instruments to hedge a portion of the anticipated sales of the loss allowance oil that is to be collected under our tariffs. As of September 30, 2018, our PLA hedges included a short position consisting of crude oil futures of 1.5 million barrels through December 2019 and a long call option position of 1.6 million barrels through December 2020.</w:t>
      </w:r>
    </w:p>
    <w:p>
      <w:pPr>
        <w:spacing w:after="0" w:line="18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Natural Gas Processing/NGL Fractionation </w:t>
      </w:r>
      <w:r>
        <w:rPr>
          <w:rFonts w:ascii="Times New Roman" w:cs="Times New Roman" w:eastAsia="Times New Roman" w:hAnsi="Times New Roman"/>
          <w:sz w:val="18"/>
          <w:szCs w:val="18"/>
          <w:color w:val="auto"/>
        </w:rPr>
        <w:t>— We purchase natural gas for processing and operational needs. Additionally, we purchase NGL mix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September 30, 2018, we had a long natural gas position of 64.9 Bcf which hedges a portion of our natural gas processing and operational needs through December 2020. We also had a short propane position of 11.3 million barrels through December 2020, a short butane position of 3.1 million barrels through December 2020 and a short WTI position of 1.3 million barrels through December 2020. In addition, we had a long power position of 0.4 million megawatt hours, which hedges a portion of our power supply requirements at our Canadian natural gas processing and fractionation plants through December 2020.</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Hedging</w:t>
      </w:r>
    </w:p>
    <w:p>
      <w:pPr>
        <w:spacing w:after="0" w:line="229"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terms of our outstanding interest rate derivatives as of September 30, 2018 (notional amounts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Hedged Transaction</w:t>
            </w:r>
          </w:p>
        </w:tc>
        <w:tc>
          <w:tcPr>
            <w:tcW w:w="120" w:type="dxa"/>
            <w:vAlign w:val="bottom"/>
            <w:vMerge w:val="restart"/>
          </w:tcPr>
          <w:p>
            <w:pPr>
              <w:spacing w:after="0"/>
              <w:rPr>
                <w:sz w:val="13"/>
                <w:szCs w:val="13"/>
                <w:color w:val="auto"/>
              </w:rPr>
            </w:pPr>
          </w:p>
        </w:tc>
        <w:tc>
          <w:tcPr>
            <w:tcW w:w="2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and Types of</w:t>
            </w:r>
          </w:p>
        </w:tc>
        <w:tc>
          <w:tcPr>
            <w:tcW w:w="16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95"/>
        </w:trPr>
        <w:tc>
          <w:tcPr>
            <w:tcW w:w="2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Employed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Locked</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0" w:type="dxa"/>
            <w:vAlign w:val="bottom"/>
          </w:tcPr>
          <w:p>
            <w:pPr>
              <w:spacing w:after="0"/>
              <w:rPr>
                <w:sz w:val="1"/>
                <w:szCs w:val="1"/>
                <w:color w:val="auto"/>
              </w:rPr>
            </w:pPr>
          </w:p>
        </w:tc>
      </w:tr>
      <w:tr>
        <w:trPr>
          <w:trHeight w:val="223"/>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Anticipated interest payments</w:t>
            </w:r>
          </w:p>
        </w:tc>
        <w:tc>
          <w:tcPr>
            <w:tcW w:w="2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8 forward starting swaps (30-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6/14/2019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Cash flow hedge</w:t>
            </w:r>
          </w:p>
        </w:tc>
        <w:tc>
          <w:tcPr>
            <w:tcW w:w="0" w:type="dxa"/>
            <w:vAlign w:val="bottom"/>
          </w:tcPr>
          <w:p>
            <w:pPr>
              <w:spacing w:after="0"/>
              <w:rPr>
                <w:sz w:val="1"/>
                <w:szCs w:val="1"/>
                <w:color w:val="auto"/>
              </w:rPr>
            </w:pPr>
          </w:p>
        </w:tc>
      </w:tr>
      <w:tr>
        <w:trPr>
          <w:trHeight w:val="241"/>
        </w:trPr>
        <w:tc>
          <w:tcPr>
            <w:tcW w:w="2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year)</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Anticipated interest payments</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8 forward starting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6/15/2020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Cash flow hedge</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(30-year)</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Rate Risk Hedging</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6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2018, our outstanding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open forward exchange contracts as of September 30, 2018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USD</w:t>
            </w:r>
          </w:p>
        </w:tc>
        <w:tc>
          <w:tcPr>
            <w:tcW w:w="24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CAD</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Exchange Rate</w:t>
            </w:r>
          </w:p>
        </w:tc>
        <w:tc>
          <w:tcPr>
            <w:tcW w:w="0" w:type="dxa"/>
            <w:vAlign w:val="bottom"/>
          </w:tcPr>
          <w:p>
            <w:pPr>
              <w:spacing w:after="0"/>
              <w:rPr>
                <w:sz w:val="1"/>
                <w:szCs w:val="1"/>
                <w:color w:val="auto"/>
              </w:rPr>
            </w:pPr>
          </w:p>
        </w:tc>
      </w:tr>
      <w:tr>
        <w:trPr>
          <w:trHeight w:val="195"/>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 to CAD</w:t>
            </w:r>
          </w:p>
        </w:tc>
        <w:tc>
          <w:tcPr>
            <w:tcW w:w="0" w:type="dxa"/>
            <w:vAlign w:val="bottom"/>
          </w:tcPr>
          <w:p>
            <w:pPr>
              <w:spacing w:after="0"/>
              <w:rPr>
                <w:sz w:val="1"/>
                <w:szCs w:val="1"/>
                <w:color w:val="auto"/>
              </w:rPr>
            </w:pPr>
          </w:p>
        </w:tc>
      </w:tr>
      <w:tr>
        <w:trPr>
          <w:trHeight w:val="235"/>
        </w:trPr>
        <w:tc>
          <w:tcPr>
            <w:tcW w:w="6860" w:type="dxa"/>
            <w:vAlign w:val="bottom"/>
            <w:tcBorders>
              <w:top w:val="single" w:sz="8" w:color="CCEEFF"/>
              <w:bottom w:val="single" w:sz="8" w:color="CCEEFF"/>
            </w:tcBorders>
            <w:shd w:val="clear" w:color="auto" w:fill="CCEEFF"/>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Forward exchange contracts that exchange CAD for USD:</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 $1.30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Forward exchange contracts that exchange USD for CAD: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2018</w:t>
            </w:r>
          </w:p>
        </w:tc>
        <w:tc>
          <w:tcPr>
            <w:tcW w:w="6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418</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543</w:t>
            </w:r>
          </w:p>
        </w:tc>
        <w:tc>
          <w:tcPr>
            <w:tcW w:w="20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$1.00 - $1.30</w:t>
            </w:r>
          </w:p>
        </w:tc>
      </w:tr>
      <w:tr>
        <w:trPr>
          <w:trHeight w:val="243"/>
        </w:trPr>
        <w:tc>
          <w:tcPr>
            <w:tcW w:w="66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2019</w:t>
            </w: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155</w:t>
            </w:r>
          </w:p>
        </w:tc>
        <w:tc>
          <w:tcPr>
            <w:tcW w:w="20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$1.00 - $1.30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Distribution Rate Reset Option</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Corresponding changes in fair value are recognized in “Other income/(expense), net” in our Condensed Consolidated Statement of Operations. See Note 11 to our Consolidated Financial Statements included in Part IV of our 2017 Annual Report on Form 10-K for additional information regarding our Series A preferred units and Preferred Distribution Rate Reset Option.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Financial Impact</w:t>
      </w:r>
    </w:p>
    <w:p>
      <w:pPr>
        <w:spacing w:after="0" w:line="229"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impact of our derivatives recognized in earnings is as follows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2018</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2017</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 in</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 in</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Not Designated</w:t>
            </w:r>
          </w:p>
        </w:tc>
        <w:tc>
          <w:tcPr>
            <w:tcW w:w="320" w:type="dxa"/>
            <w:vAlign w:val="bottom"/>
          </w:tcPr>
          <w:p>
            <w:pPr>
              <w:spacing w:after="0"/>
              <w:rPr>
                <w:sz w:val="12"/>
                <w:szCs w:val="12"/>
                <w:color w:val="auto"/>
              </w:rPr>
            </w:pPr>
          </w:p>
        </w:tc>
        <w:tc>
          <w:tcPr>
            <w:tcW w:w="7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Not Designated</w:t>
            </w:r>
          </w:p>
        </w:tc>
        <w:tc>
          <w:tcPr>
            <w:tcW w:w="340" w:type="dxa"/>
            <w:vAlign w:val="bottom"/>
          </w:tcPr>
          <w:p>
            <w:pPr>
              <w:spacing w:after="0"/>
              <w:rPr>
                <w:sz w:val="12"/>
                <w:szCs w:val="12"/>
                <w:color w:val="auto"/>
              </w:rPr>
            </w:pPr>
          </w:p>
        </w:tc>
        <w:tc>
          <w:tcPr>
            <w:tcW w:w="6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5"/>
        </w:trPr>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as a Hedge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as a Hedge</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Commodity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Supply and Logistics segment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Field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Rate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Supply and Logistics segment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Preferred Distribution Rate Reset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24"/>
        </w:trPr>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220" w:type="dxa"/>
            <w:vAlign w:val="bottom"/>
            <w:gridSpan w:val="2"/>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Total Gain/(Loss) on Derivatives</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5"/>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Recognized in Net Income</w:t>
            </w: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7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2017</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 in</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 in</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Not Designated</w:t>
            </w:r>
          </w:p>
        </w:tc>
        <w:tc>
          <w:tcPr>
            <w:tcW w:w="300" w:type="dxa"/>
            <w:vAlign w:val="bottom"/>
          </w:tcPr>
          <w:p>
            <w:pPr>
              <w:spacing w:after="0"/>
              <w:rPr>
                <w:sz w:val="12"/>
                <w:szCs w:val="12"/>
                <w:color w:val="auto"/>
              </w:rPr>
            </w:pPr>
          </w:p>
        </w:tc>
        <w:tc>
          <w:tcPr>
            <w:tcW w:w="7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Not Designated</w:t>
            </w:r>
          </w:p>
        </w:tc>
        <w:tc>
          <w:tcPr>
            <w:tcW w:w="320" w:type="dxa"/>
            <w:vAlign w:val="bottom"/>
          </w:tcPr>
          <w:p>
            <w:pPr>
              <w:spacing w:after="0"/>
              <w:rPr>
                <w:sz w:val="12"/>
                <w:szCs w:val="12"/>
                <w:color w:val="auto"/>
              </w:rPr>
            </w:pPr>
          </w:p>
        </w:tc>
        <w:tc>
          <w:tcPr>
            <w:tcW w:w="7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as a Hedge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as a Hedge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Supply and Logistics segment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24"/>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Field operating costs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24"/>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97"/>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97"/>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Supply and Logistics 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24"/>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Distribution Rate Reset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20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Total Gain/(Loss) on Derivatives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5"/>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Recognized in Net Income</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70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7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derivative assets and liabilities on our Condensed Consolidated Balance Sheet on a gross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2018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310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3100" w:type="dxa"/>
            <w:vAlign w:val="bottom"/>
            <w:gridSpan w:val="2"/>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60" w:type="dxa"/>
            <w:vAlign w:val="bottom"/>
          </w:tcPr>
          <w:p>
            <w:pPr>
              <w:spacing w:after="0"/>
              <w:rPr>
                <w:sz w:val="12"/>
                <w:szCs w:val="12"/>
                <w:color w:val="auto"/>
              </w:rPr>
            </w:pPr>
          </w:p>
        </w:tc>
        <w:tc>
          <w:tcPr>
            <w:tcW w:w="620" w:type="dxa"/>
            <w:vAlign w:val="bottom"/>
          </w:tcPr>
          <w:p>
            <w:pPr>
              <w:jc w:val="right"/>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2"/>
          </w:tcPr>
          <w:p>
            <w:pPr>
              <w:ind w:left="104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2"/>
                <w:szCs w:val="12"/>
                <w:color w:val="auto"/>
              </w:rPr>
            </w:pPr>
          </w:p>
        </w:tc>
        <w:tc>
          <w:tcPr>
            <w:tcW w:w="620" w:type="dxa"/>
            <w:vAlign w:val="bottom"/>
          </w:tcPr>
          <w:p>
            <w:pPr>
              <w:jc w:val="right"/>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310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6"/>
        </w:trPr>
        <w:tc>
          <w:tcPr>
            <w:tcW w:w="3440" w:type="dxa"/>
            <w:vAlign w:val="bottom"/>
            <w:tcBorders>
              <w:top w:val="single" w:sz="8" w:color="CCEEFF"/>
            </w:tcBorders>
            <w:shd w:val="clear" w:color="auto" w:fill="CCEEFF"/>
          </w:tcPr>
          <w:p>
            <w:pPr>
              <w:ind w:left="40"/>
              <w:spacing w:after="0" w:line="206" w:lineRule="exact"/>
              <w:rPr>
                <w:sz w:val="20"/>
                <w:szCs w:val="20"/>
                <w:color w:val="auto"/>
              </w:rPr>
            </w:pPr>
            <w:r>
              <w:rPr>
                <w:rFonts w:ascii="Times New Roman" w:cs="Times New Roman" w:eastAsia="Times New Roman" w:hAnsi="Times New Roman"/>
                <w:sz w:val="18"/>
                <w:szCs w:val="18"/>
                <w:b w:val="1"/>
                <w:bCs w:val="1"/>
                <w:color w:val="auto"/>
              </w:rPr>
              <w:t>Derivatives designated as hedging</w:t>
            </w:r>
          </w:p>
        </w:tc>
        <w:tc>
          <w:tcPr>
            <w:tcW w:w="2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spacing w:after="0"/>
              <w:rPr>
                <w:sz w:val="23"/>
                <w:szCs w:val="23"/>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34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derivatives designated as</w:t>
            </w:r>
          </w:p>
        </w:tc>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1"/>
        </w:trPr>
        <w:tc>
          <w:tcPr>
            <w:tcW w:w="3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hedging instruments</w:t>
            </w:r>
          </w:p>
        </w:tc>
        <w:tc>
          <w:tcPr>
            <w:tcW w:w="2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w:t>
            </w: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derivatives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5"/>
        </w:trPr>
        <w:tc>
          <w:tcPr>
            <w:tcW w:w="344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16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Distribution Rate Reset Option</w:t>
            </w: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5"/>
        </w:trPr>
        <w:tc>
          <w:tcPr>
            <w:tcW w:w="34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81"/>
        </w:trPr>
        <w:tc>
          <w:tcPr>
            <w:tcW w:w="3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instruments</w:t>
            </w:r>
          </w:p>
        </w:tc>
        <w:tc>
          <w:tcPr>
            <w:tcW w:w="2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derivatives</w:t>
            </w:r>
          </w:p>
        </w:tc>
        <w:tc>
          <w:tcPr>
            <w:tcW w:w="2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vMerge w:val="restart"/>
          </w:tcPr>
          <w:p>
            <w:pPr>
              <w:ind w:left="218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derivative assets and liabilities on our Condensed Consolidated Balance Sheet on a gross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2017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310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3100" w:type="dxa"/>
            <w:vAlign w:val="bottom"/>
            <w:gridSpan w:val="2"/>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60" w:type="dxa"/>
            <w:vAlign w:val="bottom"/>
          </w:tcPr>
          <w:p>
            <w:pPr>
              <w:spacing w:after="0"/>
              <w:rPr>
                <w:sz w:val="12"/>
                <w:szCs w:val="12"/>
                <w:color w:val="auto"/>
              </w:rPr>
            </w:pPr>
          </w:p>
        </w:tc>
        <w:tc>
          <w:tcPr>
            <w:tcW w:w="620" w:type="dxa"/>
            <w:vAlign w:val="bottom"/>
          </w:tcPr>
          <w:p>
            <w:pPr>
              <w:jc w:val="right"/>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2"/>
          </w:tcPr>
          <w:p>
            <w:pPr>
              <w:ind w:left="104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2"/>
                <w:szCs w:val="12"/>
                <w:color w:val="auto"/>
              </w:rPr>
            </w:pPr>
          </w:p>
        </w:tc>
        <w:tc>
          <w:tcPr>
            <w:tcW w:w="620" w:type="dxa"/>
            <w:vAlign w:val="bottom"/>
          </w:tcPr>
          <w:p>
            <w:pPr>
              <w:jc w:val="right"/>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310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6"/>
        </w:trPr>
        <w:tc>
          <w:tcPr>
            <w:tcW w:w="3440" w:type="dxa"/>
            <w:vAlign w:val="bottom"/>
            <w:tcBorders>
              <w:top w:val="single" w:sz="8" w:color="CCEEFF"/>
            </w:tcBorders>
            <w:shd w:val="clear" w:color="auto" w:fill="CCEEFF"/>
          </w:tcPr>
          <w:p>
            <w:pPr>
              <w:ind w:left="40"/>
              <w:spacing w:after="0" w:line="206" w:lineRule="exact"/>
              <w:rPr>
                <w:sz w:val="20"/>
                <w:szCs w:val="20"/>
                <w:color w:val="auto"/>
              </w:rPr>
            </w:pPr>
            <w:r>
              <w:rPr>
                <w:rFonts w:ascii="Times New Roman" w:cs="Times New Roman" w:eastAsia="Times New Roman" w:hAnsi="Times New Roman"/>
                <w:sz w:val="18"/>
                <w:szCs w:val="18"/>
                <w:b w:val="1"/>
                <w:bCs w:val="1"/>
                <w:color w:val="auto"/>
              </w:rPr>
              <w:t>Derivatives designated as hedging</w:t>
            </w:r>
          </w:p>
        </w:tc>
        <w:tc>
          <w:tcPr>
            <w:tcW w:w="2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4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5"/>
        </w:trPr>
        <w:tc>
          <w:tcPr>
            <w:tcW w:w="34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derivatives designated as</w:t>
            </w:r>
          </w:p>
        </w:tc>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81"/>
        </w:trPr>
        <w:tc>
          <w:tcPr>
            <w:tcW w:w="3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hedging instruments</w:t>
            </w:r>
          </w:p>
        </w:tc>
        <w:tc>
          <w:tcPr>
            <w:tcW w:w="2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w:t>
            </w: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derivatives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344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16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Distribution Rate Reset Option</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2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derivatives</w:t>
            </w: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Our derivative transactions (other than the Preferred Distribution Rate Reset Option)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CCEEFF"/>
            </w:tcBorders>
          </w:tcPr>
          <w:p>
            <w:pPr>
              <w:spacing w:after="0"/>
              <w:rPr>
                <w:sz w:val="16"/>
                <w:szCs w:val="16"/>
                <w:color w:val="auto"/>
              </w:rPr>
            </w:pPr>
          </w:p>
        </w:tc>
        <w:tc>
          <w:tcPr>
            <w:tcW w:w="4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margin</w:t>
            </w:r>
          </w:p>
        </w:tc>
        <w:tc>
          <w:tcPr>
            <w:tcW w:w="4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9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Variation margin posted</w:t>
            </w:r>
          </w:p>
        </w:tc>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46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broker receivable</w:t>
            </w:r>
          </w:p>
        </w:tc>
        <w:tc>
          <w:tcPr>
            <w:tcW w:w="46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20" w:type="dxa"/>
            <w:vAlign w:val="bottom"/>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66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derivative financial assets and liabilities that are subject to offsetting, including enforceable master netting arrangements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22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149"/>
        </w:trPr>
        <w:tc>
          <w:tcPr>
            <w:tcW w:w="5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2"/>
                <w:szCs w:val="12"/>
                <w:color w:val="auto"/>
              </w:rPr>
            </w:pPr>
          </w:p>
        </w:tc>
        <w:tc>
          <w:tcPr>
            <w:tcW w:w="15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2"/>
                <w:szCs w:val="12"/>
                <w:color w:val="auto"/>
              </w:rPr>
            </w:pPr>
          </w:p>
        </w:tc>
        <w:tc>
          <w:tcPr>
            <w:tcW w:w="1320" w:type="dxa"/>
            <w:vAlign w:val="bottom"/>
          </w:tcPr>
          <w:p>
            <w:pPr>
              <w:jc w:val="right"/>
              <w:ind w:right="333"/>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r>
      <w:tr>
        <w:trPr>
          <w:trHeight w:val="195"/>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 Positions</w:t>
            </w:r>
          </w:p>
        </w:tc>
        <w:tc>
          <w:tcPr>
            <w:tcW w:w="160" w:type="dxa"/>
            <w:vAlign w:val="bottom"/>
          </w:tcPr>
          <w:p>
            <w:pPr>
              <w:spacing w:after="0"/>
              <w:rPr>
                <w:sz w:val="16"/>
                <w:szCs w:val="16"/>
                <w:color w:val="auto"/>
              </w:rPr>
            </w:pPr>
          </w:p>
        </w:tc>
        <w:tc>
          <w:tcPr>
            <w:tcW w:w="15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Liability Positions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 Positions</w:t>
            </w:r>
          </w:p>
        </w:tc>
        <w:tc>
          <w:tcPr>
            <w:tcW w:w="160" w:type="dxa"/>
            <w:vAlign w:val="bottom"/>
          </w:tcPr>
          <w:p>
            <w:pPr>
              <w:spacing w:after="0"/>
              <w:rPr>
                <w:sz w:val="16"/>
                <w:szCs w:val="16"/>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Liability Positions</w:t>
            </w:r>
          </w:p>
        </w:tc>
      </w:tr>
      <w:tr>
        <w:trPr>
          <w:trHeight w:val="235"/>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Netting Adjustments: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position - asset/(liability)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Netting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239</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collateral paid</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position - asset/(liability)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Location After Netting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7"/>
        </w:trPr>
        <w:tc>
          <w:tcPr>
            <w:tcW w:w="50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2018, there was a net loss of $157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Of the total net loss deferred in AOCI at September 30, 2018, we expect to reclassify a net loss of $7 million to earnings in the next twelve months. We estimate that substantially all of the remaining deferred loss will be reclassified to earnings through 2050 as the underlying hedged transactions impact earnings. A portion of these amounts is based on market prices as of September 30, 2018; thus, actual amounts to be reclassified will differ and could vary materially as a result of changes in market conditions.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net unrealized gain/(loss) recognized in AOCI for derivatives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480" w:type="dxa"/>
            <w:vAlign w:val="bottom"/>
            <w:gridSpan w:val="4"/>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4"/>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r>
      <w:tr>
        <w:trPr>
          <w:trHeight w:val="195"/>
        </w:trPr>
        <w:tc>
          <w:tcPr>
            <w:tcW w:w="5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r>
      <w:tr>
        <w:trPr>
          <w:trHeight w:val="242"/>
        </w:trPr>
        <w:tc>
          <w:tcPr>
            <w:tcW w:w="5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derivatives, net</w:t>
            </w:r>
          </w:p>
        </w:tc>
        <w:tc>
          <w:tcPr>
            <w:tcW w:w="94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58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firstLine="594"/>
        <w:spacing w:after="0" w:line="266" w:lineRule="auto"/>
        <w:rPr>
          <w:sz w:val="20"/>
          <w:szCs w:val="20"/>
          <w:color w:val="auto"/>
        </w:rPr>
      </w:pPr>
      <w:r>
        <w:rPr>
          <w:rFonts w:ascii="Times New Roman" w:cs="Times New Roman" w:eastAsia="Times New Roman" w:hAnsi="Times New Roman"/>
          <w:sz w:val="18"/>
          <w:szCs w:val="18"/>
          <w:color w:val="auto"/>
        </w:rPr>
        <w:t>At September 30, 2018 and December 31, 2017,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as of September 30, 2018</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as of December 31, 2017</w:t>
            </w:r>
          </w:p>
        </w:tc>
        <w:tc>
          <w:tcPr>
            <w:tcW w:w="60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Recurring Fair Value Measures </w:t>
            </w:r>
            <w:r>
              <w:rPr>
                <w:rFonts w:ascii="Times New Roman" w:cs="Times New Roman" w:eastAsia="Times New Roman" w:hAnsi="Times New Roman"/>
                <w:sz w:val="12"/>
                <w:szCs w:val="12"/>
                <w:b w:val="1"/>
                <w:bCs w:val="1"/>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derivatives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Preferred Distribution Rate Reset Option</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derivative asset/(liability)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Derivative assets and liabilities are presented above on a net basis but do not include related cash margin deposits.</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Level 1</w:t>
      </w:r>
    </w:p>
    <w:p>
      <w:pPr>
        <w:spacing w:after="0" w:line="229" w:lineRule="exact"/>
        <w:rPr>
          <w:sz w:val="20"/>
          <w:szCs w:val="20"/>
          <w:color w:val="auto"/>
        </w:rPr>
      </w:pPr>
    </w:p>
    <w:p>
      <w:pPr>
        <w:jc w:val="both"/>
        <w:ind w:left="660" w:right="120"/>
        <w:spacing w:after="0" w:line="266" w:lineRule="auto"/>
        <w:rPr>
          <w:sz w:val="20"/>
          <w:szCs w:val="20"/>
          <w:color w:val="auto"/>
        </w:rPr>
      </w:pPr>
      <w:r>
        <w:rPr>
          <w:rFonts w:ascii="Times New Roman" w:cs="Times New Roman" w:eastAsia="Times New Roman" w:hAnsi="Times New Roman"/>
          <w:sz w:val="18"/>
          <w:szCs w:val="18"/>
          <w:color w:val="auto"/>
        </w:rPr>
        <w:t>Level 1 of the fair value hierarchy includes exchange-traded commodity derivatives and over-the-counter commodity contracts such as futures and options. The fair value of exchange-traded commodity derivatives and over-the-counter commodity contracts are based on unadjusted quoted prices in active markets.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Level 2</w:t>
      </w:r>
    </w:p>
    <w:p>
      <w:pPr>
        <w:spacing w:after="0" w:line="229" w:lineRule="exact"/>
        <w:rPr>
          <w:sz w:val="20"/>
          <w:szCs w:val="20"/>
          <w:color w:val="auto"/>
        </w:rPr>
      </w:pPr>
    </w:p>
    <w:p>
      <w:pPr>
        <w:ind w:left="660" w:right="280"/>
        <w:spacing w:after="0" w:line="261" w:lineRule="auto"/>
        <w:rPr>
          <w:sz w:val="20"/>
          <w:szCs w:val="20"/>
          <w:color w:val="auto"/>
        </w:rPr>
      </w:pPr>
      <w:r>
        <w:rPr>
          <w:rFonts w:ascii="Times New Roman" w:cs="Times New Roman" w:eastAsia="Times New Roman" w:hAnsi="Times New Roman"/>
          <w:sz w:val="18"/>
          <w:szCs w:val="18"/>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 of these derivatives is based on broker price quotations which are corroborated with market observable inputs.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Level 3</w:t>
      </w:r>
    </w:p>
    <w:p>
      <w:pPr>
        <w:spacing w:after="0" w:line="22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Level 3 of the fair value hierarchy includes certain physical commodity contracts, over-the-counter financial commodity contracts, and the Preferred Distribution Rate Reset Option contained in our partnership agreement which is classified as an embedded derivative.</w:t>
      </w:r>
    </w:p>
    <w:p>
      <w:pPr>
        <w:spacing w:after="0" w:line="162"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The fair value of our Level 3 physical commodity contracts and over-the-counter financial commodity contracts are based on valuation models utilizing significant unobservable pricing inputs and timing estimates, which involve management judgment. Significant deviations from these inputs and estimates could result in a material change in fair value to our physical commodity contracts and over-the-counter financial commodity contracts. We report unrealized gains and losses associated with these physical commodity contracts in our Condensed Consolidated Statements of Operations as Supply and Logistics segment revenues. Unrealized gains and losses associated with the over-the counter financial commodity contracts are reported in our Condensed Consolidated Statements of Operations as Field operating costs.</w:t>
      </w:r>
    </w:p>
    <w:p>
      <w:pPr>
        <w:spacing w:after="0" w:line="188"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which involve management judgment. A significant change in these inputs could result in a material change in fair value to this embedded derivative feature. We report unrealized gains and losses associated with this embedded derivative in our Condensed Consolidated Statements of Operations in “Other income/(expense), net.”</w:t>
      </w:r>
    </w:p>
    <w:p>
      <w:pPr>
        <w:spacing w:after="0" w:line="18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To the extent any transfers between levels of the fair value hierarchy occur, our policy is to reflect these transfers as of the beginning of the reporting period in which they occur.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Rollforward of Level 3 Net Asset/(Liability)</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changes in fair value of the beginning and ending balances for our derivatives classified as Level 3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20" w:type="dxa"/>
            <w:vAlign w:val="bottom"/>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3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gains/(losses) for the period included in earnings</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Derivatives entered into during the period</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55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3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5"/>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unrealized gains/(losses) included in earnings relating to Level 3</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41"/>
        </w:trPr>
        <w:tc>
          <w:tcPr>
            <w:tcW w:w="5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derivatives still held at the end of the period</w:t>
            </w:r>
          </w:p>
        </w:tc>
        <w:tc>
          <w:tcPr>
            <w:tcW w:w="13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675"/>
        </w:trPr>
        <w:tc>
          <w:tcPr>
            <w:tcW w:w="5540" w:type="dxa"/>
            <w:vAlign w:val="bottom"/>
          </w:tcPr>
          <w:p>
            <w:pPr>
              <w:spacing w:after="0"/>
              <w:rPr>
                <w:sz w:val="24"/>
                <w:szCs w:val="24"/>
                <w:color w:val="auto"/>
              </w:rPr>
            </w:pP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12—Related Party Transactions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See Note 15 to our Consolidated Financial Statements included in Part IV of our 2017 Annual Report on Form 10-K for a complete discussion of our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of PAGP Class C Shares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2018 and December 31, 2017, we owned 516,138,000 and 510,925,432, respectively, Class C shares of PAGP. The Class C shares represent a non-economic limited partner interest in PAGP that provides us, as the sole holder, a “pass-through” voting right through which our common unitholders and Series A preferred unitholders have the effective right to vote, pro rata with the holders of Class A and Class B shares of PAGP, for the election of eligible PAGP GP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Oxy</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2018, Oxy had a representative on the board of directors of PAGP GP and owned approximately 11% of the limited partner interests in AAP (which represents an approximate 4% indirect ownership interest in PAA). During the three and nine months ended September 30, 2018 and 2017,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those transactions is included below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r>
      <w:tr>
        <w:trPr>
          <w:trHeight w:val="195"/>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2"/>
              </w:rPr>
              <w:t>2017</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657</w:t>
            </w:r>
          </w:p>
        </w:tc>
      </w:tr>
      <w:tr>
        <w:trPr>
          <w:trHeight w:val="297"/>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6" w:lineRule="exact"/>
        <w:rPr>
          <w:sz w:val="20"/>
          <w:szCs w:val="20"/>
          <w:color w:val="auto"/>
        </w:rPr>
      </w:pPr>
    </w:p>
    <w:p>
      <w:pPr>
        <w:ind w:left="660" w:right="240" w:hanging="652"/>
        <w:spacing w:after="0" w:line="218" w:lineRule="auto"/>
        <w:tabs>
          <w:tab w:leader="none" w:pos="66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199" w:lineRule="exact"/>
        <w:rPr>
          <w:rFonts w:ascii="Times New Roman" w:cs="Times New Roman" w:eastAsia="Times New Roman" w:hAnsi="Times New Roman"/>
          <w:sz w:val="25"/>
          <w:szCs w:val="25"/>
          <w:color w:val="auto"/>
          <w:vertAlign w:val="superscript"/>
        </w:rPr>
      </w:pPr>
    </w:p>
    <w:p>
      <w:pPr>
        <w:ind w:left="6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currently have a netting arrangement with Oxy. Our gross receivable and payable amounts with Oxy were as follows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receivable and other receivables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1,075</w:t>
            </w:r>
          </w:p>
        </w:tc>
      </w:tr>
      <w:tr>
        <w:trPr>
          <w:trHeight w:val="297"/>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990</w:t>
            </w:r>
          </w:p>
        </w:tc>
      </w:tr>
      <w:tr>
        <w:trPr>
          <w:trHeight w:val="27"/>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Equity Method Investees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also have transactions with companies in which we hold an investment accounted for under the equity method of accounting. We recorded revenues of $3 million and $1 million during the three months ended September 30, 2018 and 2017, respectively, and $9 million and $3 million during the nine months ended September 30, 2018 and 2017, respectively, primarily related to transportation services. In addition, we utilized transportation services and purchased petroleum products provided by these companies. Costs related to these services and product purchases totaled $146 million and $124 million for the three months ended September 30, 2018 and 2017, respectively, and $411 million and $318 million for the nine months ended September 30, 2018 and 2017, respectively. These costs include amounts associated with a joint tariff administered by an equity method investee, of which $74 million and $57 million for the three months ended September 30, 2018 and 2017, respectively, and $213 million and $150 million for the nine months ended September 30, 2018 and 2017, respectively, were associated with a PAA wholly-owned pipeline. These transactions were conducted at posted tariff rates or contracted rates or prices that we believe approximate market.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Receivables from our equity method investees totaled $41 million and $26 million at September 30, 2018 and December 31, 2017, respectively, and primarily included amounts related to transportation services and amounts owed to us related to expansion projects where we serve as construction manager. Accounts payable to our equity method investees were $112 million and $41 million at September 30, 2018 and December 31, 2017, respectively, and primarily included amounts related to transportation services utilized and amounts advanced to us related to expansion projects where we serve as construction manager.</w:t>
      </w:r>
    </w:p>
    <w:p>
      <w:pPr>
        <w:spacing w:after="0" w:line="18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we have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2018, we made net investments in our equity method investees of $300 million (including amounts contributed to and received from Cactus II Pipeline LLC subsequent to its formation, as discussed further below). Such net investments are primarily related to funding our portion of the development, construction or capital expansion projects of such entities and are reflected in “Investments in unconsolidated entities” on our Condensed Consolidated Statement of Cash Flows.</w:t>
      </w:r>
    </w:p>
    <w:p>
      <w:pPr>
        <w:spacing w:after="0" w:line="178"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Cactus II JV Formation. </w:t>
      </w:r>
      <w:r>
        <w:rPr>
          <w:rFonts w:ascii="Times New Roman" w:cs="Times New Roman" w:eastAsia="Times New Roman" w:hAnsi="Times New Roman"/>
          <w:sz w:val="18"/>
          <w:szCs w:val="18"/>
          <w:color w:val="auto"/>
        </w:rPr>
        <w:t>In the second quarter of 2018, a subsidiary of Oxy and another third party each exercised their purchase options for a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and a 15% interest, respectively, in Cactus II Pipeline LLC (“Cactus II”), which owns the Cactus II pipeline system that is currently under construction. Although we own a majority of Cactus II’s equity, we do not have a controlling financial interest in Cactus II because the other members have substantive participating rights. Therefore, we account for our ownership interest in Cactus II as an equity method investment. Following the exercise of the purchase options, we deconsolidated Cactus II resulting in a reduction of property and equipment of $74 million (which was representative of the costs incurred to date to construct the pipeline and equivalent to fair value), and we received $26 million of cash from Cactus II, which represented the other members’ portion of the property and equipment.</w:t>
      </w:r>
    </w:p>
    <w:p>
      <w:pPr>
        <w:spacing w:after="0" w:line="18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during the second quarter of 2018, we received a $100 million advance cash payment from Cactus II associated with pipeline capacity agreements, which is recorded as long-term deferred revenue within “Other long-term liabilities and deferred credits” on our Condensed Consolidated Balance Sheet. Such amount will be recognized in revenue ratably over the life of the contracts beginning once the Cactus II pipeline system has been placed into service.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 — General</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8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 General</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 General</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8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76"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At September 30, 2018, our estimated undiscounted reserve for environmental liabilities (including liabilities related to the Line 901 incident, as discussed further below) totaled $126 million, of which $46 million was classified as short-term and $80 million was classified as long-term. At December 31, 2017, our estimated undiscounted reserve for environmental liabilities (including liabilities related to the Line 901 incident) totaled $162 million, of which $72 million was classified as short-term and $90 million was classified as long-term. The short- and long-term environmental liabilities referenced above are reflected in “Accounts payable and accrued liabilities” and “Other long-term liabilities and deferred credits,” respectively, on our Condensed Consolidated Balance Sheets. At September 30, 2018, we had recorded receivables totaling $49 million for amounts probable of recovery under insurance and from third parties under indemnification agreements, of which $23 million was reflected in “Trade accounts receivable and other receivables, net” and $26 million was reflected in “Other long-term assets, net” on our Condensed Consolidated Balance Sheet. At December 31, 2017, we had recorded</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$55 million of such receivables, of which $29 million was reflected in “Trade accounts receivable and other receivables, net” and $26 million was reflected in “Other long-term assets, net” on our Condensed Consolidated Balance Sheet.</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Legal, Environmental or Regulatory Matters</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Line 901 Incident</w:t>
      </w:r>
      <w:r>
        <w:rPr>
          <w:rFonts w:ascii="Times New Roman" w:cs="Times New Roman" w:eastAsia="Times New Roman" w:hAnsi="Times New Roman"/>
          <w:sz w:val="18"/>
          <w:szCs w:val="18"/>
          <w:color w:val="auto"/>
        </w:rPr>
        <w:t>. In May 2015, we experienced a crude oil release from our Las Flores to Gaviota Pipeline (Line 901) in Santa Barbara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94"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under a pressure restriction. No timeline has been established for the restart of Line 901 or Line 903.</w:t>
      </w:r>
    </w:p>
    <w:p>
      <w:pPr>
        <w:spacing w:after="0" w:line="19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brought any such civil or criminal charges with respect to the Line 901 release, their investigation is still open and we are likely to have fines or penalties imposed upon us, and we may have civil or criminal charges brought against us, in the future.</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against PAA. On July 28, 2016, at an arraignment hearing held in California Superior Court in Santa Barbara County, PAA pled not guilty to all counts. Between May of 2016 and May of 2018, 31 of the criminal charges against PAA (including one felony charge) and all of the criminal charges against our employee, were dismissed. The remaining 15 charges were the subject of a jury trial in California Superior Court in Santa Barbara County that began in May of 2018.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jury deadlocked on three counts (including two felony discharge counts and one strict liability animal takings count), and two misdemeanor discharge counts were dropped. We are in the process of pursuing and evaluating our post-trial options, which include the possibility of an appeal. We do not anticipate that the fines or penalties imposed as a result of the jury’s decision will have a material adverse impact on the financial position or operations of the Partnership.</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Also in late May of 2015, the United States Attorney for the Department of Justice, Central District of California, Environmental Crimes</w:t>
      </w:r>
    </w:p>
    <w:p>
      <w:pPr>
        <w:spacing w:after="0" w:line="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Section (“DOJ”) began an investigation into whether there were any violations of federal criminal statutes in connection with the Line 901 incident, including potential violations of the federal Clean Water Act. We have cooperated with the DOJ’s investigation by responding to their requests for documents and access to our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w:t>
      </w:r>
    </w:p>
    <w:p>
      <w:pPr>
        <w:spacing w:after="0" w:line="2" w:lineRule="exact"/>
        <w:rPr>
          <w:sz w:val="20"/>
          <w:szCs w:val="20"/>
          <w:color w:val="auto"/>
        </w:rPr>
      </w:pPr>
    </w:p>
    <w:p>
      <w:pPr>
        <w:ind w:right="280" w:firstLine="8"/>
        <w:spacing w:after="0" w:line="255"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provided various responsive materials to date and we will continue to do so in the future in cooperation with the EPA. While to date no civil actions or criminal charges with respect to the Line 901 release, other than those brought pursuant to the May 2016 Indictment and a separate civil claim brought by the California Attorney General on</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behalf of the California State Lands Commission,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actions or criminal charges brought against us, our officers or our employees in the future, whether by those or other governmental agencies.</w:t>
      </w:r>
    </w:p>
    <w:p>
      <w:pPr>
        <w:spacing w:after="0" w:line="18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Shortly following the Line 901 incident, we established a claims line and encouraged any parties that were damaged by the release to contact us to discuss their damage claims. We have received a number of claims through the claims line and we have been processing those claims and making payments as appropriate.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To date, the court has certified three sub-classes of claimants and denied certification of the other proposed sub-class. The sub-classes that have been certified include (i) commercial fishermen who landed fish in certain specified fishing blocks in the waters adjacent to Santa Barbara County or persons or businesses who resold commercial seafood landed in such areas; (ii) individuals or businesses who were employed by or had contracts with certain designated oil platforms and related onshore processing facilities in the vicinity of the release as of the date of the release and (iii) beachfront property and easement owners whose properties were oiled. The Ninth Circuit Court of Appeals has granted our petition for leave to appeal the oil industry class certification.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93"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There have also been two securities law class action lawsuits filed on behalf of certain purported investors in the Partnership and/or PAGP against the Partnership,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the Partnership’s pipelines and related facilities through false and misleading statements, omission of material facts and concealing of the true extent of the spill. The plaintiffs claim unspecified damages as a result of the reduction in value of their investments in the Partnership and PAGP, which they attribute to the alleged wrongful acts of the defendants. The Partnership and PAGP, and the other defendants, denied the allegations in, and moved to dismiss these lawsuits. On March 29, 2017, the Court ruled in our favor dismissing all claims against all defendants. Plaintiffs refiled their complaint. On April 2, 2018, the Court dismissed all of the refiled claims against all defendants with prejudice. Plaintiffs have appealed the dismissal. Consistent with and subject to the terms of our governing organizational documents (and to the extent applicable, insurance policies), we have indemnified and funded the defense costs of our officers and directors in connection with this lawsuit; we have also indemnified and funded the defense costs of our underwriters pursuant to the terms of the underwriting agreements we previously entered into with such underwriters.</w:t>
      </w:r>
    </w:p>
    <w:p>
      <w:pPr>
        <w:spacing w:after="0" w:line="19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four unitholder derivative lawsuits have been filed by certain purported investors in the Partnership against the Partnership, certain of its affiliates and certain officers and directors. One lawsuit was filed in State District Court in Harris County, Texas and subsequently dismissed by the 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Following the order dismissing the Texas Federal Court suits, a new derivative suit brought by different plaintiffs was filed in Delaware Chancery Court. In general, these derivative lawsuits allege that the various defendants breached their fiduciary duties, engaged in gross mismanagement and made false and misleading statements, among other similar allegations, in connection with their management and oversight of the Partnership during the period of time leading up to and following the Line 901 release. The plaintiffs in the remaining lawsuit claim that the Partnership suffered unspecified damages as a result of the actions of the various defendants and seek to hold the defendants liable for such damages, in addition to other remedies. The defendants deny the allegations in this lawsuit and have responded accordingly. Consistent with and subject to the terms of our governing organizational documents (and to the extent applicable, insurance policies), we are indemnifying and funding the defense costs of our officers and directors in connection with this lawsuit.</w:t>
      </w:r>
    </w:p>
    <w:p>
      <w:pPr>
        <w:spacing w:after="0" w:line="18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have also received several other individual lawsuits and complaints from companies, governmental agencies and individuals alleging damages arising out of the Line 901 incident. These lawsuits and claims generally seek compensatory and punitive damages, and in some cases permanent injunctive relief.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Taking the foregoing into account, as of September 30, 2018, we estimate that the aggregate total costs we have incurred or will incur with respect to the Line 901 incident will be approximately $335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Condensed Consolidated Statement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and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9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of September 30, 2018, we had a remaining undiscounted gross liability of $65 million related to this event, of which approximately $37 million is presented as a current liability in “Accounts payable and accrued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September 30, 2018, we had collected, subject to customary reservations, $180 million out of the approximate $220 million of release costs that we believe are probable of recovery from insurance carriers, net of deductibles. Therefore, as of September 30, 2018, we have recognized a receivable of approximately $40 million for the portion of the release costs that we believe is probable of recovery from insurance, net of deductibles and amounts already collected. Of this amount, approximately $16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14—Operating Segments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manage our operations through three operating segments: Transportation, Facilities and Supply and Logistics. See Note 3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8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financial data for each segment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2018</w:t>
            </w:r>
          </w:p>
        </w:tc>
        <w:tc>
          <w:tcPr>
            <w:tcW w:w="120" w:type="dxa"/>
            <w:vAlign w:val="bottom"/>
            <w:gridSpan w:val="2"/>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20" w:type="dxa"/>
            <w:vAlign w:val="bottom"/>
            <w:gridSpan w:val="2"/>
            <w:vMerge w:val="restart"/>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00" w:type="dxa"/>
            <w:vAlign w:val="bottom"/>
            <w:gridSpan w:val="2"/>
            <w:vMerge w:val="restart"/>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Supply and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9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1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4"/>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External customers </w:t>
            </w:r>
            <w:r>
              <w:rPr>
                <w:rFonts w:ascii="Times New Roman" w:cs="Times New Roman" w:eastAsia="Times New Roman" w:hAnsi="Times New Roman"/>
                <w:sz w:val="25"/>
                <w:szCs w:val="25"/>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292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8,482</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8,792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4"/>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Intersegment </w:t>
            </w:r>
            <w:r>
              <w:rPr>
                <w:rFonts w:ascii="Times New Roman" w:cs="Times New Roman" w:eastAsia="Times New Roman" w:hAnsi="Times New Roman"/>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tcBorders>
              <w:bottom w:val="single" w:sz="8" w:color="CCEEFF"/>
            </w:tcBorders>
            <w:gridSpan w:val="4"/>
          </w:tcPr>
          <w:p>
            <w:pPr>
              <w:ind w:left="3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498</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8,483</w:t>
            </w:r>
          </w:p>
        </w:tc>
        <w:tc>
          <w:tcPr>
            <w:tcW w:w="120" w:type="dxa"/>
            <w:vAlign w:val="bottom"/>
            <w:tcBorders>
              <w:bottom w:val="single" w:sz="8" w:color="CCEEFF"/>
            </w:tcBorders>
            <w:gridSpan w:val="2"/>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9,270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1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388</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0" w:type="dxa"/>
            <w:vAlign w:val="bottom"/>
          </w:tcPr>
          <w:p>
            <w:pPr>
              <w:spacing w:after="0"/>
              <w:rPr>
                <w:sz w:val="24"/>
                <w:szCs w:val="24"/>
                <w:color w:val="auto"/>
              </w:rPr>
            </w:pPr>
          </w:p>
        </w:tc>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2017</w:t>
            </w:r>
          </w:p>
        </w:tc>
        <w:tc>
          <w:tcPr>
            <w:tcW w:w="120" w:type="dxa"/>
            <w:vAlign w:val="bottom"/>
            <w:gridSpan w:val="2"/>
            <w:vMerge w:val="restart"/>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2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00" w:type="dxa"/>
            <w:vAlign w:val="bottom"/>
            <w:gridSpan w:val="2"/>
            <w:vMerge w:val="restart"/>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Supply and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9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1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4"/>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External customers </w:t>
            </w:r>
            <w:r>
              <w:rPr>
                <w:rFonts w:ascii="Times New Roman" w:cs="Times New Roman" w:eastAsia="Times New Roman" w:hAnsi="Times New Roman"/>
                <w:sz w:val="25"/>
                <w:szCs w:val="25"/>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274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5,573</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4"/>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Intersegment </w:t>
            </w:r>
            <w:r>
              <w:rPr>
                <w:rFonts w:ascii="Times New Roman" w:cs="Times New Roman" w:eastAsia="Times New Roman" w:hAnsi="Times New Roman"/>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tcBorders>
              <w:bottom w:val="single" w:sz="8" w:color="CCEEFF"/>
            </w:tcBorders>
            <w:gridSpan w:val="4"/>
          </w:tcPr>
          <w:p>
            <w:pPr>
              <w:ind w:left="3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446</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5,574</w:t>
            </w:r>
          </w:p>
        </w:tc>
        <w:tc>
          <w:tcPr>
            <w:tcW w:w="120" w:type="dxa"/>
            <w:vAlign w:val="bottom"/>
            <w:tcBorders>
              <w:bottom w:val="single" w:sz="8" w:color="CCEEFF"/>
            </w:tcBorders>
            <w:gridSpan w:val="2"/>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6,311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1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363</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tc>
        <w:tc>
          <w:tcPr>
            <w:tcW w:w="12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8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Supply and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1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4"/>
          </w:tcPr>
          <w:p>
            <w:pPr>
              <w:ind w:left="160"/>
              <w:spacing w:after="0" w:line="270" w:lineRule="exact"/>
              <w:rPr>
                <w:sz w:val="20"/>
                <w:szCs w:val="20"/>
                <w:color w:val="auto"/>
              </w:rPr>
            </w:pPr>
            <w:r>
              <w:rPr>
                <w:rFonts w:ascii="Times New Roman" w:cs="Times New Roman" w:eastAsia="Times New Roman" w:hAnsi="Times New Roman"/>
                <w:sz w:val="18"/>
                <w:szCs w:val="18"/>
                <w:color w:val="auto"/>
              </w:rPr>
              <w:t xml:space="preserve">External customers </w:t>
            </w:r>
            <w:r>
              <w:rPr>
                <w:rFonts w:ascii="Times New Roman" w:cs="Times New Roman" w:eastAsia="Times New Roman" w:hAnsi="Times New Roman"/>
                <w:sz w:val="25"/>
                <w:szCs w:val="25"/>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808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24,374</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80" w:type="dxa"/>
            <w:vAlign w:val="bottom"/>
            <w:gridSpan w:val="3"/>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 xml:space="preserve">Intersegment </w:t>
            </w:r>
            <w:r>
              <w:rPr>
                <w:rFonts w:ascii="Times New Roman" w:cs="Times New Roman" w:eastAsia="Times New Roman" w:hAnsi="Times New Roman"/>
                <w:sz w:val="25"/>
                <w:szCs w:val="25"/>
                <w:color w:val="auto"/>
                <w:vertAlign w:val="superscript"/>
              </w:rPr>
              <w:t>(2)</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619</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0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24,376</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26,669</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281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4"/>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4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Maintenance capital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36</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2017</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Supply and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200"/>
              <w:spacing w:after="0" w:line="270" w:lineRule="exact"/>
              <w:rPr>
                <w:sz w:val="20"/>
                <w:szCs w:val="20"/>
                <w:color w:val="auto"/>
              </w:rPr>
            </w:pPr>
            <w:r>
              <w:rPr>
                <w:rFonts w:ascii="Times New Roman" w:cs="Times New Roman" w:eastAsia="Times New Roman" w:hAnsi="Times New Roman"/>
                <w:sz w:val="18"/>
                <w:szCs w:val="18"/>
                <w:color w:val="auto"/>
              </w:rPr>
              <w:t xml:space="preserve">External customers </w:t>
            </w:r>
            <w:r>
              <w:rPr>
                <w:rFonts w:ascii="Times New Roman" w:cs="Times New Roman" w:eastAsia="Times New Roman" w:hAnsi="Times New Roman"/>
                <w:sz w:val="25"/>
                <w:szCs w:val="25"/>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17,749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18,618</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200"/>
              <w:spacing w:after="0" w:line="270" w:lineRule="exact"/>
              <w:rPr>
                <w:sz w:val="20"/>
                <w:szCs w:val="20"/>
                <w:color w:val="auto"/>
              </w:rPr>
            </w:pPr>
            <w:r>
              <w:rPr>
                <w:rFonts w:ascii="Times New Roman" w:cs="Times New Roman" w:eastAsia="Times New Roman" w:hAnsi="Times New Roman"/>
                <w:sz w:val="18"/>
                <w:szCs w:val="18"/>
                <w:color w:val="auto"/>
              </w:rPr>
              <w:t xml:space="preserve">Intersegment </w:t>
            </w:r>
            <w:r>
              <w:rPr>
                <w:rFonts w:ascii="Times New Roman" w:cs="Times New Roman" w:eastAsia="Times New Roman" w:hAnsi="Times New Roman"/>
                <w:sz w:val="25"/>
                <w:szCs w:val="25"/>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17,757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19,890</w:t>
            </w:r>
          </w:p>
        </w:tc>
        <w:tc>
          <w:tcPr>
            <w:tcW w:w="0" w:type="dxa"/>
            <w:vAlign w:val="bottom"/>
          </w:tcPr>
          <w:p>
            <w:pPr>
              <w:spacing w:after="0"/>
              <w:rPr>
                <w:sz w:val="1"/>
                <w:szCs w:val="1"/>
                <w:color w:val="auto"/>
              </w:rPr>
            </w:pPr>
          </w:p>
        </w:tc>
      </w:tr>
      <w:tr>
        <w:trPr>
          <w:trHeight w:val="251"/>
        </w:trPr>
        <w:tc>
          <w:tcPr>
            <w:tcW w:w="4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Maintenance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6" w:lineRule="exact"/>
        <w:rPr>
          <w:sz w:val="20"/>
          <w:szCs w:val="20"/>
          <w:color w:val="auto"/>
        </w:rPr>
      </w:pPr>
    </w:p>
    <w:p>
      <w:pPr>
        <w:ind w:left="660" w:hanging="652"/>
        <w:spacing w:after="0" w:line="236" w:lineRule="auto"/>
        <w:tabs>
          <w:tab w:leader="none" w:pos="66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Transportation revenues from external customers include certain inventory exchanges with our customers where our Supply and Logistics segment has transacted the inventory exchange and serves as the shipper on our pipeline systems. See Note 3 for a discussion of our related accounting policy. We have included an estimate of the revenues from these inventory exchanges in our Transportation segment revenue from external customers presented above and adjusted those revenues out such that Total revenue from External customers reconciles to our Condensed Consolidated Statements of Operations. This presentation is consistent with the information provided to our CODM.</w:t>
      </w:r>
    </w:p>
    <w:p>
      <w:pPr>
        <w:spacing w:after="0" w:line="91" w:lineRule="exact"/>
        <w:rPr>
          <w:rFonts w:ascii="Times New Roman" w:cs="Times New Roman" w:eastAsia="Times New Roman" w:hAnsi="Times New Roman"/>
          <w:sz w:val="25"/>
          <w:szCs w:val="25"/>
          <w:color w:val="auto"/>
          <w:vertAlign w:val="superscript"/>
        </w:rPr>
      </w:pPr>
    </w:p>
    <w:p>
      <w:pPr>
        <w:ind w:left="660" w:right="160" w:hanging="652"/>
        <w:spacing w:after="0" w:line="228" w:lineRule="auto"/>
        <w:tabs>
          <w:tab w:leader="none" w:pos="66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 Reconciliation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net income attributable to PAA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18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5"/>
                <w:szCs w:val="25"/>
                <w:color w:val="auto"/>
                <w:vertAlign w:val="superscript"/>
              </w:rPr>
              <w:t>(2)</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5"/>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Gains/(losses) from derivative activities net of inventory valuation adjustments</w:t>
            </w:r>
          </w:p>
        </w:tc>
        <w:tc>
          <w:tcPr>
            <w:tcW w:w="800" w:type="dxa"/>
            <w:vAlign w:val="bottom"/>
          </w:tcPr>
          <w:p>
            <w:pPr>
              <w:spacing w:after="0"/>
              <w:rPr>
                <w:sz w:val="19"/>
                <w:szCs w:val="19"/>
                <w:color w:val="auto"/>
              </w:rPr>
            </w:pPr>
          </w:p>
        </w:tc>
        <w:tc>
          <w:tcPr>
            <w:tcW w:w="4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(216)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67"/>
        </w:trPr>
        <w:tc>
          <w:tcPr>
            <w:tcW w:w="6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w:t>
            </w:r>
          </w:p>
        </w:tc>
        <w:tc>
          <w:tcPr>
            <w:tcW w:w="8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5"/>
                <w:szCs w:val="25"/>
                <w:color w:val="auto"/>
                <w:vertAlign w:val="superscript"/>
              </w:rPr>
              <w:t>(4)</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5"/>
                <w:szCs w:val="25"/>
                <w:color w:val="auto"/>
                <w:vertAlign w:val="superscript"/>
              </w:rPr>
              <w:t>(5)</w:t>
            </w:r>
          </w:p>
        </w:tc>
        <w:tc>
          <w:tcPr>
            <w:tcW w:w="800" w:type="dxa"/>
            <w:vAlign w:val="bottom"/>
          </w:tcPr>
          <w:p>
            <w:pPr>
              <w:spacing w:after="0"/>
              <w:rPr>
                <w:sz w:val="23"/>
                <w:szCs w:val="23"/>
                <w:color w:val="auto"/>
              </w:rPr>
            </w:pP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5"/>
                <w:szCs w:val="25"/>
                <w:color w:val="auto"/>
                <w:vertAlign w:val="superscript"/>
              </w:rPr>
              <w:t>(6)</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Times New Roman" w:cs="Times New Roman" w:eastAsia="Times New Roman" w:hAnsi="Times New Roman"/>
                <w:sz w:val="18"/>
                <w:szCs w:val="18"/>
                <w:color w:val="auto"/>
              </w:rPr>
              <w:t xml:space="preserve">Net gain/(loss) on foreign currency revaluation </w:t>
            </w:r>
            <w:r>
              <w:rPr>
                <w:rFonts w:ascii="Times New Roman" w:cs="Times New Roman" w:eastAsia="Times New Roman" w:hAnsi="Times New Roman"/>
                <w:sz w:val="25"/>
                <w:szCs w:val="25"/>
                <w:color w:val="auto"/>
                <w:vertAlign w:val="superscript"/>
              </w:rPr>
              <w:t>(7)</w:t>
            </w:r>
          </w:p>
        </w:tc>
        <w:tc>
          <w:tcPr>
            <w:tcW w:w="800" w:type="dxa"/>
            <w:vAlign w:val="bottom"/>
          </w:tcPr>
          <w:p>
            <w:pPr>
              <w:spacing w:after="0"/>
              <w:rPr>
                <w:sz w:val="23"/>
                <w:szCs w:val="23"/>
                <w:color w:val="auto"/>
              </w:rPr>
            </w:pP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Times New Roman" w:cs="Times New Roman" w:eastAsia="Times New Roman" w:hAnsi="Times New Roman"/>
                <w:sz w:val="18"/>
                <w:szCs w:val="18"/>
                <w:color w:val="auto"/>
              </w:rPr>
              <w:t xml:space="preserve">Line 901 incident </w:t>
            </w:r>
            <w:r>
              <w:rPr>
                <w:rFonts w:ascii="Times New Roman" w:cs="Times New Roman" w:eastAsia="Times New Roman" w:hAnsi="Times New Roman"/>
                <w:sz w:val="25"/>
                <w:szCs w:val="25"/>
                <w:color w:val="auto"/>
                <w:vertAlign w:val="superscript"/>
              </w:rPr>
              <w:t>(8)</w:t>
            </w:r>
          </w:p>
        </w:tc>
        <w:tc>
          <w:tcPr>
            <w:tcW w:w="8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Times New Roman" w:cs="Times New Roman" w:eastAsia="Times New Roman" w:hAnsi="Times New Roman"/>
                <w:sz w:val="18"/>
                <w:szCs w:val="18"/>
                <w:color w:val="auto"/>
              </w:rPr>
              <w:t xml:space="preserve">Significant acquisition-related expenses </w:t>
            </w:r>
            <w:r>
              <w:rPr>
                <w:rFonts w:ascii="Times New Roman" w:cs="Times New Roman" w:eastAsia="Times New Roman" w:hAnsi="Times New Roman"/>
                <w:sz w:val="25"/>
                <w:szCs w:val="25"/>
                <w:color w:val="auto"/>
                <w:vertAlign w:val="superscript"/>
              </w:rPr>
              <w:t>(9)</w:t>
            </w:r>
          </w:p>
        </w:tc>
        <w:tc>
          <w:tcPr>
            <w:tcW w:w="8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investment in unconsolidated entities</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income/(expense), net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Income/(loss) before tax</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6" w:lineRule="exact"/>
        <w:rPr>
          <w:sz w:val="20"/>
          <w:szCs w:val="20"/>
          <w:color w:val="auto"/>
        </w:rPr>
      </w:pPr>
    </w:p>
    <w:p>
      <w:pPr>
        <w:ind w:left="5620" w:right="4740" w:hanging="5612"/>
        <w:spacing w:after="0" w:line="596" w:lineRule="auto"/>
        <w:tabs>
          <w:tab w:leader="none" w:pos="652"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99"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our proportionate share of the depreciation and amortization and gains and losses on significant asset sales of equity method investments.</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238" w:lineRule="auto"/>
        <w:tabs>
          <w:tab w:leader="none" w:pos="66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5" w:lineRule="exact"/>
        <w:rPr>
          <w:rFonts w:ascii="Times New Roman" w:cs="Times New Roman" w:eastAsia="Times New Roman" w:hAnsi="Times New Roman"/>
          <w:sz w:val="25"/>
          <w:szCs w:val="25"/>
          <w:color w:val="auto"/>
          <w:vertAlign w:val="superscript"/>
        </w:rPr>
      </w:pPr>
    </w:p>
    <w:p>
      <w:pPr>
        <w:ind w:left="660" w:right="180" w:hanging="652"/>
        <w:spacing w:after="0" w:line="236" w:lineRule="auto"/>
        <w:tabs>
          <w:tab w:leader="none" w:pos="66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91" w:lineRule="exact"/>
        <w:rPr>
          <w:rFonts w:ascii="Times New Roman" w:cs="Times New Roman" w:eastAsia="Times New Roman" w:hAnsi="Times New Roman"/>
          <w:sz w:val="25"/>
          <w:szCs w:val="25"/>
          <w:color w:val="auto"/>
          <w:vertAlign w:val="superscript"/>
        </w:rPr>
      </w:pPr>
    </w:p>
    <w:p>
      <w:pPr>
        <w:ind w:left="660" w:hanging="652"/>
        <w:spacing w:after="0" w:line="244" w:lineRule="auto"/>
        <w:tabs>
          <w:tab w:leader="none" w:pos="66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35"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equity-indexed compensation expense associated with awards that will or may be settled in units.</w:t>
      </w:r>
    </w:p>
    <w:p>
      <w:pPr>
        <w:spacing w:after="0" w:line="144"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gains and losses from the revaluation of foreign currency transactions and monetary assets and liabilities.</w:t>
      </w:r>
    </w:p>
    <w:p>
      <w:pPr>
        <w:spacing w:after="0" w:line="98" w:lineRule="exact"/>
        <w:rPr>
          <w:rFonts w:ascii="Times New Roman" w:cs="Times New Roman" w:eastAsia="Times New Roman" w:hAnsi="Times New Roman"/>
          <w:sz w:val="25"/>
          <w:szCs w:val="25"/>
          <w:color w:val="auto"/>
          <w:vertAlign w:val="superscript"/>
        </w:rPr>
      </w:pPr>
    </w:p>
    <w:p>
      <w:pPr>
        <w:ind w:left="660" w:right="240" w:hanging="652"/>
        <w:spacing w:after="0" w:line="214" w:lineRule="auto"/>
        <w:tabs>
          <w:tab w:leader="none" w:pos="66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costs recognized during the period related to the Line 901 incident that occurred in May 2015, net of amounts we believe are probable of recovery from insurance. See Note 13 for additional information regarding the Line 901 incident.</w:t>
      </w:r>
    </w:p>
    <w:p>
      <w:pPr>
        <w:spacing w:after="0" w:line="90" w:lineRule="exact"/>
        <w:rPr>
          <w:rFonts w:ascii="Times New Roman" w:cs="Times New Roman" w:eastAsia="Times New Roman" w:hAnsi="Times New Roman"/>
          <w:sz w:val="25"/>
          <w:szCs w:val="25"/>
          <w:color w:val="auto"/>
          <w:vertAlign w:val="superscript"/>
        </w:rPr>
      </w:pPr>
    </w:p>
    <w:p>
      <w:pPr>
        <w:ind w:left="660" w:right="40" w:hanging="652"/>
        <w:spacing w:after="0" w:line="218" w:lineRule="auto"/>
        <w:tabs>
          <w:tab w:leader="none" w:pos="66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acquisition-related expenses associated with the acquisition of the Alpha Crude Connector Gathering System (the “ACC Acquisition”). See Note 6 to our Consolidated Financial Statements included in Part IV of our 2017 Annual Report on Form 10-K for additional discussion.</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2017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Capital Projects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 —Analysis of Operating Segments” for further discussion.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Operating Results, Capital Investments and Other Significant Activities</w:t>
      </w:r>
    </w:p>
    <w:p>
      <w:pPr>
        <w:spacing w:after="0" w:line="229"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7"/>
          <w:szCs w:val="17"/>
          <w:color w:val="auto"/>
        </w:rPr>
        <w:t>During the first nine months of 2018, we recognized net income attributable to PAA of $1.099 billion as compared to net income attributable to PAA of $665 million recognized during the first nine months of 2017. The increase in net income attributable to PAA over the comparative periods was driven by:</w:t>
      </w:r>
    </w:p>
    <w:p>
      <w:pPr>
        <w:spacing w:after="0" w:line="138" w:lineRule="exact"/>
        <w:rPr>
          <w:sz w:val="20"/>
          <w:szCs w:val="20"/>
          <w:color w:val="auto"/>
        </w:rPr>
      </w:pPr>
    </w:p>
    <w:p>
      <w:pPr>
        <w:ind w:left="1300" w:right="560" w:hanging="320"/>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favorable results from our Transportation segment, primarily from our pipelines in the Permian Basin region, driven by higher volumes from increased production and our recently completed capital expansion projects;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regional crude oil differentials and higher lease gathering and NGL margins in our Supply and Logistics segment;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depreciation and amortization expense due to net gains recognized during the 2018 period associated with asset sales;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on the sale of a portion of our interest in BridgeTex in the third quarter of 2018; and</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121" w:right="27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1300" w:right="40" w:hanging="320"/>
        <w:spacing w:after="0" w:line="261"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interest expense primarily driven by a lower weighted average debt balance in the 2018 period as a result of our efforts to implement our Leverage Reduction Plan announced in August 2017. See “—Executive Summary—Overview of Operating Results, Capital Investments and Other Significant Activities” in Item 7 of our 2017 Annual Report on Form 10-K for further discussion of our Leverage Reduction Plan; partially offset by</w:t>
      </w:r>
    </w:p>
    <w:p>
      <w:pPr>
        <w:spacing w:after="0" w:line="180"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primarily in our Supply and Logistics segment, associated with the difference between losses recognized in the 2018 period from the mark-to-market of certain derivative instruments, as compared to gains recognized in the prior period;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operating results due to asset sales completed during 2017 and 2018 as part of our divestiture program.</w:t>
      </w:r>
    </w:p>
    <w:p>
      <w:pPr>
        <w:spacing w:after="0" w:line="225"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See further discussion of our operating results in the “—Results of Operations—Analysis of Operating Segments” and “—Other Income and Expenses” sections below.</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invested $1.37 billion in midstream infrastructure projects during the nine months ended September 30, 2018, and we expect expansion capital for the full year of 2018 to be approximately $1.95 billion, which will be primarily focused in the Permian Basin. See the “—Acquisitions and Capital Projects” section below for additional information.</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continued to advance our divestiture program, completing asset sales for total proceeds of approximately $1.3 billion during the nine months ended September 30, 2018, including the sale of a portion of our interest in BridgeTex during the third quarter of 2018. We also paid approximately $653 million of cash distributions to our common unitholders during the nine months ended September 30, 2018. In addition, we paid distributions of $112 million to our Series A preferred unitholders (of which $37 million was paid in-kind and $75 million was paid in cash), and we paid a semi-annual cash distribution of $24.5 million to our Series B preferred unitholders. In October 2018, we declared (i) quarterly cash distributions of $0.30 per common unit (a total distribution of $218 million) and $0.525 per Series A preferred unit (a total distribution of $37 million) to be paid on November 14, 2018 and (ii) the semiannual cash distribution of $30.625 per Series B preferred unit (a total distribution of $24.5 million) to be paid on November 15,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expenditures for acquisition capital, expansion capital and maintenance capital (in millions):</w:t>
      </w:r>
    </w:p>
    <w:p>
      <w:pPr>
        <w:spacing w:after="0" w:line="165"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69"/>
        </w:trPr>
        <w:tc>
          <w:tcPr>
            <w:tcW w:w="834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Acquisition capital </w:t>
            </w:r>
            <w:r>
              <w:rPr>
                <w:rFonts w:ascii="Times New Roman" w:cs="Times New Roman" w:eastAsia="Times New Roman" w:hAnsi="Times New Roman"/>
                <w:sz w:val="25"/>
                <w:szCs w:val="25"/>
                <w:color w:val="auto"/>
                <w:vertAlign w:val="superscript"/>
              </w:rPr>
              <w:t>(1) (2)</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1,325</w:t>
            </w:r>
          </w:p>
        </w:tc>
      </w:tr>
      <w:tr>
        <w:trPr>
          <w:trHeight w:val="270"/>
        </w:trPr>
        <w:tc>
          <w:tcPr>
            <w:tcW w:w="83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Expansion capital </w:t>
            </w:r>
            <w:r>
              <w:rPr>
                <w:rFonts w:ascii="Times New Roman" w:cs="Times New Roman" w:eastAsia="Times New Roman" w:hAnsi="Times New Roman"/>
                <w:sz w:val="25"/>
                <w:szCs w:val="25"/>
                <w:color w:val="auto"/>
                <w:vertAlign w:val="superscript"/>
              </w:rPr>
              <w:t>(2) (3)</w:t>
            </w:r>
          </w:p>
        </w:tc>
        <w:tc>
          <w:tcPr>
            <w:tcW w:w="94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893</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5"/>
                <w:szCs w:val="25"/>
                <w:color w:val="auto"/>
                <w:vertAlign w:val="superscript"/>
              </w:rPr>
              <w:t>(3)</w:t>
            </w: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w:t>
            </w:r>
          </w:p>
        </w:tc>
      </w:tr>
      <w:tr>
        <w:trPr>
          <w:trHeight w:val="237"/>
        </w:trPr>
        <w:tc>
          <w:tcPr>
            <w:tcW w:w="834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2,412</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Acquisition capital for the first nine months of 2017 primarily relates to the ACC Acquisition.</w:t>
      </w:r>
    </w:p>
    <w:p>
      <w:pPr>
        <w:spacing w:after="0" w:line="143" w:lineRule="exact"/>
        <w:rPr>
          <w:rFonts w:ascii="Times New Roman" w:cs="Times New Roman" w:eastAsia="Times New Roman" w:hAnsi="Times New Roman"/>
          <w:sz w:val="25"/>
          <w:szCs w:val="25"/>
          <w:color w:val="auto"/>
          <w:vertAlign w:val="superscript"/>
        </w:rPr>
      </w:pPr>
    </w:p>
    <w:p>
      <w:pPr>
        <w:ind w:left="660" w:right="20" w:hanging="652"/>
        <w:spacing w:after="0" w:line="228" w:lineRule="auto"/>
        <w:tabs>
          <w:tab w:leader="none" w:pos="66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89" w:lineRule="exact"/>
        <w:rPr>
          <w:rFonts w:ascii="Times New Roman" w:cs="Times New Roman" w:eastAsia="Times New Roman" w:hAnsi="Times New Roman"/>
          <w:sz w:val="25"/>
          <w:szCs w:val="25"/>
          <w:color w:val="auto"/>
          <w:vertAlign w:val="superscript"/>
        </w:rPr>
      </w:pPr>
    </w:p>
    <w:p>
      <w:pPr>
        <w:ind w:left="660" w:right="460" w:hanging="652"/>
        <w:spacing w:after="0" w:line="228" w:lineRule="auto"/>
        <w:tabs>
          <w:tab w:leader="none" w:pos="66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Capital Projects</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notable projects in progress during 2018 and the estimated cost for the year ending December 31, 2018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Permian Basin Takeaway Pipeline Projects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925</w:t>
            </w:r>
          </w:p>
        </w:tc>
      </w:tr>
      <w:tr>
        <w:trPr>
          <w:trHeight w:val="243"/>
        </w:trPr>
        <w:tc>
          <w:tcPr>
            <w:tcW w:w="9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Complementary Permian Basin Projects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675</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9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Selected Facilities Projects </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9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Projects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285</w:t>
            </w: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Projected 2018 Expansion Capital Expenditures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1,950</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projects at our St. James, Fort Saskatchewan and Cushing terminals.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an overview of our consolidated financial results calculated in accordance with GAAP (in millions, except per unit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3"/>
                <w:szCs w:val="13"/>
                <w:color w:val="auto"/>
              </w:rPr>
            </w:pPr>
          </w:p>
        </w:tc>
        <w:tc>
          <w:tcPr>
            <w:tcW w:w="112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Transportation Segment Adjusted EBITDA</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174"/>
        </w:trPr>
        <w:tc>
          <w:tcPr>
            <w:tcW w:w="3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Borders>
              <w:bottom w:val="single" w:sz="8" w:color="CCEEFF"/>
            </w:tcBorders>
            <w:vMerge w:val="continue"/>
            <w:shd w:val="clear" w:color="auto" w:fill="CCEEFF"/>
          </w:tcPr>
          <w:p>
            <w:pPr>
              <w:spacing w:after="0"/>
              <w:rPr>
                <w:sz w:val="15"/>
                <w:szCs w:val="15"/>
                <w:color w:val="auto"/>
              </w:rPr>
            </w:pP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vMerge w:val="continue"/>
            <w:shd w:val="clear" w:color="auto" w:fill="CCEEFF"/>
          </w:tcPr>
          <w:p>
            <w:pPr>
              <w:spacing w:after="0"/>
              <w:rPr>
                <w:sz w:val="15"/>
                <w:szCs w:val="15"/>
                <w:color w:val="auto"/>
              </w:rPr>
            </w:pP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vMerge w:val="continue"/>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vMerge w:val="continue"/>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vMerge w:val="continue"/>
            <w:shd w:val="clear" w:color="auto" w:fill="CCEEFF"/>
          </w:tcPr>
          <w:p>
            <w:pPr>
              <w:spacing w:after="0"/>
              <w:rPr>
                <w:sz w:val="15"/>
                <w:szCs w:val="15"/>
                <w:color w:val="auto"/>
              </w:rPr>
            </w:pP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vMerge w:val="continue"/>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2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Facilities Segment Adjusted EBITDA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Supply and Logistics Segment Adjusted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220" w:type="dxa"/>
            <w:vAlign w:val="bottom"/>
            <w:shd w:val="clear" w:color="auto" w:fill="CCEEFF"/>
          </w:tcPr>
          <w:p>
            <w:pPr>
              <w:ind w:left="200"/>
              <w:spacing w:after="0" w:line="262"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of</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unconsolidated entities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5"/>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Selected items impacting comparability -</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5"/>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investment in</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unconsolidated entities</w:t>
            </w:r>
          </w:p>
        </w:tc>
        <w:tc>
          <w:tcPr>
            <w:tcW w:w="22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income/(expense), net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97"/>
        </w:trPr>
        <w:tc>
          <w:tcPr>
            <w:tcW w:w="3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57"/>
        </w:trPr>
        <w:tc>
          <w:tcPr>
            <w:tcW w:w="3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income/(loss) per common unit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weighted average common units</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common units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ind w:left="660" w:right="140" w:hanging="652"/>
        <w:spacing w:after="0" w:line="228" w:lineRule="auto"/>
        <w:tabs>
          <w:tab w:leader="none" w:pos="660"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14 to our Condensed Consolidated Financial Statements for additional discussion of such adjustments.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and losses on significant asset sales of unconsolidated entities) and gains on sales of investments in unconsolidated entities, adjusted for certain selected items impacting comparability (“Adjusted EBITDA”) and implied distributable cash flow (“DCF”).</w:t>
      </w:r>
    </w:p>
    <w:p>
      <w:pPr>
        <w:spacing w:after="0" w:line="18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and Implied DCF are reconciled to Net Income, the most directly comparable measure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21" w:right="2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reconciliation of these non-GAAP financial performance measures from Net Income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9"/>
        </w:trPr>
        <w:tc>
          <w:tcPr>
            <w:tcW w:w="3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667</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Add/(Subtract):</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5"/>
        </w:trPr>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of</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120" w:type="dxa"/>
            <w:vAlign w:val="bottom"/>
          </w:tcPr>
          <w:p>
            <w:pPr>
              <w:ind w:left="360"/>
              <w:spacing w:after="0" w:line="262" w:lineRule="exact"/>
              <w:rPr>
                <w:sz w:val="20"/>
                <w:szCs w:val="20"/>
                <w:color w:val="auto"/>
              </w:rPr>
            </w:pPr>
            <w:r>
              <w:rPr>
                <w:rFonts w:ascii="Times New Roman" w:cs="Times New Roman" w:eastAsia="Times New Roman" w:hAnsi="Times New Roman"/>
                <w:sz w:val="18"/>
                <w:szCs w:val="18"/>
                <w:color w:val="auto"/>
              </w:rPr>
              <w:t xml:space="preserve">unconsolidated entities </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5"/>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sale of investment in</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unconsolidated entities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righ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Selected Items Impacting</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Comparability:</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(Gains)/losses from derivative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activities net of inventory valuation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120" w:type="dxa"/>
            <w:vAlign w:val="bottom"/>
            <w:shd w:val="clear" w:color="auto" w:fill="CCEEFF"/>
          </w:tcPr>
          <w:p>
            <w:pPr>
              <w:ind w:left="520"/>
              <w:spacing w:after="0" w:line="262"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inventory costing</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120" w:type="dxa"/>
            <w:vAlign w:val="bottom"/>
          </w:tcPr>
          <w:p>
            <w:pPr>
              <w:ind w:left="520"/>
              <w:spacing w:after="0" w:line="262"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5"/>
                <w:szCs w:val="25"/>
                <w:color w:val="auto"/>
                <w:vertAlign w:val="superscript"/>
              </w:rPr>
              <w:t>(3)</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Deficiencies under minimum volume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120" w:type="dxa"/>
            <w:vAlign w:val="bottom"/>
            <w:shd w:val="clear" w:color="auto" w:fill="CCEEFF"/>
          </w:tcPr>
          <w:p>
            <w:pPr>
              <w:ind w:left="520"/>
              <w:spacing w:after="0" w:line="262" w:lineRule="exact"/>
              <w:rPr>
                <w:sz w:val="20"/>
                <w:szCs w:val="20"/>
                <w:color w:val="auto"/>
              </w:rPr>
            </w:pPr>
            <w:r>
              <w:rPr>
                <w:rFonts w:ascii="Times New Roman" w:cs="Times New Roman" w:eastAsia="Times New Roman" w:hAnsi="Times New Roman"/>
                <w:sz w:val="18"/>
                <w:szCs w:val="18"/>
                <w:color w:val="auto"/>
              </w:rPr>
              <w:t xml:space="preserve">commitments, net </w:t>
            </w:r>
            <w:r>
              <w:rPr>
                <w:rFonts w:ascii="Times New Roman" w:cs="Times New Roman" w:eastAsia="Times New Roman" w:hAnsi="Times New Roman"/>
                <w:sz w:val="25"/>
                <w:szCs w:val="25"/>
                <w:color w:val="auto"/>
                <w:vertAlign w:val="superscript"/>
              </w:rPr>
              <w:t>(4)</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Equity-indexed compensation</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120" w:type="dxa"/>
            <w:vAlign w:val="bottom"/>
          </w:tcPr>
          <w:p>
            <w:pPr>
              <w:ind w:left="520"/>
              <w:spacing w:after="0" w:line="262" w:lineRule="exact"/>
              <w:rPr>
                <w:sz w:val="20"/>
                <w:szCs w:val="20"/>
                <w:color w:val="auto"/>
              </w:rPr>
            </w:pPr>
            <w:r>
              <w:rPr>
                <w:rFonts w:ascii="Times New Roman" w:cs="Times New Roman" w:eastAsia="Times New Roman" w:hAnsi="Times New Roman"/>
                <w:sz w:val="18"/>
                <w:szCs w:val="18"/>
                <w:color w:val="auto"/>
              </w:rPr>
              <w:t xml:space="preserve">expense </w:t>
            </w:r>
            <w:r>
              <w:rPr>
                <w:rFonts w:ascii="Times New Roman" w:cs="Times New Roman" w:eastAsia="Times New Roman" w:hAnsi="Times New Roman"/>
                <w:sz w:val="25"/>
                <w:szCs w:val="25"/>
                <w:color w:val="auto"/>
                <w:vertAlign w:val="superscript"/>
              </w:rPr>
              <w:t>(5)</w:t>
            </w:r>
          </w:p>
        </w:tc>
        <w:tc>
          <w:tcPr>
            <w:tcW w:w="20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(gain)/loss on foreign currency</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120" w:type="dxa"/>
            <w:vAlign w:val="bottom"/>
            <w:shd w:val="clear" w:color="auto" w:fill="CCEEFF"/>
          </w:tcPr>
          <w:p>
            <w:pPr>
              <w:ind w:left="520"/>
              <w:spacing w:after="0" w:line="262" w:lineRule="exact"/>
              <w:rPr>
                <w:sz w:val="20"/>
                <w:szCs w:val="20"/>
                <w:color w:val="auto"/>
              </w:rPr>
            </w:pPr>
            <w:r>
              <w:rPr>
                <w:rFonts w:ascii="Times New Roman" w:cs="Times New Roman" w:eastAsia="Times New Roman" w:hAnsi="Times New Roman"/>
                <w:sz w:val="18"/>
                <w:szCs w:val="18"/>
                <w:color w:val="auto"/>
              </w:rPr>
              <w:t xml:space="preserve">revaluation </w:t>
            </w:r>
            <w:r>
              <w:rPr>
                <w:rFonts w:ascii="Times New Roman" w:cs="Times New Roman" w:eastAsia="Times New Roman" w:hAnsi="Times New Roman"/>
                <w:sz w:val="25"/>
                <w:szCs w:val="25"/>
                <w:color w:val="auto"/>
                <w:vertAlign w:val="superscript"/>
              </w:rPr>
              <w:t>(6)</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2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 xml:space="preserve">Line 901 incident </w:t>
            </w:r>
            <w:r>
              <w:rPr>
                <w:rFonts w:ascii="Times New Roman" w:cs="Times New Roman" w:eastAsia="Times New Roman" w:hAnsi="Times New Roman"/>
                <w:sz w:val="25"/>
                <w:szCs w:val="25"/>
                <w:color w:val="auto"/>
                <w:vertAlign w:val="superscript"/>
              </w:rPr>
              <w:t>(7)</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Significant acquisition-related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120" w:type="dxa"/>
            <w:vAlign w:val="bottom"/>
            <w:shd w:val="clear" w:color="auto" w:fill="CCEEFF"/>
          </w:tcPr>
          <w:p>
            <w:pPr>
              <w:ind w:left="520"/>
              <w:spacing w:after="0" w:line="262"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5"/>
                <w:szCs w:val="25"/>
                <w:color w:val="auto"/>
                <w:vertAlign w:val="superscript"/>
              </w:rPr>
              <w:t>(8)</w:t>
            </w: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3120" w:type="dxa"/>
            <w:vAlign w:val="bottom"/>
          </w:tcPr>
          <w:p>
            <w:pPr>
              <w:ind w:left="200"/>
              <w:spacing w:after="0" w:line="205" w:lineRule="exact"/>
              <w:rPr>
                <w:sz w:val="20"/>
                <w:szCs w:val="20"/>
                <w:color w:val="auto"/>
              </w:rPr>
            </w:pPr>
            <w:r>
              <w:rPr>
                <w:rFonts w:ascii="Times New Roman" w:cs="Times New Roman" w:eastAsia="Times New Roman" w:hAnsi="Times New Roman"/>
                <w:sz w:val="18"/>
                <w:szCs w:val="18"/>
                <w:color w:val="auto"/>
              </w:rPr>
              <w:t>Selected Items Impacting</w:t>
            </w: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Comparability - Segment Adjusted</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(Gains)/losses from derivative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120" w:type="dxa"/>
            <w:vAlign w:val="bottom"/>
            <w:shd w:val="clear" w:color="auto" w:fill="CCEEFF"/>
          </w:tcPr>
          <w:p>
            <w:pPr>
              <w:ind w:left="520"/>
              <w:spacing w:after="0" w:line="262" w:lineRule="exact"/>
              <w:rPr>
                <w:sz w:val="20"/>
                <w:szCs w:val="20"/>
                <w:color w:val="auto"/>
              </w:rPr>
            </w:pPr>
            <w:r>
              <w:rPr>
                <w:rFonts w:ascii="Times New Roman" w:cs="Times New Roman" w:eastAsia="Times New Roman" w:hAnsi="Times New Roman"/>
                <w:sz w:val="18"/>
                <w:szCs w:val="18"/>
                <w:color w:val="auto"/>
              </w:rPr>
              <w:t xml:space="preserve">activities </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(gain)/loss on foreign currency</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120" w:type="dxa"/>
            <w:vAlign w:val="bottom"/>
            <w:tcBorders>
              <w:bottom w:val="single" w:sz="8" w:color="CCEEFF"/>
            </w:tcBorders>
          </w:tcPr>
          <w:p>
            <w:pPr>
              <w:ind w:left="520"/>
              <w:spacing w:after="0" w:line="262" w:lineRule="exact"/>
              <w:rPr>
                <w:sz w:val="20"/>
                <w:szCs w:val="20"/>
                <w:color w:val="auto"/>
              </w:rPr>
            </w:pPr>
            <w:r>
              <w:rPr>
                <w:rFonts w:ascii="Times New Roman" w:cs="Times New Roman" w:eastAsia="Times New Roman" w:hAnsi="Times New Roman"/>
                <w:sz w:val="18"/>
                <w:szCs w:val="18"/>
                <w:color w:val="auto"/>
              </w:rPr>
              <w:t xml:space="preserve">revaluation </w:t>
            </w:r>
            <w:r>
              <w:rPr>
                <w:rFonts w:ascii="Times New Roman" w:cs="Times New Roman" w:eastAsia="Times New Roman" w:hAnsi="Times New Roman"/>
                <w:sz w:val="25"/>
                <w:szCs w:val="25"/>
                <w:color w:val="auto"/>
                <w:vertAlign w:val="superscript"/>
              </w:rPr>
              <w:t>(6)</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3120" w:type="dxa"/>
            <w:vAlign w:val="bottom"/>
            <w:shd w:val="clear" w:color="auto" w:fill="CCEEFF"/>
          </w:tcPr>
          <w:p>
            <w:pPr>
              <w:ind w:left="200"/>
              <w:spacing w:after="0" w:line="205" w:lineRule="exact"/>
              <w:rPr>
                <w:sz w:val="20"/>
                <w:szCs w:val="20"/>
                <w:color w:val="auto"/>
              </w:rPr>
            </w:pPr>
            <w:r>
              <w:rPr>
                <w:rFonts w:ascii="Times New Roman" w:cs="Times New Roman" w:eastAsia="Times New Roman" w:hAnsi="Times New Roman"/>
                <w:sz w:val="18"/>
                <w:szCs w:val="18"/>
                <w:color w:val="auto"/>
              </w:rPr>
              <w:t>Selected Items Impacting</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Comparability - Adjusted</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120" w:type="dxa"/>
            <w:vAlign w:val="bottom"/>
            <w:shd w:val="clear" w:color="auto" w:fill="CCEEFF"/>
          </w:tcPr>
          <w:p>
            <w:pPr>
              <w:ind w:left="360"/>
              <w:spacing w:after="0" w:line="262"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5"/>
                <w:szCs w:val="25"/>
                <w:color w:val="auto"/>
                <w:vertAlign w:val="superscript"/>
              </w:rPr>
              <w:t>(9)</w:t>
            </w: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312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5"/>
                <w:szCs w:val="25"/>
                <w:color w:val="auto"/>
                <w:vertAlign w:val="superscript"/>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1,452</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51"/>
        </w:trPr>
        <w:tc>
          <w:tcPr>
            <w:tcW w:w="3120" w:type="dxa"/>
            <w:vAlign w:val="bottom"/>
            <w:tcBorders>
              <w:top w:val="single" w:sz="8" w:color="CCEEFF"/>
            </w:tcBorders>
            <w:shd w:val="clear" w:color="auto" w:fill="CCEEFF"/>
          </w:tcPr>
          <w:p>
            <w:pPr>
              <w:ind w:left="200"/>
              <w:spacing w:after="0" w:line="251"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5"/>
                <w:szCs w:val="25"/>
                <w:color w:val="auto"/>
                <w:vertAlign w:val="superscript"/>
              </w:rPr>
              <w:t>(10)</w:t>
            </w:r>
          </w:p>
        </w:tc>
        <w:tc>
          <w:tcPr>
            <w:tcW w:w="2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Borders>
              <w:top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70"/>
        </w:trPr>
        <w:tc>
          <w:tcPr>
            <w:tcW w:w="3120" w:type="dxa"/>
            <w:vAlign w:val="bottom"/>
          </w:tcPr>
          <w:p>
            <w:pPr>
              <w:ind w:left="200"/>
              <w:spacing w:after="0" w:line="270"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5"/>
                <w:szCs w:val="25"/>
                <w:color w:val="auto"/>
                <w:vertAlign w:val="superscript"/>
              </w:rPr>
              <w:t>(11)</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income tax (expense)/benefit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5"/>
        </w:trPr>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Adjusted equity earnings in</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unconsolidated entities, net of</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120" w:type="dxa"/>
            <w:vAlign w:val="bottom"/>
          </w:tcPr>
          <w:p>
            <w:pPr>
              <w:ind w:left="360"/>
              <w:spacing w:after="0" w:line="262" w:lineRule="exact"/>
              <w:rPr>
                <w:sz w:val="20"/>
                <w:szCs w:val="20"/>
                <w:color w:val="auto"/>
              </w:rPr>
            </w:pPr>
            <w:r>
              <w:rPr>
                <w:rFonts w:ascii="Times New Roman" w:cs="Times New Roman" w:eastAsia="Times New Roman" w:hAnsi="Times New Roman"/>
                <w:sz w:val="18"/>
                <w:szCs w:val="18"/>
                <w:color w:val="auto"/>
              </w:rPr>
              <w:t xml:space="preserve">distributions </w:t>
            </w:r>
            <w:r>
              <w:rPr>
                <w:rFonts w:ascii="Times New Roman" w:cs="Times New Roman" w:eastAsia="Times New Roman" w:hAnsi="Times New Roman"/>
                <w:sz w:val="25"/>
                <w:szCs w:val="25"/>
                <w:color w:val="auto"/>
                <w:vertAlign w:val="superscript"/>
              </w:rPr>
              <w:t>(12)</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200" w:type="dxa"/>
            <w:vAlign w:val="bottom"/>
            <w:shd w:val="clear" w:color="auto" w:fill="CCEEFF"/>
          </w:tcPr>
          <w:p>
            <w:pPr>
              <w:spacing w:after="0"/>
              <w:rPr>
                <w:sz w:val="19"/>
                <w:szCs w:val="19"/>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94"/>
        </w:trPr>
        <w:tc>
          <w:tcPr>
            <w:tcW w:w="3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Implied DCF </w:t>
            </w:r>
            <w:r>
              <w:rPr>
                <w:rFonts w:ascii="Times New Roman" w:cs="Times New Roman" w:eastAsia="Times New Roman" w:hAnsi="Times New Roman"/>
                <w:sz w:val="25"/>
                <w:szCs w:val="25"/>
                <w:color w:val="auto"/>
                <w:vertAlign w:val="superscript"/>
              </w:rPr>
              <w:t>(14)</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0"/>
              <w:spacing w:after="0" w:line="270" w:lineRule="exact"/>
              <w:rPr>
                <w:sz w:val="20"/>
                <w:szCs w:val="20"/>
                <w:color w:val="auto"/>
              </w:rPr>
            </w:pPr>
            <w:r>
              <w:rPr>
                <w:rFonts w:ascii="Times New Roman" w:cs="Times New Roman" w:eastAsia="Times New Roman" w:hAnsi="Times New Roman"/>
                <w:sz w:val="18"/>
                <w:szCs w:val="18"/>
                <w:color w:val="auto"/>
              </w:rPr>
              <w:t xml:space="preserve">Preferred unit distributions </w:t>
            </w:r>
            <w:r>
              <w:rPr>
                <w:rFonts w:ascii="Times New Roman" w:cs="Times New Roman" w:eastAsia="Times New Roman" w:hAnsi="Times New Roman"/>
                <w:sz w:val="25"/>
                <w:szCs w:val="25"/>
                <w:color w:val="auto"/>
                <w:vertAlign w:val="superscript"/>
              </w:rPr>
              <w:t>(15)</w:t>
            </w: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5"/>
        </w:trPr>
        <w:tc>
          <w:tcPr>
            <w:tcW w:w="31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Implied DCF Available to Common</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298</w:t>
            </w: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17"/>
                <w:szCs w:val="17"/>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891</w:t>
            </w: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81"/>
        </w:trPr>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Unitholders</w:t>
            </w:r>
          </w:p>
        </w:tc>
        <w:tc>
          <w:tcPr>
            <w:tcW w:w="20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20" w:type="dxa"/>
            <w:vAlign w:val="bottom"/>
            <w:tcBorders>
              <w:top w:val="single" w:sz="8" w:color="CCEEFF"/>
            </w:tcBorders>
            <w:shd w:val="clear" w:color="auto" w:fill="CCEEFF"/>
          </w:tcPr>
          <w:p>
            <w:pPr>
              <w:ind w:left="200"/>
              <w:spacing w:after="0" w:line="257" w:lineRule="exact"/>
              <w:rPr>
                <w:sz w:val="20"/>
                <w:szCs w:val="20"/>
                <w:color w:val="auto"/>
              </w:rPr>
            </w:pPr>
            <w:r>
              <w:rPr>
                <w:rFonts w:ascii="Times New Roman" w:cs="Times New Roman" w:eastAsia="Times New Roman" w:hAnsi="Times New Roman"/>
                <w:sz w:val="18"/>
                <w:szCs w:val="18"/>
                <w:color w:val="auto"/>
              </w:rPr>
              <w:t xml:space="preserve">Common unit cash distributions </w:t>
            </w:r>
            <w:r>
              <w:rPr>
                <w:rFonts w:ascii="Times New Roman" w:cs="Times New Roman" w:eastAsia="Times New Roman" w:hAnsi="Times New Roman"/>
                <w:sz w:val="25"/>
                <w:szCs w:val="25"/>
                <w:color w:val="auto"/>
                <w:vertAlign w:val="superscript"/>
              </w:rPr>
              <w:t>(13)</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right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2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Implied DCF Excess/(Shortage) </w:t>
            </w:r>
            <w:r>
              <w:rPr>
                <w:rFonts w:ascii="Times New Roman" w:cs="Times New Roman" w:eastAsia="Times New Roman" w:hAnsi="Times New Roman"/>
                <w:sz w:val="25"/>
                <w:szCs w:val="25"/>
                <w:color w:val="auto"/>
                <w:vertAlign w:val="superscript"/>
              </w:rPr>
              <w:t>(16)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2504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50" w:lineRule="exact"/>
        <w:rPr>
          <w:sz w:val="20"/>
          <w:szCs w:val="20"/>
          <w:color w:val="auto"/>
        </w:rPr>
      </w:pPr>
    </w:p>
    <w:p>
      <w:pPr>
        <w:ind w:left="660" w:right="40" w:hanging="652"/>
        <w:spacing w:after="0" w:line="223" w:lineRule="auto"/>
        <w:tabs>
          <w:tab w:leader="none" w:pos="66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Over the past several years, we have increased our participation in pipeline strategic joint ventures, which are accounted for under the equity method of accounting. We exclude our proportionate share of the depreciation and amortization expense and gains and losses on significant asset sales of such unconsolidated entities when reviewing Adjusted EBITDA, similar to our consolidated assets.</w:t>
      </w:r>
    </w:p>
    <w:p>
      <w:pPr>
        <w:spacing w:after="0" w:line="144" w:lineRule="exact"/>
        <w:rPr>
          <w:rFonts w:ascii="Times New Roman" w:cs="Times New Roman" w:eastAsia="Times New Roman" w:hAnsi="Times New Roman"/>
          <w:sz w:val="25"/>
          <w:szCs w:val="25"/>
          <w:color w:val="auto"/>
          <w:vertAlign w:val="superscript"/>
        </w:rPr>
      </w:pPr>
    </w:p>
    <w:p>
      <w:pPr>
        <w:ind w:left="660" w:right="20" w:hanging="652"/>
        <w:spacing w:after="0" w:line="242" w:lineRule="auto"/>
        <w:tabs>
          <w:tab w:leader="none" w:pos="66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 See Note 11 to our Condensed Consolidated Financial Statements for a comprehensive discussion regarding our derivatives and risk management activities and our Preferred Distribution Rate Reset Option.</w:t>
      </w:r>
    </w:p>
    <w:p>
      <w:pPr>
        <w:spacing w:after="0" w:line="93" w:lineRule="exact"/>
        <w:rPr>
          <w:rFonts w:ascii="Times New Roman" w:cs="Times New Roman" w:eastAsia="Times New Roman" w:hAnsi="Times New Roman"/>
          <w:sz w:val="25"/>
          <w:szCs w:val="25"/>
          <w:color w:val="auto"/>
          <w:vertAlign w:val="superscript"/>
        </w:rPr>
      </w:pPr>
    </w:p>
    <w:p>
      <w:pPr>
        <w:ind w:left="660" w:hanging="652"/>
        <w:spacing w:after="0" w:line="253" w:lineRule="auto"/>
        <w:tabs>
          <w:tab w:leader="none" w:pos="66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included in Part IV of our 2017 Annual Report on Form 10-K for additional inventory disclosures.</w:t>
      </w:r>
    </w:p>
    <w:p>
      <w:pPr>
        <w:spacing w:after="0" w:line="83" w:lineRule="exact"/>
        <w:rPr>
          <w:rFonts w:ascii="Times New Roman" w:cs="Times New Roman" w:eastAsia="Times New Roman" w:hAnsi="Times New Roman"/>
          <w:sz w:val="24"/>
          <w:szCs w:val="24"/>
          <w:color w:val="auto"/>
          <w:vertAlign w:val="superscript"/>
        </w:rPr>
      </w:pPr>
    </w:p>
    <w:p>
      <w:pPr>
        <w:ind w:left="660" w:hanging="652"/>
        <w:spacing w:after="0" w:line="244" w:lineRule="auto"/>
        <w:tabs>
          <w:tab w:leader="none" w:pos="66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8" w:lineRule="exact"/>
        <w:rPr>
          <w:rFonts w:ascii="Times New Roman" w:cs="Times New Roman" w:eastAsia="Times New Roman" w:hAnsi="Times New Roman"/>
          <w:sz w:val="25"/>
          <w:szCs w:val="25"/>
          <w:color w:val="auto"/>
          <w:vertAlign w:val="superscript"/>
        </w:rPr>
      </w:pPr>
    </w:p>
    <w:p>
      <w:pPr>
        <w:ind w:left="660" w:right="20" w:hanging="652"/>
        <w:spacing w:after="0"/>
        <w:tabs>
          <w:tab w:leader="none" w:pos="66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16 to our Consolidated Financial Statements included in Part IV of our 2017 Annual Report on Form 10-K for a comprehensive discussion regarding our equity-indexed compensation plans.</w:t>
      </w:r>
    </w:p>
    <w:p>
      <w:pPr>
        <w:spacing w:after="0" w:line="91" w:lineRule="exact"/>
        <w:rPr>
          <w:rFonts w:ascii="Times New Roman" w:cs="Times New Roman" w:eastAsia="Times New Roman" w:hAnsi="Times New Roman"/>
          <w:sz w:val="25"/>
          <w:szCs w:val="25"/>
          <w:color w:val="auto"/>
          <w:vertAlign w:val="superscript"/>
        </w:rPr>
      </w:pPr>
    </w:p>
    <w:p>
      <w:pPr>
        <w:jc w:val="both"/>
        <w:ind w:left="660" w:right="380" w:hanging="652"/>
        <w:spacing w:after="0" w:line="228" w:lineRule="auto"/>
        <w:tabs>
          <w:tab w:leader="none" w:pos="66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During the periods presented, there were fluctuations in the value of CAD to USD, resulting in gains and losses that were not related to our core operating results for the period and were thus classified as a selected item impacting comparability. See Note 11 to our Condensed Consolidated Financial Statements for discussion regarding our currency exchange rate risk hedging activities.</w:t>
      </w:r>
    </w:p>
    <w:p>
      <w:pPr>
        <w:spacing w:after="0" w:line="89" w:lineRule="exact"/>
        <w:rPr>
          <w:rFonts w:ascii="Times New Roman" w:cs="Times New Roman" w:eastAsia="Times New Roman" w:hAnsi="Times New Roman"/>
          <w:sz w:val="25"/>
          <w:szCs w:val="25"/>
          <w:color w:val="auto"/>
          <w:vertAlign w:val="superscript"/>
        </w:rPr>
      </w:pPr>
    </w:p>
    <w:p>
      <w:pPr>
        <w:jc w:val="both"/>
        <w:ind w:left="660" w:right="240" w:hanging="652"/>
        <w:spacing w:after="0" w:line="228" w:lineRule="auto"/>
        <w:tabs>
          <w:tab w:leader="none" w:pos="66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costs recognized during the period related to the Line 901 incident that occurred in May 2015, net of amounts we believe are probable of recovery from insurance. See Note 17 to our Consolidated Financial Statements included in Part IV of our 2017 Annual Report on Form 10-K for additional information regarding the Line 901 incident.</w:t>
      </w:r>
    </w:p>
    <w:p>
      <w:pPr>
        <w:spacing w:after="0" w:line="36"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acquisition-related expenses associated with the ACC Acquisition in February 2017.</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121" w:right="2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right="200" w:hanging="652"/>
        <w:spacing w:after="0" w:line="218" w:lineRule="auto"/>
        <w:tabs>
          <w:tab w:leader="none" w:pos="66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Adjusted EBITDA includes Other income/(expense), net adjusted for selected items impacting comparability (“Adjusted Other income/(expense), net”). Segment Adjusted EBITDA does not include Adjusted Other income/(expense), net.</w:t>
      </w:r>
    </w:p>
    <w:p>
      <w:pPr>
        <w:spacing w:after="0" w:line="37"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Excludes certain non-cash items impacting interest expense such as amortization of debt issuance costs and terminated interest rate swaps.</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214" w:lineRule="auto"/>
        <w:tabs>
          <w:tab w:leader="none" w:pos="66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90" w:lineRule="exact"/>
        <w:rPr>
          <w:rFonts w:ascii="Times New Roman" w:cs="Times New Roman" w:eastAsia="Times New Roman" w:hAnsi="Times New Roman"/>
          <w:sz w:val="25"/>
          <w:szCs w:val="25"/>
          <w:color w:val="auto"/>
          <w:vertAlign w:val="superscript"/>
        </w:rPr>
      </w:pPr>
    </w:p>
    <w:p>
      <w:pPr>
        <w:ind w:left="660" w:right="400" w:hanging="652"/>
        <w:spacing w:after="0" w:line="218" w:lineRule="auto"/>
        <w:tabs>
          <w:tab w:leader="none" w:pos="66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the difference between non-cash equity earnings in unconsolidated entities (adjusted for our proportionate share of depreciation and amortization and gains and losses on significant asset sales) and cash distributions received from such entities.</w:t>
      </w:r>
    </w:p>
    <w:p>
      <w:pPr>
        <w:spacing w:after="0" w:line="37"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Cash distributions paid during the period presented.</w:t>
      </w:r>
    </w:p>
    <w:p>
      <w:pPr>
        <w:spacing w:after="0" w:line="98" w:lineRule="exact"/>
        <w:rPr>
          <w:rFonts w:ascii="Times New Roman" w:cs="Times New Roman" w:eastAsia="Times New Roman" w:hAnsi="Times New Roman"/>
          <w:sz w:val="25"/>
          <w:szCs w:val="25"/>
          <w:color w:val="auto"/>
          <w:vertAlign w:val="superscript"/>
        </w:rPr>
      </w:pPr>
    </w:p>
    <w:p>
      <w:pPr>
        <w:ind w:left="660" w:right="280" w:hanging="652"/>
        <w:spacing w:after="0" w:line="225" w:lineRule="auto"/>
        <w:tabs>
          <w:tab w:leader="none" w:pos="66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Including net costs recognized during the period related to the Line 901 incident that occurred in May 2015, Implied DCF would have been $879 million for the nine months ended September 30, 2017. See Note 17 to our Consolidated Financial Statements included in Part IV of our 2017 Annual Report on Form 10-K for additional information regarding the Line 901 incident.</w:t>
      </w:r>
    </w:p>
    <w:p>
      <w:pPr>
        <w:spacing w:after="0" w:line="90" w:lineRule="exact"/>
        <w:rPr>
          <w:rFonts w:ascii="Times New Roman" w:cs="Times New Roman" w:eastAsia="Times New Roman" w:hAnsi="Times New Roman"/>
          <w:sz w:val="25"/>
          <w:szCs w:val="25"/>
          <w:color w:val="auto"/>
          <w:vertAlign w:val="superscript"/>
        </w:rPr>
      </w:pPr>
    </w:p>
    <w:p>
      <w:pPr>
        <w:ind w:left="660" w:right="100" w:hanging="652"/>
        <w:spacing w:after="0" w:line="238" w:lineRule="auto"/>
        <w:tabs>
          <w:tab w:leader="none" w:pos="66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were paid in cash beginning with the May 2018 quarterly distribution. The current $61.25 per unit annual distribution requirement of our Series B preferred units, which were issued in October 2017, is payable semi-annually in arrears on May 15 and November 15. See Note 11 to our Consolidated Financial Statements included in Part IV of our 2017 Annual Report on Form 10-K for additional information regarding our preferred units.</w:t>
      </w:r>
    </w:p>
    <w:p>
      <w:pPr>
        <w:spacing w:after="0" w:line="93" w:lineRule="exact"/>
        <w:rPr>
          <w:rFonts w:ascii="Times New Roman" w:cs="Times New Roman" w:eastAsia="Times New Roman" w:hAnsi="Times New Roman"/>
          <w:sz w:val="25"/>
          <w:szCs w:val="25"/>
          <w:color w:val="auto"/>
          <w:vertAlign w:val="superscript"/>
        </w:rPr>
      </w:pPr>
    </w:p>
    <w:p>
      <w:pPr>
        <w:ind w:left="660" w:right="340" w:hanging="652"/>
        <w:spacing w:after="0" w:line="218" w:lineRule="auto"/>
        <w:tabs>
          <w:tab w:leader="none" w:pos="66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Excess DCF is retained to establish reserves for future distributions, capital expenditures and other partnership purposes. DCF shortages may be funded from previously established reserves, cash on hand or from borrowings under our credit facilities or commercial paper program.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Operating Segments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and losses on significant asset sales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14 to our Condensed Consolidated Financial Statements for a reconciliation of Segment Adjusted EBITDA to net income attributable to PAA.</w:t>
      </w:r>
    </w:p>
    <w:p>
      <w:pPr>
        <w:spacing w:after="0" w:line="8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Revenues and expenses from our Canadian based subsidiaries, which use CAD as their functional currency, are translated at the prevailing average exchange rates for the month.</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40" w:top="121" w:right="27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Transportation Segment</w:t>
      </w:r>
    </w:p>
    <w:p>
      <w:pPr>
        <w:spacing w:after="0" w:line="229"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Transportation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3"/>
                <w:szCs w:val="13"/>
                <w:color w:val="auto"/>
              </w:rPr>
            </w:pPr>
          </w:p>
        </w:tc>
        <w:tc>
          <w:tcPr>
            <w:tcW w:w="17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2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9"/>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5"/>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Segment general and administrative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120" w:type="dxa"/>
            <w:vAlign w:val="bottom"/>
            <w:gridSpan w:val="2"/>
          </w:tcPr>
          <w:p>
            <w:pPr>
              <w:ind w:left="200"/>
              <w:spacing w:after="0" w:line="262"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3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earnings in unconsolidated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entities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84"/>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of</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unconsolidated entities</w:t>
            </w: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Gains from derivative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Deficiencies under minimum volume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commitments, net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Line 901 incident</w:t>
            </w:r>
          </w:p>
        </w:tc>
        <w:tc>
          <w:tcPr>
            <w:tcW w:w="2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Significant acquisition-related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67"/>
        </w:trPr>
        <w:tc>
          <w:tcPr>
            <w:tcW w:w="30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1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Maintenance capital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Segment Adjusted EBITDA per barrel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20" w:type="dxa"/>
            <w:vAlign w:val="bottom"/>
            <w:gridSpan w:val="2"/>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Daily Volumes</w:t>
            </w:r>
          </w:p>
        </w:tc>
        <w:tc>
          <w:tcPr>
            <w:tcW w:w="220" w:type="dxa"/>
            <w:vAlign w:val="bottom"/>
          </w:tcPr>
          <w:p>
            <w:pPr>
              <w:spacing w:after="0"/>
              <w:rPr>
                <w:sz w:val="23"/>
                <w:szCs w:val="23"/>
                <w:color w:val="auto"/>
              </w:rPr>
            </w:pPr>
          </w:p>
        </w:tc>
        <w:tc>
          <w:tcPr>
            <w:tcW w:w="17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3"/>
                <w:szCs w:val="23"/>
                <w:color w:val="auto"/>
              </w:rPr>
            </w:pPr>
          </w:p>
        </w:tc>
        <w:tc>
          <w:tcPr>
            <w:tcW w:w="12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23"/>
                <w:szCs w:val="23"/>
                <w:color w:val="auto"/>
              </w:rPr>
            </w:pPr>
          </w:p>
        </w:tc>
        <w:tc>
          <w:tcPr>
            <w:tcW w:w="12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(in thousands of barrels per day) </w:t>
            </w:r>
            <w:r>
              <w:rPr>
                <w:rFonts w:ascii="Times New Roman" w:cs="Times New Roman" w:eastAsia="Times New Roman" w:hAnsi="Times New Roman"/>
                <w:sz w:val="12"/>
                <w:szCs w:val="12"/>
                <w:b w:val="1"/>
                <w:bCs w:val="1"/>
                <w:color w:val="auto"/>
              </w:rPr>
              <w:t>(4)</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9"/>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Tariff activities volumes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Crude oil pipelines (by region):</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5"/>
                <w:szCs w:val="25"/>
                <w:color w:val="auto"/>
                <w:vertAlign w:val="superscript"/>
              </w:rPr>
              <w:t>(5)</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70"/>
        </w:trPr>
        <w:tc>
          <w:tcPr>
            <w:tcW w:w="3120" w:type="dxa"/>
            <w:vAlign w:val="bottom"/>
            <w:gridSpan w:val="2"/>
          </w:tcPr>
          <w:p>
            <w:pPr>
              <w:ind w:left="360"/>
              <w:spacing w:after="0" w:line="270" w:lineRule="exact"/>
              <w:rPr>
                <w:sz w:val="20"/>
                <w:szCs w:val="20"/>
                <w:color w:val="auto"/>
              </w:rPr>
            </w:pPr>
            <w:r>
              <w:rPr>
                <w:rFonts w:ascii="Times New Roman" w:cs="Times New Roman" w:eastAsia="Times New Roman" w:hAnsi="Times New Roman"/>
                <w:sz w:val="18"/>
                <w:szCs w:val="18"/>
                <w:color w:val="auto"/>
              </w:rPr>
              <w:t xml:space="preserve">South Texas / Eagle Ford </w:t>
            </w:r>
            <w:r>
              <w:rPr>
                <w:rFonts w:ascii="Times New Roman" w:cs="Times New Roman" w:eastAsia="Times New Roman" w:hAnsi="Times New Roman"/>
                <w:sz w:val="25"/>
                <w:szCs w:val="25"/>
                <w:color w:val="auto"/>
                <w:vertAlign w:val="superscript"/>
              </w:rPr>
              <w:t>(5)</w:t>
            </w: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70"/>
        </w:trPr>
        <w:tc>
          <w:tcPr>
            <w:tcW w:w="3120" w:type="dxa"/>
            <w:vAlign w:val="bottom"/>
            <w:gridSpan w:val="2"/>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 xml:space="preserve">Central </w:t>
            </w:r>
            <w:r>
              <w:rPr>
                <w:rFonts w:ascii="Times New Roman" w:cs="Times New Roman" w:eastAsia="Times New Roman" w:hAnsi="Times New Roman"/>
                <w:sz w:val="25"/>
                <w:szCs w:val="25"/>
                <w:color w:val="auto"/>
                <w:vertAlign w:val="superscript"/>
              </w:rPr>
              <w:t>(5)</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Gulf Coast</w:t>
            </w: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5"/>
                <w:szCs w:val="25"/>
                <w:color w:val="auto"/>
                <w:vertAlign w:val="superscript"/>
              </w:rPr>
              <w:t>(5)</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3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Western</w:t>
            </w: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Crude oil pipelines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5,448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4,817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NGL pipelines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7"/>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Tariff activities total volumes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5,920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5,621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Trucking volumes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Transportation segment total volumes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6,015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2504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Revenues and costs and expenses include intersegment amounts.</w:t>
      </w:r>
    </w:p>
    <w:p>
      <w:pPr>
        <w:spacing w:after="0" w:line="98" w:lineRule="exact"/>
        <w:rPr>
          <w:rFonts w:ascii="Times New Roman" w:cs="Times New Roman" w:eastAsia="Times New Roman" w:hAnsi="Times New Roman"/>
          <w:sz w:val="25"/>
          <w:szCs w:val="25"/>
          <w:color w:val="auto"/>
          <w:vertAlign w:val="superscript"/>
        </w:rPr>
      </w:pPr>
    </w:p>
    <w:p>
      <w:pPr>
        <w:ind w:left="660" w:right="160" w:hanging="652"/>
        <w:spacing w:after="0" w:line="224" w:lineRule="auto"/>
        <w:tabs>
          <w:tab w:leader="none" w:pos="66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91" w:lineRule="exact"/>
        <w:rPr>
          <w:rFonts w:ascii="Times New Roman" w:cs="Times New Roman" w:eastAsia="Times New Roman" w:hAnsi="Times New Roman"/>
          <w:sz w:val="24"/>
          <w:szCs w:val="24"/>
          <w:color w:val="auto"/>
          <w:vertAlign w:val="superscript"/>
        </w:rPr>
      </w:pPr>
    </w:p>
    <w:p>
      <w:pPr>
        <w:ind w:left="660" w:right="540" w:hanging="652"/>
        <w:spacing w:after="0" w:line="218" w:lineRule="auto"/>
        <w:tabs>
          <w:tab w:leader="none" w:pos="66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37"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Average daily volumes are calculated as the total volumes (attributable to our interest) for the period divided by the number of days in the period.</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188" w:lineRule="auto"/>
        <w:tabs>
          <w:tab w:leader="none" w:pos="66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Region includes volumes (attributable to our interest) from pipelines owned by unconsolidated entities.</w:t>
      </w:r>
    </w:p>
    <w:p>
      <w:pPr>
        <w:spacing w:after="0" w:line="19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As is common in the pipeline transportation industry, our tariffs incorporate a loss allowance factor. We recognize the allowance volumes collected at fair value.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discussion of items impacting Transportation segment operating results for the periods indicated.</w:t>
      </w:r>
    </w:p>
    <w:p>
      <w:pPr>
        <w:spacing w:after="0" w:line="223" w:lineRule="exact"/>
        <w:rPr>
          <w:sz w:val="20"/>
          <w:szCs w:val="20"/>
          <w:color w:val="auto"/>
        </w:rPr>
      </w:pPr>
    </w:p>
    <w:p>
      <w:pPr>
        <w:ind w:right="500" w:firstLine="69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Purchases and Related Costs, Equity Earnings in Unconsolidated Entities and Volumes. </w:t>
      </w:r>
      <w:r>
        <w:rPr>
          <w:rFonts w:ascii="Times New Roman" w:cs="Times New Roman" w:eastAsia="Times New Roman" w:hAnsi="Times New Roman"/>
          <w:sz w:val="18"/>
          <w:szCs w:val="18"/>
          <w:color w:val="auto"/>
        </w:rPr>
        <w:t>The following table presents variances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purchases and related costs and equity earnings in unconsolidated entities by region for the comparative periods presented:</w:t>
      </w:r>
    </w:p>
    <w:p>
      <w:pPr>
        <w:spacing w:after="0" w:line="8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40" w:type="dxa"/>
            <w:vAlign w:val="bottom"/>
            <w:gridSpan w:val="9"/>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Favorable/(Unfavorable) Variance</w:t>
            </w:r>
          </w:p>
        </w:tc>
        <w:tc>
          <w:tcPr>
            <w:tcW w:w="180" w:type="dxa"/>
            <w:vAlign w:val="bottom"/>
          </w:tcPr>
          <w:p>
            <w:pPr>
              <w:spacing w:after="0"/>
              <w:rPr>
                <w:sz w:val="13"/>
                <w:szCs w:val="13"/>
                <w:color w:val="auto"/>
              </w:rPr>
            </w:pPr>
          </w:p>
        </w:tc>
        <w:tc>
          <w:tcPr>
            <w:tcW w:w="3360" w:type="dxa"/>
            <w:vAlign w:val="bottom"/>
            <w:gridSpan w:val="7"/>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Favorable/(Unfavorable) Variance</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40" w:type="dxa"/>
            <w:vAlign w:val="bottom"/>
            <w:gridSpan w:val="9"/>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2"/>
                <w:szCs w:val="12"/>
                <w:color w:val="auto"/>
              </w:rPr>
            </w:pPr>
          </w:p>
        </w:tc>
        <w:tc>
          <w:tcPr>
            <w:tcW w:w="3360" w:type="dxa"/>
            <w:vAlign w:val="bottom"/>
            <w:gridSpan w:val="7"/>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2018-2017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vMerge w:val="restart"/>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Purchases and</w:t>
            </w:r>
          </w:p>
        </w:tc>
        <w:tc>
          <w:tcPr>
            <w:tcW w:w="200" w:type="dxa"/>
            <w:vAlign w:val="bottom"/>
          </w:tcPr>
          <w:p>
            <w:pPr>
              <w:spacing w:after="0"/>
              <w:rPr>
                <w:sz w:val="12"/>
                <w:szCs w:val="12"/>
                <w:color w:val="auto"/>
              </w:rPr>
            </w:pPr>
          </w:p>
        </w:tc>
        <w:tc>
          <w:tcPr>
            <w:tcW w:w="114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2"/>
                <w:szCs w:val="12"/>
                <w:color w:val="auto"/>
              </w:rPr>
            </w:pPr>
          </w:p>
        </w:tc>
        <w:tc>
          <w:tcPr>
            <w:tcW w:w="9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vMerge w:val="restart"/>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Purchases and</w:t>
            </w:r>
          </w:p>
        </w:tc>
        <w:tc>
          <w:tcPr>
            <w:tcW w:w="200" w:type="dxa"/>
            <w:vAlign w:val="bottom"/>
          </w:tcPr>
          <w:p>
            <w:pPr>
              <w:spacing w:after="0"/>
              <w:rPr>
                <w:sz w:val="12"/>
                <w:szCs w:val="12"/>
                <w:color w:val="auto"/>
              </w:rPr>
            </w:pPr>
          </w:p>
        </w:tc>
        <w:tc>
          <w:tcPr>
            <w:tcW w:w="920" w:type="dxa"/>
            <w:vAlign w:val="bottom"/>
          </w:tcPr>
          <w:p>
            <w:pPr>
              <w:jc w:val="right"/>
              <w:ind w:right="274"/>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2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249"/>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 Basin region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 Texas / Eagle Ford region</w:t>
            </w:r>
          </w:p>
        </w:tc>
        <w:tc>
          <w:tcPr>
            <w:tcW w:w="20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Central region</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Gulf Coast region</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Rocky Mountain region</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regions (including trucking</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pipeline loss allowance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variance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980" w:hanging="324"/>
        <w:spacing w:after="0" w:line="25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Permian Basin region. </w:t>
      </w:r>
      <w:r>
        <w:rPr>
          <w:rFonts w:ascii="Times New Roman" w:cs="Times New Roman" w:eastAsia="Times New Roman" w:hAnsi="Times New Roman"/>
          <w:sz w:val="18"/>
          <w:szCs w:val="18"/>
          <w:color w:val="auto"/>
        </w:rPr>
        <w:t>Total revenues, net of purchases and related costs, and equity earnings in unconsolidated entities increased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$64 million and $176 million, respectively, for the three- and nine-month comparative periods primarily due to higher volumes from increased production and our recently completed capital expansion projects. For the three and nine months ended September 30, 2018, these increases included (i) higher volumes on our gathering systems of approximately 350,000 and 339,000 barrels per day, respectively, primarily on our Pinon and Spraberry pipelines and ACC system, (ii) higher volumes of approximately 415,000 and 381,000 barrels per day, respectively, on our intra-basin pipelines and (iii) a volume increase of approximately 152,000 and 169,000 barrels per day, respectively, on our long-haul pipelines, including our equity interest in BridgeTex.</w:t>
      </w:r>
    </w:p>
    <w:p>
      <w:pPr>
        <w:spacing w:after="0" w:line="183" w:lineRule="exact"/>
        <w:rPr>
          <w:rFonts w:ascii="Times New Roman" w:cs="Times New Roman" w:eastAsia="Times New Roman" w:hAnsi="Times New Roman"/>
          <w:sz w:val="18"/>
          <w:szCs w:val="18"/>
          <w:color w:val="auto"/>
        </w:rPr>
      </w:pPr>
    </w:p>
    <w:p>
      <w:pPr>
        <w:ind w:left="980" w:right="320" w:hanging="324"/>
        <w:spacing w:after="0" w:line="284"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South Texas / Eagle Ford region. </w:t>
      </w:r>
      <w:r>
        <w:rPr>
          <w:rFonts w:ascii="Times New Roman" w:cs="Times New Roman" w:eastAsia="Times New Roman" w:hAnsi="Times New Roman"/>
          <w:sz w:val="18"/>
          <w:szCs w:val="18"/>
          <w:color w:val="auto"/>
        </w:rPr>
        <w:t>Revenues increased for each of the comparative periods presented due to higher receipts on certain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gathering systems.</w:t>
      </w:r>
    </w:p>
    <w:p>
      <w:pPr>
        <w:spacing w:after="0" w:line="160" w:lineRule="exact"/>
        <w:rPr>
          <w:rFonts w:ascii="Times New Roman" w:cs="Times New Roman" w:eastAsia="Times New Roman" w:hAnsi="Times New Roman"/>
          <w:sz w:val="18"/>
          <w:szCs w:val="18"/>
          <w:color w:val="auto"/>
        </w:rPr>
      </w:pPr>
    </w:p>
    <w:p>
      <w:pPr>
        <w:ind w:left="980" w:right="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earnings from our 50% interest in Eagle Ford Pipeline LLC was favorably impacted for each of the comparative periods by higher volumes from our Cactus pipeline. For the three-month comparative period, such</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20"/>
          </w:cols>
          <w:pgMar w:left="24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980" w:right="80"/>
        <w:spacing w:after="0" w:line="282" w:lineRule="auto"/>
        <w:rPr>
          <w:sz w:val="20"/>
          <w:szCs w:val="20"/>
          <w:color w:val="auto"/>
        </w:rPr>
      </w:pPr>
      <w:r>
        <w:rPr>
          <w:rFonts w:ascii="Times New Roman" w:cs="Times New Roman" w:eastAsia="Times New Roman" w:hAnsi="Times New Roman"/>
          <w:sz w:val="18"/>
          <w:szCs w:val="18"/>
          <w:color w:val="auto"/>
        </w:rPr>
        <w:t>favorable impact was offset by the recognition of deferred revenue in the 2017 period, for which there was no corresponding impact in the 2018 period.</w:t>
      </w:r>
    </w:p>
    <w:p>
      <w:pPr>
        <w:spacing w:after="0" w:line="160" w:lineRule="exact"/>
        <w:rPr>
          <w:sz w:val="20"/>
          <w:szCs w:val="20"/>
          <w:color w:val="auto"/>
        </w:rPr>
      </w:pPr>
    </w:p>
    <w:p>
      <w:pPr>
        <w:ind w:left="980" w:right="40" w:hanging="324"/>
        <w:spacing w:after="0" w:line="261"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 region. </w:t>
      </w:r>
      <w:r>
        <w:rPr>
          <w:rFonts w:ascii="Times New Roman" w:cs="Times New Roman" w:eastAsia="Times New Roman" w:hAnsi="Times New Roman"/>
          <w:sz w:val="18"/>
          <w:szCs w:val="18"/>
          <w:color w:val="auto"/>
        </w:rPr>
        <w:t>The decrease in revenues for each of the comparative periods was primarily due to the sale of certain of our Mid-Continent Area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assets in the fourth quarter of 2017, including the sale of a portion of our interest in our Midway pipeline for which our remaining interest is now accounted for under the equity method of accounting. However, such unfavorable results were partially offset by additional movements on our Red River pipeline in the 2018 periods.</w:t>
      </w:r>
    </w:p>
    <w:p>
      <w:pPr>
        <w:spacing w:after="0" w:line="182" w:lineRule="exact"/>
        <w:rPr>
          <w:rFonts w:ascii="Times New Roman" w:cs="Times New Roman" w:eastAsia="Times New Roman" w:hAnsi="Times New Roman"/>
          <w:sz w:val="18"/>
          <w:szCs w:val="18"/>
          <w:color w:val="auto"/>
        </w:rPr>
      </w:pPr>
    </w:p>
    <w:p>
      <w:pPr>
        <w:jc w:val="both"/>
        <w:ind w:left="98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earnings increased for each of the comparative periods from (i) our 50% interest in the Diamond joint venture pipeline, which was placed in service in late 2017, and (ii) our 50% interest in Midway pipeline, which we account for under the equity method of accounting following the sale of a portion of our interest in the pipeline in the fourth quarter of 2017, as discussed above.</w:t>
      </w:r>
    </w:p>
    <w:p>
      <w:pPr>
        <w:spacing w:after="0" w:line="174" w:lineRule="exact"/>
        <w:rPr>
          <w:rFonts w:ascii="Times New Roman" w:cs="Times New Roman" w:eastAsia="Times New Roman" w:hAnsi="Times New Roman"/>
          <w:sz w:val="18"/>
          <w:szCs w:val="18"/>
          <w:color w:val="auto"/>
        </w:rPr>
      </w:pPr>
    </w:p>
    <w:p>
      <w:pPr>
        <w:ind w:left="980" w:right="240" w:hanging="324"/>
        <w:spacing w:after="0" w:line="284"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Gulf Coast Region. </w:t>
      </w:r>
      <w:r>
        <w:rPr>
          <w:rFonts w:ascii="Times New Roman" w:cs="Times New Roman" w:eastAsia="Times New Roman" w:hAnsi="Times New Roman"/>
          <w:sz w:val="18"/>
          <w:szCs w:val="18"/>
          <w:color w:val="auto"/>
        </w:rPr>
        <w:t>The decrease in revenues for each of the comparative periods was primarily due to lower volumes on the Capline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once the Diamond joint venture pipeline was placed in service in late 2017.</w:t>
      </w:r>
    </w:p>
    <w:p>
      <w:pPr>
        <w:spacing w:after="0" w:line="158" w:lineRule="exact"/>
        <w:rPr>
          <w:rFonts w:ascii="Times New Roman" w:cs="Times New Roman" w:eastAsia="Times New Roman" w:hAnsi="Times New Roman"/>
          <w:sz w:val="18"/>
          <w:szCs w:val="18"/>
          <w:color w:val="auto"/>
        </w:rPr>
      </w:pPr>
    </w:p>
    <w:p>
      <w:pPr>
        <w:jc w:val="both"/>
        <w:ind w:left="980" w:right="360" w:hanging="324"/>
        <w:spacing w:after="0" w:line="267" w:lineRule="auto"/>
        <w:tabs>
          <w:tab w:leader="none" w:pos="98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Rocky Mountain Region. </w:t>
      </w:r>
      <w:r>
        <w:rPr>
          <w:rFonts w:ascii="Times New Roman" w:cs="Times New Roman" w:eastAsia="Times New Roman" w:hAnsi="Times New Roman"/>
          <w:sz w:val="18"/>
          <w:szCs w:val="18"/>
          <w:color w:val="auto"/>
        </w:rPr>
        <w:t>The decrease in revenues and volumes for each of the comparative periods was primarily due to the sale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pipelines and related assets in the fourth quarter of 2017 and the second quarter of 2018, partially offset by higher volumes on certain of our remaining pipelines.</w:t>
      </w:r>
    </w:p>
    <w:p>
      <w:pPr>
        <w:spacing w:after="0" w:line="173" w:lineRule="exact"/>
        <w:rPr>
          <w:rFonts w:ascii="Times New Roman" w:cs="Times New Roman" w:eastAsia="Times New Roman" w:hAnsi="Times New Roman"/>
          <w:sz w:val="18"/>
          <w:szCs w:val="18"/>
          <w:i w:val="1"/>
          <w:iCs w:val="1"/>
          <w:color w:val="auto"/>
        </w:rPr>
      </w:pPr>
    </w:p>
    <w:p>
      <w:pPr>
        <w:jc w:val="both"/>
        <w:ind w:left="980" w:right="200" w:hanging="324"/>
        <w:spacing w:after="0" w:line="261"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The increase in other revenue for each of the comparative periods was primarily due to greater loss allowance revenue driven by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volumes and prices in the 2018 periods. The decrease in volumes on our Canadian crude oil pipelines for each of the comparative periods was partially due to the temporary outage of a connecting carrier. Additionally, the impact on revenues from the decrease in volumes was partially offset by increased tariff rates on certain of the pipelines.</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Adjustments: Deficiencies under minimum volume commitments, net</w:t>
      </w:r>
      <w:r>
        <w:rPr>
          <w:rFonts w:ascii="Times New Roman" w:cs="Times New Roman" w:eastAsia="Times New Roman" w:hAnsi="Times New Roman"/>
          <w:sz w:val="18"/>
          <w:szCs w:val="18"/>
          <w:color w:val="auto"/>
        </w:rPr>
        <w:t>. Many industry infrastructure projects developed and completed over the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years were underpinned by long-term minimum volume commitment contracts whereby the shipper, based on an expectation of continued production growth, agreed to either: (i) ship and pay for certain stated volumes or (ii) pay the agreed upon price for a minimum contract quantity. During the nine-month 2018 period and the 2017 periods presented in the table above, collections for deficiencies under minimum volume commitments that resulted in deferred revenues and an increase to Segment Adjusted EBITDA more than offset the impact during the periods from (i) shippers that utilized credits associated with previous deficiencies or (ii) credits that expired resulting in the recognition of previously deferred revenue. For the three-month 2018 period, shippers utilized credits associated with previous deficiencies, or such credits expired, offsetting collections for deficiencies and resulting in a net decrease to Segment Adjusted EBITDA.</w:t>
      </w:r>
    </w:p>
    <w:p>
      <w:pPr>
        <w:spacing w:after="0" w:line="18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Field operating costs for the three and nine months ended September 30, 2018 compared to the three and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2017 were impacted by an increase in power related costs resulting from higher volumes, and increases in compensation costs. Such increases were partially offset in the three- and nine-month comparative periods by the sale of assets in the Rocky Mountain region in the fourth quarter of 2017 and the second quarter of 2018. Further, for the nine-month comparative period, the increases were offset by the impact of an increase of estimated costs recognized in the second quarter of 2017 associated with the Line 901 incident (which impact our field operating costs but are excluded from Segment Adjusted EBITDA and thus are reflected as an “Adjustment” in the table above).</w:t>
      </w:r>
    </w:p>
    <w:p>
      <w:pPr>
        <w:spacing w:after="0" w:line="183"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Segment General and Administrative Expenses. </w:t>
      </w:r>
      <w:r>
        <w:rPr>
          <w:rFonts w:ascii="Times New Roman" w:cs="Times New Roman" w:eastAsia="Times New Roman" w:hAnsi="Times New Roman"/>
          <w:sz w:val="18"/>
          <w:szCs w:val="18"/>
          <w:color w:val="auto"/>
        </w:rPr>
        <w:t>The increase in segment general and administrative expenses for the three and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2018 compared to the three and nine months ended September 30, 2017 was primarily driven by an increase in equity-indexed compensation expense due to the impact of an increase in unit price for the 2018 periods compared to a decrease in unit price for the 2017 periods. A portion of equity-indexed compensation expense was associated with awards that will or may be settled in common units (which impact our general and administrative expenses but are excluded from Segment Adjusted EBITDA and thus are reflected as an “Adjustment” in the table above).</w:t>
      </w:r>
    </w:p>
    <w:p>
      <w:pPr>
        <w:spacing w:after="0" w:line="18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increase for the nine-month comparative period was partially offset by acquisition costs incurred in the 2017 period related to the ACC gathering system acquisition (which impact our segment general and administrative expenses but are excluded from Segment Adjusted EBITDA and thus are reflected as an “Adjustment” in the table above).</w:t>
      </w:r>
    </w:p>
    <w:p>
      <w:pPr>
        <w:spacing w:after="0" w:line="174"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Maintenance Capital. </w:t>
      </w:r>
      <w:r>
        <w:rPr>
          <w:rFonts w:ascii="Times New Roman" w:cs="Times New Roman" w:eastAsia="Times New Roman" w:hAnsi="Times New Roman"/>
          <w:sz w:val="18"/>
          <w:szCs w:val="18"/>
          <w:color w:val="auto"/>
        </w:rPr>
        <w:t>Maintenance capital consists of capital expenditures for the replacement and/or refurbishment of partially or fully depreciated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in order to maintain the operating and/or earnings capacity of our existing assets.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increase in maintenance capital for the three and nine months ended September 30, 2018 compared to the same periods in 2017 was primarily due to increased investment in our integrity management program and an operational tank replacement project.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Facilities Segment</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Facilities segment: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3"/>
                <w:szCs w:val="13"/>
                <w:color w:val="auto"/>
              </w:rPr>
            </w:pPr>
          </w:p>
        </w:tc>
        <w:tc>
          <w:tcPr>
            <w:tcW w:w="180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2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2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14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9"/>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220" w:type="dxa"/>
            <w:vAlign w:val="bottom"/>
            <w:gridSpan w:val="5"/>
            <w:vMerge w:val="continue"/>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barrel data)</w:t>
            </w:r>
          </w:p>
        </w:tc>
        <w:tc>
          <w:tcPr>
            <w:tcW w:w="100" w:type="dxa"/>
            <w:vAlign w:val="bottom"/>
            <w:tcBorders>
              <w:bottom w:val="single" w:sz="8" w:color="CCEEFF"/>
            </w:tcBorders>
            <w:gridSpan w:val="2"/>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9"/>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Field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3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Segment general and administrative</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140" w:type="dxa"/>
            <w:vAlign w:val="bottom"/>
            <w:gridSpan w:val="4"/>
          </w:tcPr>
          <w:p>
            <w:pPr>
              <w:ind w:left="200"/>
              <w:spacing w:after="0" w:line="262"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84"/>
        </w:trPr>
        <w:tc>
          <w:tcPr>
            <w:tcW w:w="30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40" w:type="dxa"/>
            <w:vAlign w:val="bottom"/>
            <w:gridSpan w:val="4"/>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1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(Gains)/losses from derivative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4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1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Deficiencies under minimum volume</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commitments, net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140" w:type="dxa"/>
            <w:vAlign w:val="bottom"/>
            <w:tcBorders>
              <w:bottom w:val="single" w:sz="8" w:color="CCEEFF"/>
            </w:tcBorders>
            <w:gridSpan w:val="4"/>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right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1"/>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Segment Adjusted EBITDA per barrel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3"/>
                <w:szCs w:val="23"/>
                <w:color w:val="auto"/>
              </w:rPr>
            </w:pPr>
          </w:p>
        </w:tc>
        <w:tc>
          <w:tcPr>
            <w:tcW w:w="122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23"/>
                <w:szCs w:val="23"/>
                <w:color w:val="auto"/>
              </w:rPr>
            </w:pPr>
          </w:p>
        </w:tc>
        <w:tc>
          <w:tcPr>
            <w:tcW w:w="12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Volumes </w:t>
            </w:r>
            <w:r>
              <w:rPr>
                <w:rFonts w:ascii="Times New Roman" w:cs="Times New Roman" w:eastAsia="Times New Roman" w:hAnsi="Times New Roman"/>
                <w:sz w:val="12"/>
                <w:szCs w:val="12"/>
                <w:b w:val="1"/>
                <w:bCs w:val="1"/>
                <w:color w:val="auto"/>
              </w:rPr>
              <w:t>(4)</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9"/>
              </w:rPr>
              <w:t>Volumes</w:t>
            </w:r>
          </w:p>
        </w:tc>
        <w:tc>
          <w:tcPr>
            <w:tcW w:w="100" w:type="dxa"/>
            <w:vAlign w:val="bottom"/>
            <w:tcBorders>
              <w:bottom w:val="single" w:sz="8" w:color="CCEEFF"/>
            </w:tcBorders>
            <w:gridSpan w:val="2"/>
          </w:tcPr>
          <w:p>
            <w:pPr>
              <w:spacing w:after="0"/>
              <w:rPr>
                <w:sz w:val="22"/>
                <w:szCs w:val="22"/>
                <w:color w:val="auto"/>
              </w:rPr>
            </w:pPr>
          </w:p>
        </w:tc>
        <w:tc>
          <w:tcPr>
            <w:tcW w:w="380" w:type="dxa"/>
            <w:vAlign w:val="bottom"/>
            <w:tcBorders>
              <w:bottom w:val="single" w:sz="8" w:color="auto"/>
            </w:tcBorders>
            <w:gridSpan w:val="2"/>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31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Liquids storage (average monthly</w:t>
            </w:r>
          </w:p>
        </w:tc>
        <w:tc>
          <w:tcPr>
            <w:tcW w:w="20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1"/>
        </w:trPr>
        <w:tc>
          <w:tcPr>
            <w:tcW w:w="31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capacity in millions of barrels)</w:t>
            </w:r>
          </w:p>
        </w:tc>
        <w:tc>
          <w:tcPr>
            <w:tcW w:w="20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Natural gas storage (average monthly</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1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working capacity in billions of cubic</w:t>
            </w:r>
          </w:p>
        </w:tc>
        <w:tc>
          <w:tcPr>
            <w:tcW w:w="200" w:type="dxa"/>
            <w:vAlign w:val="bottom"/>
          </w:tcPr>
          <w:p>
            <w:pPr>
              <w:spacing w:after="0"/>
              <w:rPr>
                <w:sz w:val="18"/>
                <w:szCs w:val="18"/>
                <w:color w:val="auto"/>
              </w:rPr>
            </w:pPr>
          </w:p>
        </w:tc>
        <w:tc>
          <w:tcPr>
            <w:tcW w:w="66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88"/>
        </w:trPr>
        <w:tc>
          <w:tcPr>
            <w:tcW w:w="3140" w:type="dxa"/>
            <w:vAlign w:val="bottom"/>
            <w:gridSpan w:val="4"/>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feet) </w:t>
            </w:r>
            <w:r>
              <w:rPr>
                <w:rFonts w:ascii="Times New Roman" w:cs="Times New Roman" w:eastAsia="Times New Roman" w:hAnsi="Times New Roman"/>
                <w:sz w:val="25"/>
                <w:szCs w:val="25"/>
                <w:color w:val="auto"/>
                <w:vertAlign w:val="superscript"/>
              </w:rPr>
              <w:t>(5)</w:t>
            </w:r>
          </w:p>
        </w:tc>
        <w:tc>
          <w:tcPr>
            <w:tcW w:w="2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120" w:type="dxa"/>
            <w:vAlign w:val="bottom"/>
            <w:tcBorders>
              <w:top w:val="single" w:sz="8" w:color="CCEEFF"/>
            </w:tcBorders>
            <w:gridSpan w:val="3"/>
            <w:shd w:val="clear" w:color="auto" w:fill="CCEEFF"/>
          </w:tcPr>
          <w:p>
            <w:pPr>
              <w:ind w:left="40"/>
              <w:spacing w:after="0" w:line="178" w:lineRule="exact"/>
              <w:rPr>
                <w:sz w:val="20"/>
                <w:szCs w:val="20"/>
                <w:color w:val="auto"/>
              </w:rPr>
            </w:pPr>
            <w:r>
              <w:rPr>
                <w:rFonts w:ascii="Times New Roman" w:cs="Times New Roman" w:eastAsia="Times New Roman" w:hAnsi="Times New Roman"/>
                <w:sz w:val="18"/>
                <w:szCs w:val="18"/>
                <w:color w:val="auto"/>
              </w:rPr>
              <w:t>NGL fractionation (average volumes in</w:t>
            </w: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115</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1"/>
        </w:trPr>
        <w:tc>
          <w:tcPr>
            <w:tcW w:w="31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thousands of barrels per day)</w:t>
            </w:r>
          </w:p>
        </w:tc>
        <w:tc>
          <w:tcPr>
            <w:tcW w:w="20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Facilities segment total volumes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1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(average monthly volumes in millions</w:t>
            </w:r>
          </w:p>
        </w:tc>
        <w:tc>
          <w:tcPr>
            <w:tcW w:w="200" w:type="dxa"/>
            <w:vAlign w:val="bottom"/>
          </w:tcPr>
          <w:p>
            <w:pPr>
              <w:spacing w:after="0"/>
              <w:rPr>
                <w:sz w:val="18"/>
                <w:szCs w:val="18"/>
                <w:color w:val="auto"/>
              </w:rPr>
            </w:pPr>
          </w:p>
        </w:tc>
        <w:tc>
          <w:tcPr>
            <w:tcW w:w="66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3140" w:type="dxa"/>
            <w:vAlign w:val="bottom"/>
            <w:gridSpan w:val="4"/>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of barrels) </w:t>
            </w:r>
            <w:r>
              <w:rPr>
                <w:rFonts w:ascii="Times New Roman" w:cs="Times New Roman" w:eastAsia="Times New Roman" w:hAnsi="Times New Roman"/>
                <w:sz w:val="25"/>
                <w:szCs w:val="25"/>
                <w:color w:val="auto"/>
                <w:vertAlign w:val="superscript"/>
              </w:rPr>
              <w:t>(6)</w:t>
            </w:r>
          </w:p>
        </w:tc>
        <w:tc>
          <w:tcPr>
            <w:tcW w:w="20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Revenues and costs and expenses include intersegment amounts.</w:t>
      </w:r>
    </w:p>
    <w:p>
      <w:pPr>
        <w:spacing w:after="0" w:line="98" w:lineRule="exact"/>
        <w:rPr>
          <w:rFonts w:ascii="Times New Roman" w:cs="Times New Roman" w:eastAsia="Times New Roman" w:hAnsi="Times New Roman"/>
          <w:sz w:val="25"/>
          <w:szCs w:val="25"/>
          <w:color w:val="auto"/>
          <w:vertAlign w:val="superscript"/>
        </w:rPr>
      </w:pPr>
    </w:p>
    <w:p>
      <w:pPr>
        <w:ind w:left="660" w:right="260" w:hanging="652"/>
        <w:spacing w:after="0" w:line="224" w:lineRule="auto"/>
        <w:tabs>
          <w:tab w:leader="none" w:pos="660" w:val="left"/>
        </w:tabs>
        <w:numPr>
          <w:ilvl w:val="0"/>
          <w:numId w:val="3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91" w:lineRule="exact"/>
        <w:rPr>
          <w:rFonts w:ascii="Times New Roman" w:cs="Times New Roman" w:eastAsia="Times New Roman" w:hAnsi="Times New Roman"/>
          <w:sz w:val="24"/>
          <w:szCs w:val="24"/>
          <w:color w:val="auto"/>
          <w:vertAlign w:val="superscript"/>
        </w:rPr>
      </w:pPr>
    </w:p>
    <w:p>
      <w:pPr>
        <w:ind w:left="660" w:right="640" w:hanging="652"/>
        <w:spacing w:after="0" w:line="218" w:lineRule="auto"/>
        <w:tabs>
          <w:tab w:leader="none" w:pos="660"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ectPr>
          <w:pgSz w:w="11900" w:h="16838" w:orient="portrait"/>
          <w:cols w:equalWidth="0" w:num="1">
            <w:col w:w="11420"/>
          </w:cols>
          <w:pgMar w:left="240" w:top="121" w:right="2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99"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Average monthly volumes are calculated as total volumes for the period divided by the number of months in the period.</w:t>
      </w:r>
    </w:p>
    <w:p>
      <w:pPr>
        <w:spacing w:after="0" w:line="98" w:lineRule="exact"/>
        <w:rPr>
          <w:rFonts w:ascii="Times New Roman" w:cs="Times New Roman" w:eastAsia="Times New Roman" w:hAnsi="Times New Roman"/>
          <w:sz w:val="25"/>
          <w:szCs w:val="25"/>
          <w:color w:val="auto"/>
          <w:vertAlign w:val="superscript"/>
        </w:rPr>
      </w:pPr>
    </w:p>
    <w:p>
      <w:pPr>
        <w:ind w:left="660" w:right="20" w:hanging="652"/>
        <w:spacing w:after="0" w:line="225" w:lineRule="auto"/>
        <w:tabs>
          <w:tab w:leader="none" w:pos="66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decrease in average monthly working capacity of natural gas storage facilities was driven by adjustments for (i) the sale of our Bluewater natural gas storage facility in June 2017, (ii) changes in base gas and (iii) the net capacity change between capacity additions from fill and dewater operations and capacity losses from salt creep.</w:t>
      </w:r>
    </w:p>
    <w:p>
      <w:pPr>
        <w:spacing w:after="0" w:line="90" w:lineRule="exact"/>
        <w:rPr>
          <w:rFonts w:ascii="Times New Roman" w:cs="Times New Roman" w:eastAsia="Times New Roman" w:hAnsi="Times New Roman"/>
          <w:sz w:val="25"/>
          <w:szCs w:val="25"/>
          <w:color w:val="auto"/>
          <w:vertAlign w:val="superscript"/>
        </w:rPr>
      </w:pPr>
    </w:p>
    <w:p>
      <w:pPr>
        <w:ind w:left="660" w:right="360" w:hanging="652"/>
        <w:spacing w:after="0" w:line="228" w:lineRule="auto"/>
        <w:tabs>
          <w:tab w:leader="none" w:pos="66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discussion of items impacting Facilities segment operating results for the periods indicated.</w:t>
      </w:r>
    </w:p>
    <w:p>
      <w:pPr>
        <w:spacing w:after="0" w:line="223"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Purchases and Related Costs and Volumes. </w:t>
      </w:r>
      <w:r>
        <w:rPr>
          <w:rFonts w:ascii="Times New Roman" w:cs="Times New Roman" w:eastAsia="Times New Roman" w:hAnsi="Times New Roman"/>
          <w:sz w:val="18"/>
          <w:szCs w:val="18"/>
          <w:color w:val="auto"/>
        </w:rPr>
        <w:t>Variances in revenues, purchases and related costs and average monthly volumes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comparative periods were driven by:</w:t>
      </w:r>
    </w:p>
    <w:p>
      <w:pPr>
        <w:spacing w:after="0" w:line="158" w:lineRule="exact"/>
        <w:rPr>
          <w:sz w:val="20"/>
          <w:szCs w:val="20"/>
          <w:color w:val="auto"/>
        </w:rPr>
      </w:pPr>
    </w:p>
    <w:p>
      <w:pPr>
        <w:ind w:left="980" w:right="80" w:hanging="324"/>
        <w:spacing w:after="0" w:line="25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NGL Operations. </w:t>
      </w:r>
      <w:r>
        <w:rPr>
          <w:rFonts w:ascii="Times New Roman" w:cs="Times New Roman" w:eastAsia="Times New Roman" w:hAnsi="Times New Roman"/>
          <w:sz w:val="18"/>
          <w:szCs w:val="18"/>
          <w:color w:val="auto"/>
        </w:rPr>
        <w:t>Revenues decreased by $13 million and less than $1 million for the three and nine months ended September 30,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the same periods in 2017. The three- and nine-month comparative periods were impacted by the sale of a natural gas processing facility in the second quarter of 2018 and decreases in revenues at certain of our storage and fractionation facilities. The three-month comparative period also reflects an unfavorable foreign exchange impact of approximately $5 million. These unfavorable variances were substantially offset for the nine-month comparative period due to (i) increased volumes and fees associated with placing an additional 1.6 million barrels of NGL storage capacity into service in the second half of 2017 at our Fort Saskatchewan facility, (ii) higher volumetric gains at certain facilities in the 2018 period and (iii) a net favorable foreign exchange impact of approximately $5 million.</w:t>
      </w:r>
    </w:p>
    <w:p>
      <w:pPr>
        <w:spacing w:after="0" w:line="183" w:lineRule="exact"/>
        <w:rPr>
          <w:rFonts w:ascii="Times New Roman" w:cs="Times New Roman" w:eastAsia="Times New Roman" w:hAnsi="Times New Roman"/>
          <w:sz w:val="18"/>
          <w:szCs w:val="18"/>
          <w:color w:val="auto"/>
        </w:rPr>
      </w:pPr>
    </w:p>
    <w:p>
      <w:pPr>
        <w:ind w:left="980" w:right="140" w:hanging="324"/>
        <w:spacing w:after="0" w:line="261"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Crude Oil Storage. </w:t>
      </w:r>
      <w:r>
        <w:rPr>
          <w:rFonts w:ascii="Times New Roman" w:cs="Times New Roman" w:eastAsia="Times New Roman" w:hAnsi="Times New Roman"/>
          <w:sz w:val="18"/>
          <w:szCs w:val="18"/>
          <w:color w:val="auto"/>
        </w:rPr>
        <w:t>Revenues decreased by $2 million and $14 million for the three and nine months ended September 30, 2018,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periods in 2017 primarily due to the sale of certain of our Bay Area, California terminal assets in December 2017. These lower results were partially offset in each of the comparative periods by higher revenues from increased activity at our Cushing and St. James terminals.</w:t>
      </w:r>
    </w:p>
    <w:p>
      <w:pPr>
        <w:spacing w:after="0" w:line="180" w:lineRule="exact"/>
        <w:rPr>
          <w:rFonts w:ascii="Times New Roman" w:cs="Times New Roman" w:eastAsia="Times New Roman" w:hAnsi="Times New Roman"/>
          <w:sz w:val="18"/>
          <w:szCs w:val="18"/>
          <w:color w:val="auto"/>
        </w:rPr>
      </w:pPr>
    </w:p>
    <w:p>
      <w:pPr>
        <w:ind w:left="980" w:right="180" w:hanging="324"/>
        <w:spacing w:after="0" w:line="284"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Rail Terminals. </w:t>
      </w:r>
      <w:r>
        <w:rPr>
          <w:rFonts w:ascii="Times New Roman" w:cs="Times New Roman" w:eastAsia="Times New Roman" w:hAnsi="Times New Roman"/>
          <w:sz w:val="18"/>
          <w:szCs w:val="18"/>
          <w:color w:val="auto"/>
        </w:rPr>
        <w:t>Revenues increased by $8 million and $18 million for the three and nine months ended September 30, 2018, respectively,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periods in 2017 primarily due to higher activity at certain of our rail terminals resulting from more favorable market conditions.</w:t>
      </w:r>
    </w:p>
    <w:p>
      <w:pPr>
        <w:spacing w:after="0" w:line="158" w:lineRule="exact"/>
        <w:rPr>
          <w:rFonts w:ascii="Times New Roman" w:cs="Times New Roman" w:eastAsia="Times New Roman" w:hAnsi="Times New Roman"/>
          <w:sz w:val="18"/>
          <w:szCs w:val="18"/>
          <w:color w:val="auto"/>
        </w:rPr>
      </w:pPr>
    </w:p>
    <w:p>
      <w:pPr>
        <w:ind w:left="980" w:hanging="324"/>
        <w:spacing w:after="0" w:line="257"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Natural Gas Storage</w:t>
      </w:r>
      <w:r>
        <w:rPr>
          <w:rFonts w:ascii="Times New Roman" w:cs="Times New Roman" w:eastAsia="Times New Roman" w:hAnsi="Times New Roman"/>
          <w:sz w:val="18"/>
          <w:szCs w:val="18"/>
          <w:color w:val="auto"/>
        </w:rPr>
        <w:t>. Revenues, net of purchases and related costs, increased by $3 million for the three-month comparative period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$5 million for the nine-month comparative period. The decrease for the nine-month comparative period was primarily due to (i) the June 2017 sale of our Bluewater natural gas storage facility and (ii) the absence of a one-time fee recognized during the first quarter of 2017 related to the early termination of a storage contract at our Pine Prairie facility. These unfavorable impacts were partially offset for the nine-month comparative period and fully offset for the three-month comparative period by the favorable impact of expiring contracts replaced at higher rates and more favorable market conditions for hub services at certain of our natural gas storage facilities.</w:t>
      </w:r>
    </w:p>
    <w:p>
      <w:pPr>
        <w:spacing w:after="0" w:line="183"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The increase in field operating costs for the three and nine months ended September 30, 2018 compared to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2017 was primarily due to an increase in personnel costs, including higher costs at our rail terminals as a result of increased activity, partially offset by lower costs due to sales of assets.</w:t>
      </w:r>
    </w:p>
    <w:p>
      <w:pPr>
        <w:spacing w:after="0" w:line="174"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 General and Administrative Expenses. </w:t>
      </w:r>
      <w:r>
        <w:rPr>
          <w:rFonts w:ascii="Times New Roman" w:cs="Times New Roman" w:eastAsia="Times New Roman" w:hAnsi="Times New Roman"/>
          <w:sz w:val="18"/>
          <w:szCs w:val="18"/>
          <w:color w:val="auto"/>
        </w:rPr>
        <w:t>The increase in segment general and administrative expenses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2018 compared to the nine months ended September 30, 2017 was primarily driven by an increase in equity-indexed compensation expense due to the impact of an increase in unit price for the 2018 period compared to a decrease in unit price for the 2017 period.</w:t>
      </w:r>
    </w:p>
    <w:p>
      <w:pPr>
        <w:spacing w:after="0" w:line="174" w:lineRule="exact"/>
        <w:rPr>
          <w:sz w:val="20"/>
          <w:szCs w:val="20"/>
          <w:color w:val="auto"/>
        </w:rPr>
      </w:pPr>
    </w:p>
    <w:p>
      <w:pPr>
        <w:ind w:right="3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Maintenance Capital. </w:t>
      </w:r>
      <w:r>
        <w:rPr>
          <w:rFonts w:ascii="Times New Roman" w:cs="Times New Roman" w:eastAsia="Times New Roman" w:hAnsi="Times New Roman"/>
          <w:sz w:val="18"/>
          <w:szCs w:val="18"/>
          <w:color w:val="auto"/>
        </w:rPr>
        <w:t>For the three months ended September 30, 2018 as compared to the three months ended September 30, 2017,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spending increased primarily due to costs at our NGL processing facilities located in Western Canada. These increases were partially offset for the three month comparative period and fully offset for the nine month comparative period by the impact of higher expenditures related to our integrity management program in 2017 compared to 2018, primarily on assets at our Southern California terminals. Total maintenance costs related to our integrity management program at these terminals decreased by approximately $10 million and $41 million for the three and nine months ended</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September 30, 2018, respectively, compared to the same periods in 2017. We expect to continue to see significant reductions to our maintenance capital costs compared to 2017 at these terminals going forward as we complete a number of maintenance projects in this area.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Supply and Logistics Segment</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and the allocation of our assets among our various risk management strategies and (iii) the effects of competition on our lease gathering and NGL margins. In addition, the execution of our risk management strategies in conjunction with our assets can provide upside in certain markets. Our crude oil and NGL supply, logistics and distribution operations are not directly affected by the absolute level of prices, but are affected by overall levels of supply and demand for crude oil and NGL, market structure and relative fluctuations in market-related indices and regional differentials.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Supply and Logistics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3"/>
                <w:szCs w:val="13"/>
                <w:color w:val="auto"/>
              </w:rPr>
            </w:pPr>
          </w:p>
        </w:tc>
        <w:tc>
          <w:tcPr>
            <w:tcW w:w="17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2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9"/>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8,483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Segment general and administrative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120" w:type="dxa"/>
            <w:vAlign w:val="bottom"/>
            <w:gridSpan w:val="2"/>
          </w:tcPr>
          <w:p>
            <w:pPr>
              <w:ind w:left="200"/>
              <w:spacing w:after="0" w:line="262"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84"/>
        </w:trPr>
        <w:tc>
          <w:tcPr>
            <w:tcW w:w="3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(Gains)/losses from derivative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activities net of inventory valuation</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Long-term inventory costing</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(gain)/loss on foreign currency</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revaluation</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Maintenance capital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1"/>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Adjusted EBITDA per barrel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Average Daily Volumes </w:t>
            </w:r>
            <w:r>
              <w:rPr>
                <w:rFonts w:ascii="Times New Roman" w:cs="Times New Roman" w:eastAsia="Times New Roman" w:hAnsi="Times New Roman"/>
                <w:sz w:val="8"/>
                <w:szCs w:val="8"/>
                <w:b w:val="1"/>
                <w:bCs w:val="1"/>
                <w:color w:val="auto"/>
              </w:rPr>
              <w:t>(4)</w:t>
            </w:r>
          </w:p>
        </w:tc>
        <w:tc>
          <w:tcPr>
            <w:tcW w:w="220" w:type="dxa"/>
            <w:vAlign w:val="bottom"/>
          </w:tcPr>
          <w:p>
            <w:pPr>
              <w:spacing w:after="0"/>
              <w:rPr>
                <w:sz w:val="23"/>
                <w:szCs w:val="23"/>
                <w:color w:val="auto"/>
              </w:rPr>
            </w:pPr>
          </w:p>
        </w:tc>
        <w:tc>
          <w:tcPr>
            <w:tcW w:w="17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3"/>
                <w:szCs w:val="23"/>
                <w:color w:val="auto"/>
              </w:rPr>
            </w:pPr>
          </w:p>
        </w:tc>
        <w:tc>
          <w:tcPr>
            <w:tcW w:w="12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23"/>
                <w:szCs w:val="23"/>
                <w:color w:val="auto"/>
              </w:rPr>
            </w:pPr>
          </w:p>
        </w:tc>
        <w:tc>
          <w:tcPr>
            <w:tcW w:w="12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of barrels per day)</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9"/>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Crude oil lease gathering purchases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NGL sales</w:t>
            </w:r>
          </w:p>
        </w:tc>
        <w:tc>
          <w:tcPr>
            <w:tcW w:w="22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120" w:type="dxa"/>
            <w:vAlign w:val="bottom"/>
            <w:gridSpan w:val="2"/>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Supply and Logistics segment total</w:t>
            </w:r>
          </w:p>
        </w:tc>
        <w:tc>
          <w:tcPr>
            <w:tcW w:w="2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1"/>
        </w:trPr>
        <w:tc>
          <w:tcPr>
            <w:tcW w:w="31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volumes</w:t>
            </w: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Revenues and costs include intersegment amounts.</w:t>
      </w:r>
    </w:p>
    <w:p>
      <w:pPr>
        <w:spacing w:after="0" w:line="98" w:lineRule="exact"/>
        <w:rPr>
          <w:rFonts w:ascii="Times New Roman" w:cs="Times New Roman" w:eastAsia="Times New Roman" w:hAnsi="Times New Roman"/>
          <w:sz w:val="25"/>
          <w:szCs w:val="25"/>
          <w:color w:val="auto"/>
          <w:vertAlign w:val="superscript"/>
        </w:rPr>
      </w:pPr>
    </w:p>
    <w:p>
      <w:pPr>
        <w:ind w:left="660" w:right="260" w:hanging="652"/>
        <w:spacing w:after="0" w:line="224" w:lineRule="auto"/>
        <w:tabs>
          <w:tab w:leader="none" w:pos="66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ind w:left="660" w:right="640" w:hanging="652"/>
        <w:spacing w:after="0" w:line="218" w:lineRule="auto"/>
        <w:tabs>
          <w:tab w:leader="none" w:pos="660" w:val="left"/>
        </w:tabs>
        <w:numPr>
          <w:ilvl w:val="0"/>
          <w:numId w:val="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1" w:lineRule="exact"/>
        <w:rPr>
          <w:rFonts w:ascii="Times New Roman" w:cs="Times New Roman" w:eastAsia="Times New Roman" w:hAnsi="Times New Roman"/>
          <w:sz w:val="25"/>
          <w:szCs w:val="25"/>
          <w:color w:val="auto"/>
          <w:vertAlign w:val="superscript"/>
        </w:rPr>
      </w:pPr>
    </w:p>
    <w:p>
      <w:pPr>
        <w:ind w:left="660" w:right="2320" w:hanging="652"/>
        <w:spacing w:after="0" w:line="399" w:lineRule="auto"/>
        <w:tabs>
          <w:tab w:leader="none" w:pos="646"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Average daily volumes are calculated as the total volumes for the period divided by the number of days in the period. The following table presents the range of the NYMEX WTI benchmark price of crude oil (in dollars per barrel):</w:t>
      </w:r>
    </w:p>
    <w:p>
      <w:pPr>
        <w:spacing w:after="0" w:line="2"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NYMEX WTI</w:t>
      </w:r>
    </w:p>
    <w:p>
      <w:pPr>
        <w:spacing w:after="0" w:line="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Three months ended September 30, 2018</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Three months ended September 30, 2017</w:t>
            </w: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8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Nine months ended September 30, 2018</w:t>
            </w: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Nine months ended September 30, 2017</w:t>
            </w:r>
          </w:p>
        </w:tc>
        <w:tc>
          <w:tcPr>
            <w:tcW w:w="104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and nine months ended September 30, 2018 compared to the same periods in 2017 primarily due to higher crude oil prices. Additionally, revenues were impacted by net gains and losses from certain derivative activities during the periods.</w:t>
      </w:r>
    </w:p>
    <w:p>
      <w:pPr>
        <w:spacing w:after="0" w:line="184" w:lineRule="exact"/>
        <w:rPr>
          <w:sz w:val="20"/>
          <w:szCs w:val="20"/>
          <w:color w:val="auto"/>
        </w:rPr>
      </w:pPr>
    </w:p>
    <w:p>
      <w:pPr>
        <w:ind w:right="840" w:firstLine="648"/>
        <w:spacing w:after="0" w:line="266" w:lineRule="auto"/>
        <w:rPr>
          <w:sz w:val="20"/>
          <w:szCs w:val="20"/>
          <w:color w:val="auto"/>
        </w:rPr>
      </w:pPr>
      <w:r>
        <w:rPr>
          <w:rFonts w:ascii="Times New Roman" w:cs="Times New Roman" w:eastAsia="Times New Roman" w:hAnsi="Times New Roman"/>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discussion of items impacting Supply and Logistics segment operating results for the periods indicated.</w:t>
      </w:r>
    </w:p>
    <w:p>
      <w:pPr>
        <w:spacing w:after="0" w:line="223"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and Volumes. </w:t>
      </w:r>
      <w:r>
        <w:rPr>
          <w:rFonts w:ascii="Times New Roman" w:cs="Times New Roman" w:eastAsia="Times New Roman" w:hAnsi="Times New Roman"/>
          <w:sz w:val="18"/>
          <w:szCs w:val="18"/>
          <w:color w:val="auto"/>
        </w:rPr>
        <w:t>Our Supply and Logistics Segment Adjusted EBITDA increased by $131 million and $152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nine months ended September 30, 2018, respectively, compared to the three and nine months ended September 30, 2017. The following summarizes the significant items impacting the comparative periods:</w:t>
      </w:r>
    </w:p>
    <w:p>
      <w:pPr>
        <w:spacing w:after="0" w:line="174" w:lineRule="exact"/>
        <w:rPr>
          <w:sz w:val="20"/>
          <w:szCs w:val="20"/>
          <w:color w:val="auto"/>
        </w:rPr>
      </w:pPr>
    </w:p>
    <w:p>
      <w:pPr>
        <w:ind w:left="980" w:right="120" w:hanging="324"/>
        <w:spacing w:after="0" w:line="261"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Crude Oil Operations. </w:t>
      </w:r>
      <w:r>
        <w:rPr>
          <w:rFonts w:ascii="Times New Roman" w:cs="Times New Roman" w:eastAsia="Times New Roman" w:hAnsi="Times New Roman"/>
          <w:sz w:val="18"/>
          <w:szCs w:val="18"/>
          <w:color w:val="auto"/>
        </w:rPr>
        <w:t>Net revenues from our crude oil supply and logistics operations increased for the comparative three- and nine-month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presented primarily due to favorable grade differentials, primarily in the Permian Basin and Western Canada, as well as higher lease gathering margins and volumes. For the nine-month comparative period, such favorable impacts more than offset the benefit to the 2017 period of the contango market conditions.</w:t>
      </w:r>
    </w:p>
    <w:p>
      <w:pPr>
        <w:spacing w:after="0" w:line="180" w:lineRule="exact"/>
        <w:rPr>
          <w:rFonts w:ascii="Times New Roman" w:cs="Times New Roman" w:eastAsia="Times New Roman" w:hAnsi="Times New Roman"/>
          <w:sz w:val="18"/>
          <w:szCs w:val="18"/>
          <w:color w:val="auto"/>
        </w:rPr>
      </w:pPr>
    </w:p>
    <w:p>
      <w:pPr>
        <w:ind w:left="980" w:right="40" w:hanging="324"/>
        <w:spacing w:after="0" w:line="259"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NGL Operations. </w:t>
      </w:r>
      <w:r>
        <w:rPr>
          <w:rFonts w:ascii="Times New Roman" w:cs="Times New Roman" w:eastAsia="Times New Roman" w:hAnsi="Times New Roman"/>
          <w:sz w:val="18"/>
          <w:szCs w:val="18"/>
          <w:color w:val="auto"/>
        </w:rPr>
        <w:t>Net revenues from our NGL operations increased for the three and nine months ended September 30, 2018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periods in 2017. The three- and nine-month comparative periods were favorably impacted by an audit recovery in 2018 related to a profit-sharing arrangement. The nine-month comparative period was also favorably impacted by (i) lower supply costs at our straddle plants relative to NGL values, (ii) favorable impacts from a wider isobutane/normal butane differential and (iii) modifications made to our contracting strategies in the 2017-2018 heating season.</w:t>
      </w:r>
    </w:p>
    <w:p>
      <w:pPr>
        <w:spacing w:after="0" w:line="179" w:lineRule="exact"/>
        <w:rPr>
          <w:rFonts w:ascii="Times New Roman" w:cs="Times New Roman" w:eastAsia="Times New Roman" w:hAnsi="Times New Roman"/>
          <w:sz w:val="18"/>
          <w:szCs w:val="18"/>
          <w:color w:val="auto"/>
        </w:rPr>
      </w:pPr>
    </w:p>
    <w:p>
      <w:pPr>
        <w:ind w:left="980" w:right="40" w:hanging="324"/>
        <w:spacing w:after="0" w:line="257" w:lineRule="auto"/>
        <w:tabs>
          <w:tab w:leader="none" w:pos="98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Impact from Certain Derivative Activities Net of Inventory Valuation Adjustments. </w:t>
      </w:r>
      <w:r>
        <w:rPr>
          <w:rFonts w:ascii="Times New Roman" w:cs="Times New Roman" w:eastAsia="Times New Roman" w:hAnsi="Times New Roman"/>
          <w:sz w:val="18"/>
          <w:szCs w:val="18"/>
          <w:color w:val="auto"/>
        </w:rPr>
        <w:t>The impact from certain derivative activities on our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includes mark-to-market and other gains and losses resulting from certain derivative instruments that are related to underlying activities in another period (or the reversal of mark-to-market gains and losses from a prior period) and inventory valuation adjustments, as applicable. See Note 11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82" w:lineRule="exact"/>
        <w:rPr>
          <w:rFonts w:ascii="Times New Roman" w:cs="Times New Roman" w:eastAsia="Times New Roman" w:hAnsi="Times New Roman"/>
          <w:sz w:val="18"/>
          <w:szCs w:val="18"/>
          <w:i w:val="1"/>
          <w:iCs w:val="1"/>
          <w:color w:val="auto"/>
        </w:rPr>
      </w:pPr>
    </w:p>
    <w:p>
      <w:pPr>
        <w:ind w:left="980" w:hanging="324"/>
        <w:spacing w:after="0" w:line="261"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Long-Term Inventory Costing Adjustments. </w:t>
      </w:r>
      <w:r>
        <w:rPr>
          <w:rFonts w:ascii="Times New Roman" w:cs="Times New Roman" w:eastAsia="Times New Roman" w:hAnsi="Times New Roman"/>
          <w:sz w:val="18"/>
          <w:szCs w:val="18"/>
          <w:color w:val="auto"/>
        </w:rPr>
        <w:t>Our net revenues are impacted by changes in the weighted average cost of our crude oil and NGL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ind w:left="980" w:right="240"/>
        <w:spacing w:after="0" w:line="329" w:lineRule="auto"/>
        <w:rPr>
          <w:sz w:val="20"/>
          <w:szCs w:val="20"/>
          <w:color w:val="auto"/>
        </w:rPr>
      </w:pPr>
      <w:r>
        <w:rPr>
          <w:rFonts w:ascii="Times New Roman" w:cs="Times New Roman" w:eastAsia="Times New Roman" w:hAnsi="Times New Roman"/>
          <w:sz w:val="18"/>
          <w:szCs w:val="18"/>
          <w:color w:val="auto"/>
        </w:rPr>
        <w:t>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133" w:lineRule="exact"/>
        <w:rPr>
          <w:sz w:val="20"/>
          <w:szCs w:val="20"/>
          <w:color w:val="auto"/>
        </w:rPr>
      </w:pPr>
    </w:p>
    <w:p>
      <w:pPr>
        <w:ind w:left="980" w:right="60" w:hanging="324"/>
        <w:spacing w:after="0" w:line="267"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Exchange Impacts. </w:t>
      </w:r>
      <w:r>
        <w:rPr>
          <w:rFonts w:ascii="Times New Roman" w:cs="Times New Roman" w:eastAsia="Times New Roman" w:hAnsi="Times New Roman"/>
          <w:sz w:val="18"/>
          <w:szCs w:val="18"/>
          <w:color w:val="auto"/>
        </w:rPr>
        <w:t>Our net revenues are impacted by fluctuations in the value of CAD to USD, resulting in foreign exchange gains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on U.S. denominated net assets within our Canadian operations. These gains and losses impact our net revenues but are excluded from Segment Adjusted EBITDA and thus are reflected as an “Adjustment” in the table above.</w:t>
      </w:r>
    </w:p>
    <w:p>
      <w:pPr>
        <w:spacing w:after="0" w:line="173" w:lineRule="exact"/>
        <w:rPr>
          <w:rFonts w:ascii="Times New Roman" w:cs="Times New Roman" w:eastAsia="Times New Roman" w:hAnsi="Times New Roman"/>
          <w:sz w:val="18"/>
          <w:szCs w:val="18"/>
          <w:color w:val="auto"/>
        </w:rPr>
      </w:pPr>
    </w:p>
    <w:p>
      <w:pPr>
        <w:ind w:left="980" w:right="40" w:hanging="324"/>
        <w:spacing w:after="0" w:line="267" w:lineRule="auto"/>
        <w:tabs>
          <w:tab w:leader="none" w:pos="98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The increase in field operating costs for the three and nine months ended September 30, 2018 compared to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2017 was primarily driven by an increase in third party trucking utilization and higher fuel costs due to longer hauls and increased volumes.</w:t>
      </w:r>
    </w:p>
    <w:p>
      <w:pPr>
        <w:spacing w:after="0" w:line="173" w:lineRule="exact"/>
        <w:rPr>
          <w:rFonts w:ascii="Times New Roman" w:cs="Times New Roman" w:eastAsia="Times New Roman" w:hAnsi="Times New Roman"/>
          <w:sz w:val="18"/>
          <w:szCs w:val="18"/>
          <w:i w:val="1"/>
          <w:iCs w:val="1"/>
          <w:color w:val="auto"/>
        </w:rPr>
      </w:pPr>
    </w:p>
    <w:p>
      <w:pPr>
        <w:ind w:left="980" w:right="140" w:hanging="324"/>
        <w:spacing w:after="0" w:line="261" w:lineRule="auto"/>
        <w:tabs>
          <w:tab w:leader="none" w:pos="98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Segment General and Administrative Expenses. </w:t>
      </w:r>
      <w:r>
        <w:rPr>
          <w:rFonts w:ascii="Times New Roman" w:cs="Times New Roman" w:eastAsia="Times New Roman" w:hAnsi="Times New Roman"/>
          <w:sz w:val="18"/>
          <w:szCs w:val="18"/>
          <w:color w:val="auto"/>
        </w:rPr>
        <w:t>The increase in segment general and administrative expenses for the three and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2018 compared to the three and nine months ended September 30, 2017 was primarily driven by (i) an increase in equity-indexed compensation expense due to the impact of an increase in unit price for the 2018 periods compared to a decrease in unit price for the 2017 periods and (ii) cost increases across various categories.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decreased for the three and nine months ended September 30, 2018 compared to the three and nine months ended September 30, 2017 primarily due to the recognition of net losses of approximately $2 million for the three months ended September 30, 2018 and net gains of approximately $79 million for the nine months ended September 30, 2018, compared to net losses of approximately $15 million for both the three and nine months ended September 30, 2017 associated with sales of assets during the periods.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 on Sale of Investment in Unconsolidated Entities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third quarter of 2018, we sold a 30% interest in BridgeTex for proceeds of $868 million, resulting in a gain of $210 million. We retained a 20% interest in BridgeTex.</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The decrease in interest expense for the three and nine months ended September 30, 2018 compared to the three and nine months ended September 30, 2017 was primarily due to (i) a lower weighted average debt balance during the 2018 periods, largely resulting from the repayment of an aggregate of $950 million of senior notes in December 2017, and (ii) a net favorable impact of $9 million and $13 million for the three and nine month periods, respectively, related to losses on interest rate swaps recognized in the 2017 periods compared to gains recognized in the 2018 periods.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impacting Other income/(expense), net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08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5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2017</w:t>
            </w:r>
          </w:p>
        </w:tc>
      </w:tr>
      <w:tr>
        <w:trPr>
          <w:trHeight w:val="223"/>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Gain/(loss) related to mark-to-market adjustment of our Preferred Distribution Rate</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61"/>
        </w:trPr>
        <w:tc>
          <w:tcPr>
            <w:tcW w:w="6520" w:type="dxa"/>
            <w:vAlign w:val="bottom"/>
            <w:shd w:val="clear" w:color="auto" w:fill="CCEEFF"/>
          </w:tcPr>
          <w:p>
            <w:pPr>
              <w:ind w:left="200"/>
              <w:spacing w:after="0" w:line="262" w:lineRule="exact"/>
              <w:rPr>
                <w:sz w:val="20"/>
                <w:szCs w:val="20"/>
                <w:color w:val="auto"/>
              </w:rPr>
            </w:pPr>
            <w:r>
              <w:rPr>
                <w:rFonts w:ascii="Times New Roman" w:cs="Times New Roman" w:eastAsia="Times New Roman" w:hAnsi="Times New Roman"/>
                <w:sz w:val="18"/>
                <w:szCs w:val="18"/>
                <w:color w:val="auto"/>
              </w:rPr>
              <w:t xml:space="preserve">Reset Option </w:t>
            </w:r>
            <w:r>
              <w:rPr>
                <w:rFonts w:ascii="Times New Roman" w:cs="Times New Roman" w:eastAsia="Times New Roman" w:hAnsi="Times New Roman"/>
                <w:sz w:val="25"/>
                <w:szCs w:val="25"/>
                <w:color w:val="auto"/>
                <w:vertAlign w:val="superscript"/>
              </w:rPr>
              <w:t>(1)</w:t>
            </w:r>
          </w:p>
        </w:tc>
        <w:tc>
          <w:tcPr>
            <w:tcW w:w="76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6" w:lineRule="exact"/>
        <w:rPr>
          <w:sz w:val="20"/>
          <w:szCs w:val="20"/>
          <w:color w:val="auto"/>
        </w:rPr>
      </w:pPr>
    </w:p>
    <w:p>
      <w:pPr>
        <w:ind w:left="5620" w:right="4080" w:hanging="5612"/>
        <w:spacing w:after="0" w:line="846" w:lineRule="auto"/>
        <w:tabs>
          <w:tab w:leader="none" w:pos="652" w:val="left"/>
        </w:tabs>
        <w:numPr>
          <w:ilvl w:val="0"/>
          <w:numId w:val="4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See Note 11 to our Condensed Consolidated Financial Statements for additional information. 53</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decrease in income tax benefit for the three months ended September 30, 2018 compared to the three months ended September 30, 2017 was primarily due to lower year-over-year losses as impacted by fluctuations in derivative mark-to-market valuations in our Canadian operations.</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increase in income tax expense for the nine months ended September 30, 2018 over the comparable 2017 period was primarily due to higher year-over-year income as impacted by fluctuations in derivative mark-to-market valuations in our Canadian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(i) cash flow from operating activities, (ii) borrowings under our credit facilities or commercial paper program and (iii) funds received from sales of equity and debt securities. In addition, we may supplement these sources of liquidity with proceeds from our divestiture program, as further discussed below in the section entitled “—Capital Expenditures and Divestitures.”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our long-term debt and (v) distributions to our unitholders.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18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2018, although we had a working capital deficit of $529 million, we had approximately $2.5 billion of liquidity available to meet our ongoing operating, investing and financing needs, subject to continued covenant compliance, as noted below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5"/>
        </w:trPr>
        <w:tc>
          <w:tcPr>
            <w:tcW w:w="9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69"/>
        </w:trPr>
        <w:tc>
          <w:tcPr>
            <w:tcW w:w="972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Availability under senior unsecured revolving credit facility </w:t>
            </w:r>
            <w:r>
              <w:rPr>
                <w:rFonts w:ascii="Times New Roman" w:cs="Times New Roman" w:eastAsia="Times New Roman" w:hAnsi="Times New Roman"/>
                <w:sz w:val="25"/>
                <w:szCs w:val="25"/>
                <w:color w:val="auto"/>
                <w:vertAlign w:val="superscript"/>
              </w:rPr>
              <w:t>(1)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1,441</w:t>
            </w:r>
          </w:p>
        </w:tc>
      </w:tr>
      <w:tr>
        <w:trPr>
          <w:trHeight w:val="270"/>
        </w:trPr>
        <w:tc>
          <w:tcPr>
            <w:tcW w:w="97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Availability under senior secured hedged inventory facility </w:t>
            </w:r>
            <w:r>
              <w:rPr>
                <w:rFonts w:ascii="Times New Roman" w:cs="Times New Roman" w:eastAsia="Times New Roman" w:hAnsi="Times New Roman"/>
                <w:sz w:val="25"/>
                <w:szCs w:val="25"/>
                <w:color w:val="auto"/>
                <w:vertAlign w:val="superscript"/>
              </w:rPr>
              <w:t>(1) (2)</w:t>
            </w:r>
          </w:p>
        </w:tc>
        <w:tc>
          <w:tcPr>
            <w:tcW w:w="180" w:type="dxa"/>
            <w:vAlign w:val="bottom"/>
          </w:tcPr>
          <w:p>
            <w:pPr>
              <w:spacing w:after="0"/>
              <w:rPr>
                <w:sz w:val="23"/>
                <w:szCs w:val="23"/>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1,078</w:t>
            </w: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outstanding under commercial paper program</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7"/>
        </w:trPr>
        <w:tc>
          <w:tcPr>
            <w:tcW w:w="9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2,459</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w:t>
            </w:r>
          </w:p>
        </w:tc>
      </w:tr>
      <w:tr>
        <w:trPr>
          <w:trHeight w:val="257"/>
        </w:trPr>
        <w:tc>
          <w:tcPr>
            <w:tcW w:w="9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2,488</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6" w:lineRule="exact"/>
        <w:rPr>
          <w:sz w:val="20"/>
          <w:szCs w:val="20"/>
          <w:color w:val="auto"/>
        </w:rPr>
      </w:pPr>
    </w:p>
    <w:p>
      <w:pPr>
        <w:ind w:left="660" w:right="20" w:hanging="652"/>
        <w:spacing w:after="0" w:line="218" w:lineRule="auto"/>
        <w:tabs>
          <w:tab w:leader="none" w:pos="660" w:val="left"/>
        </w:tabs>
        <w:numPr>
          <w:ilvl w:val="0"/>
          <w:numId w:val="4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availability prior to giving effect to amounts outstanding under our commercial paper program, which reduce available capacity under the facilities.</w:t>
      </w:r>
    </w:p>
    <w:p>
      <w:pPr>
        <w:spacing w:after="0" w:line="91" w:lineRule="exact"/>
        <w:rPr>
          <w:rFonts w:ascii="Times New Roman" w:cs="Times New Roman" w:eastAsia="Times New Roman" w:hAnsi="Times New Roman"/>
          <w:sz w:val="25"/>
          <w:szCs w:val="25"/>
          <w:color w:val="auto"/>
          <w:vertAlign w:val="superscript"/>
        </w:rPr>
      </w:pPr>
    </w:p>
    <w:p>
      <w:pPr>
        <w:ind w:left="660" w:right="160" w:hanging="652"/>
        <w:spacing w:after="0" w:line="218" w:lineRule="auto"/>
        <w:tabs>
          <w:tab w:leader="none" w:pos="660" w:val="left"/>
        </w:tabs>
        <w:numPr>
          <w:ilvl w:val="0"/>
          <w:numId w:val="4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Available capacity under the senior unsecured revolving credit facility and the senior secured hedged inventory facility was reduced by outstanding letters of credit of $159 million and $22 million, respectively.</w:t>
      </w:r>
    </w:p>
    <w:p>
      <w:pPr>
        <w:spacing w:after="0" w:line="199"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We believe that we have, and will continue to have, the ability to access the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our credit facilities, which provide the financial backstop for our commercial paper program, is subject to ongoing compliance with covenants. As of September 30, 2018, we were in compliance with all such covenants. Also, see Item 1A. “Risk Factors” of our 2017 Annual Report on Form 10-K for further discussion regarding such risks that may impact our liquidity and capital resources.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2017 Annual Report on Form 10-K.</w:t>
      </w:r>
    </w:p>
    <w:p>
      <w:pPr>
        <w:spacing w:after="0" w:line="176"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first nine months of 2018 and 2017 was $1.294 billion and $1.918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76"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2018, we increased the volume of crude oil and NGL inventory that we held, which was funded by proceeds from asset sales and short-term debt. The cash outflows associated with these inventory purchases resulted in a decrease to our cash provided by operating activities. However, this decrease was partially offset by approximately $300 million of cash received for transactions for which the revenue has been deferred pending the completion of future performance obligations. See Note 3 to our Condensed Consolidated Financial Statements for additional information.</w:t>
      </w:r>
    </w:p>
    <w:p>
      <w:pPr>
        <w:spacing w:after="0" w:line="18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2017, we decreased both the volume of crude oil inventory that we held and the margin balances required as part of our hedging activities, both of which had been funded by short-term debt. The cash inflows associated with these items resulted in a favorable impact on our cash provided by operating activities. However, the favorable effects from such activities were partially offset by higher weighted average prices and volumes for NGL inventory that was purchased and stored at the end of the 2017 period in anticipation of the 2017-2018 heating season.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and Divestitures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operating needs discussed above, we also use cash for our acquisition activities and expansion capital projects. Historically, we have financed these expenditures primarily with cash generated by operating activities and the financing activities discussed in “—Equity and Debt Financing Activities” below. In the near term, we also intend to use proceeds from our divestiture program, as discussed further below. We have made and will continue to make capital expenditures for acquisitions, expansion capital projects and maintenance activities.</w:t>
      </w:r>
    </w:p>
    <w:p>
      <w:pPr>
        <w:spacing w:after="0" w:line="17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Projects. </w:t>
      </w:r>
      <w:r>
        <w:rPr>
          <w:rFonts w:ascii="Times New Roman" w:cs="Times New Roman" w:eastAsia="Times New Roman" w:hAnsi="Times New Roman"/>
          <w:sz w:val="18"/>
          <w:szCs w:val="18"/>
          <w:color w:val="auto"/>
        </w:rPr>
        <w:t>We invested approximately $1.37 billion in midstream infrastructure during the nine months ended September 30, 2018,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 to invest approximately $1.95 billion during the full year ended December 31, 2018. See “—Acquisitions and Capital Projects” for detail of our projected capital expenditures for the year ending December 31, 2018. We expect to fund our 2018 capital program with retained cash flow and proceeds from assets sold as part of our divestiture program, as discussed further below.</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Divestitures</w:t>
      </w:r>
      <w:r>
        <w:rPr>
          <w:rFonts w:ascii="Times New Roman" w:cs="Times New Roman" w:eastAsia="Times New Roman" w:hAnsi="Times New Roman"/>
          <w:sz w:val="18"/>
          <w:szCs w:val="18"/>
          <w:color w:val="auto"/>
        </w:rPr>
        <w:t>. In 2016, we initiated a program to evaluate potential sales of non-core assets and/or sales of partial interests in assets to strategic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 partners to optimize our asset portfolio and strengthen our balance sheet and leverage metrics. As of December 31, 2017, we had completed asset sales totaling approximately $1.7 billion, of which approximately $0.6 billion closed in 2016 (net of amounts paid for the remaining interest in a pipeline that was subsequently sold) and approximately $1.1 billion closed in 2017.</w:t>
      </w:r>
    </w:p>
    <w:p>
      <w:pPr>
        <w:spacing w:after="0" w:line="18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part of our funding plans for our 2018 expansion capital program, we set a target to raise $700 million through divestitures in 2018. We have exceeded this target, receiving proceeds of approximately $1.3 billion during the first nine months of 2018, which included proceeds from the sale of a portion of our interest in BridgeTex in the third quarter of 2018. Excess proceeds above our targeted amounts were used to reduce debt and fund incremental expansion opportunities. We continue to advance efforts with respect to a number of additional transactions.</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However, in certain cases in order to protect our business interests or for other reasons, we may defer public announcement of a transaction until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divestiture efforts will be successfully completed. Also, see Item 1A. “Risk Factors—Risks Related to Our Business” of our 2017 Annual Report on Form 10-K for further discussion regarding risks related to our acquisitions and divestitures.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and Debt Financing Activities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financing activities primarily relate to funding expansion capital projects, acquisitions and refinancing of our debt maturities, as well as short-term working capital (including borrowings for NYMEX and ICE margin deposits) and hedged inventory borrowings related to our NGL business and contango market activities. Our financing activities have primarily consisted of equity offerings, senior notes offerings and borrowings and repayments under our credit facilities or commercial paper program and other debt agreements, as well as payment of distributions to our unitholders.</w:t>
      </w:r>
    </w:p>
    <w:p>
      <w:pPr>
        <w:spacing w:after="0" w:line="178"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Registration Statements</w:t>
      </w:r>
      <w:r>
        <w:rPr>
          <w:rFonts w:ascii="Times New Roman" w:cs="Times New Roman" w:eastAsia="Times New Roman" w:hAnsi="Times New Roman"/>
          <w:sz w:val="18"/>
          <w:szCs w:val="18"/>
          <w:color w:val="auto"/>
        </w:rPr>
        <w:t>. We periodically access the capital markets for both equity and debt financing. We have filed with the SEC a universal shelf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that, subject to effectiveness at the time of use, allows us to issue up to an aggregate of $1.1 billion of debt or equity securities (“Traditional Shelf”). At September 30, 2018, we had approximately $1.1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WKSI Shelf during the nine months ended September 30, 2018.</w:t>
      </w:r>
    </w:p>
    <w:p>
      <w:pPr>
        <w:spacing w:after="0" w:line="183" w:lineRule="exact"/>
        <w:rPr>
          <w:sz w:val="20"/>
          <w:szCs w:val="20"/>
          <w:color w:val="auto"/>
        </w:rPr>
      </w:pPr>
    </w:p>
    <w:p>
      <w:pPr>
        <w:ind w:firstLine="67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Credit Agreements, Commercial Paper Program and Indentures. </w:t>
      </w:r>
      <w:r>
        <w:rPr>
          <w:rFonts w:ascii="Times New Roman" w:cs="Times New Roman" w:eastAsia="Times New Roman" w:hAnsi="Times New Roman"/>
          <w:sz w:val="18"/>
          <w:szCs w:val="18"/>
          <w:color w:val="auto"/>
        </w:rPr>
        <w:t>The credit agreements for our revolving credit facilities (which impact our 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access our commercial paper program because they provide the financial backstop that supports our short-term credit ratings) and our term loans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As of September 30, 2018, we were in compliance with the covenants contained in our credit agreements and indentures.</w:t>
      </w:r>
    </w:p>
    <w:p>
      <w:pPr>
        <w:spacing w:after="0" w:line="18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August 2018, we entered into an agreement for two $100 million Go Zone term loans from the remarketing of our GO Bonds. The GO Zone term loans accrue interest in accordance with the interest payable on the related GO Bonds as provided in the GO Bonds Indenture pursuant to which such GO Bonds are issued and governed. The purchasers of the two GO Zone term loans have the right to put, at par, the GO Zone term loans in July 2023. The GO Bonds mature by their terms in May 2032 and August 2035, respectively. See Note 9 to our Condensed Consolidated Financial Statements for additional information.</w:t>
      </w:r>
    </w:p>
    <w:p>
      <w:pPr>
        <w:spacing w:after="0" w:line="184"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August 2018, we extended the maturity dates of our senior unsecured revolving credit facility and senior secured hedged inventory facility by one year to August 2023 and August 2021, respectively, for each extending lender. Our 364-day senior unsecured revolving credit facility, which had a borrowing capacity of $1.0 billion, matured in August 2018.</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2018, we had net repayments under our credit agreements and commercial paper program of $542 million. The net repayments resulted primarily from cash flow from operating activities and proceeds from asset sales, partially offset by borrowings during the period related to funding needs for inventory purchases and related margin activities.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2017, we had net repayments on our credit facilities and commercial paper program of $108 million. The net repayments resulted primarily from cash flow from operating activities and cash received from our equity activities, which offset borrowings during the period related to funding needs for (i) acquisition and capital investments, (ii) repayment of our $400 million, 6.13% senior notes in January 2017 and (iii) other general partnership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Our Unitholders</w:t>
      </w:r>
    </w:p>
    <w:p>
      <w:pPr>
        <w:spacing w:after="0" w:line="227"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Distributions to our Series A preferred unitholders. </w:t>
      </w:r>
      <w:r>
        <w:rPr>
          <w:rFonts w:ascii="Times New Roman" w:cs="Times New Roman" w:eastAsia="Times New Roman" w:hAnsi="Times New Roman"/>
          <w:sz w:val="18"/>
          <w:szCs w:val="18"/>
          <w:color w:val="auto"/>
        </w:rPr>
        <w:t>On November 14, 2018 we will pay a cash distribution of $37 million ($0.525 per unit)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A preferred units outstanding as of October 31, 2018, the record date for such distribution for the period from July 1, 2018 through September 30, 2018. See Note 10 to our Condensed Consolidated Financial Statements for details of distributions made during or pertaining to the first nine months of 2018.</w:t>
      </w:r>
    </w:p>
    <w:p>
      <w:pPr>
        <w:spacing w:after="0" w:line="17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Distributions to Series B preferred unitholders. </w:t>
      </w:r>
      <w:r>
        <w:rPr>
          <w:rFonts w:ascii="Times New Roman" w:cs="Times New Roman" w:eastAsia="Times New Roman" w:hAnsi="Times New Roman"/>
          <w:sz w:val="18"/>
          <w:szCs w:val="18"/>
          <w:color w:val="auto"/>
        </w:rPr>
        <w:t>Distributions on our Series B preferred units are payable semiannually in arrears on the 15th day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and November. On November 15, 2018, we will pay the semi-annual cash distribution of $24.5 million on our Series B preferred units to holders of record at the close of business on November 1, 2018 for the period from May 15, 2018 to November 14, 2018. See Note 10 to our Condensed Consolidated Financial Statements for details of distributions made during the first nine months of 2018.</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121" w:right="25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Distributions to our common unitholders. </w:t>
      </w:r>
      <w:r>
        <w:rPr>
          <w:rFonts w:ascii="Times New Roman" w:cs="Times New Roman" w:eastAsia="Times New Roman" w:hAnsi="Times New Roman"/>
          <w:sz w:val="18"/>
          <w:szCs w:val="18"/>
          <w:color w:val="auto"/>
        </w:rPr>
        <w:t>In accordance with our partnership agreement, after making distributions to holders of our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 On November 14, 2018, we will pay a quarterly distribution of $0.30 per common unit ($1.20 per common unit on an annualized basis), which is unchanged from our prior four quarterly distributions, on our common units outstanding as of October 31, 2018, the record date for such distribution for the period from July 1, 2018 through September 30, 2018. See Note 10 to our Condensed Consolidated Financial Statements for details of distributions paid during or pertaining to the first nine months of 2018. Also, see Item 5. “Market for Registrant’s Common Units, Related Unitholder Matters and Issuer Purchases of Equity Securities— Cash Distribution Policy” included in our 2017 Annual Report on Form 10-K for additional discussion regarding distributions.</w:t>
      </w:r>
    </w:p>
    <w:p>
      <w:pPr>
        <w:spacing w:after="0" w:line="19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contingencies that may impact us, see Note 13 to our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In the ordinary course of doing business, we purchase crude oil and NGL from third parties under contracts, the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 The following table includes our best estimate of the amount and timing of these payments as well as other amounts due under the specified contractual obligations as of September 30, 2018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220" w:type="dxa"/>
            <w:vAlign w:val="bottom"/>
          </w:tcPr>
          <w:p>
            <w:pPr>
              <w:spacing w:after="0"/>
              <w:rPr>
                <w:sz w:val="13"/>
                <w:szCs w:val="13"/>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2023 and</w:t>
            </w:r>
          </w:p>
        </w:tc>
        <w:tc>
          <w:tcPr>
            <w:tcW w:w="200" w:type="dxa"/>
            <w:vAlign w:val="bottom"/>
          </w:tcPr>
          <w:p>
            <w:pPr>
              <w:spacing w:after="0"/>
              <w:rPr>
                <w:sz w:val="13"/>
                <w:szCs w:val="13"/>
                <w:color w:val="auto"/>
              </w:rPr>
            </w:pPr>
          </w:p>
        </w:tc>
        <w:tc>
          <w:tcPr>
            <w:tcW w:w="7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120" w:type="dxa"/>
            <w:vAlign w:val="bottom"/>
            <w:tcBorders>
              <w:top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Long-term debt and related interest payments </w:t>
            </w:r>
            <w:r>
              <w:rPr>
                <w:rFonts w:ascii="Times New Roman" w:cs="Times New Roman" w:eastAsia="Times New Roman" w:hAnsi="Times New Roman"/>
                <w:sz w:val="25"/>
                <w:szCs w:val="25"/>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10,190</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14,118</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Leases, rights-of-way easements and other </w:t>
            </w:r>
            <w:r>
              <w:rPr>
                <w:rFonts w:ascii="Times New Roman" w:cs="Times New Roman" w:eastAsia="Times New Roman" w:hAnsi="Times New Roman"/>
                <w:sz w:val="25"/>
                <w:szCs w:val="25"/>
                <w:color w:val="auto"/>
                <w:vertAlign w:val="superscript"/>
              </w:rPr>
              <w:t>(2)</w:t>
            </w:r>
          </w:p>
        </w:tc>
        <w:tc>
          <w:tcPr>
            <w:tcW w:w="14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obligations </w:t>
            </w:r>
            <w:r>
              <w:rPr>
                <w:rFonts w:ascii="Times New Roman" w:cs="Times New Roman" w:eastAsia="Times New Roman" w:hAnsi="Times New Roman"/>
                <w:sz w:val="25"/>
                <w:szCs w:val="25"/>
                <w:color w:val="auto"/>
                <w:vertAlign w:val="superscript"/>
              </w:rPr>
              <w:t>(3)</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10,994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16,949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Crude oil, NGL and other purchases </w:t>
            </w:r>
            <w:r>
              <w:rPr>
                <w:rFonts w:ascii="Times New Roman" w:cs="Times New Roman" w:eastAsia="Times New Roman" w:hAnsi="Times New Roman"/>
                <w:sz w:val="25"/>
                <w:szCs w:val="25"/>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3,459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6,596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5,024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4,618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13,032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36,713</w:t>
            </w:r>
          </w:p>
        </w:tc>
        <w:tc>
          <w:tcPr>
            <w:tcW w:w="0" w:type="dxa"/>
            <w:vAlign w:val="bottom"/>
          </w:tcPr>
          <w:p>
            <w:pPr>
              <w:spacing w:after="0"/>
              <w:rPr>
                <w:sz w:val="1"/>
                <w:szCs w:val="1"/>
                <w:color w:val="auto"/>
              </w:rPr>
            </w:pPr>
          </w:p>
        </w:tc>
      </w:tr>
      <w:tr>
        <w:trPr>
          <w:trHeight w:val="257"/>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4,078</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8,185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6,239</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5,850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5,284</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24,026</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53,662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6" w:lineRule="exact"/>
        <w:rPr>
          <w:sz w:val="20"/>
          <w:szCs w:val="20"/>
          <w:color w:val="auto"/>
        </w:rPr>
      </w:pPr>
    </w:p>
    <w:p>
      <w:pPr>
        <w:ind w:left="660" w:right="80" w:hanging="652"/>
        <w:spacing w:after="0" w:line="236" w:lineRule="auto"/>
        <w:tabs>
          <w:tab w:leader="none" w:pos="660" w:val="left"/>
        </w:tabs>
        <w:numPr>
          <w:ilvl w:val="0"/>
          <w:numId w:val="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debt service payments, interest payments due on senior notes and the commitment fee on assumed available capacity under our credit facilities, as well as long-term borrowings under our credit agreements and commercial paper program, if any. Although there may be short-term borrowings under our credit agreements and commercial paper program, we historically repay and borrow at varying amounts. As such, we have included only the maximum commitment fee (as if no short-term borrowings were outstanding on the credit facilities or commercial paper program) in the amounts above. For additional information regarding our debt obligations, see Note 9 to our Condensed Consolidated Financial Statements.</w:t>
      </w:r>
    </w:p>
    <w:p>
      <w:pPr>
        <w:spacing w:after="0" w:line="91" w:lineRule="exact"/>
        <w:rPr>
          <w:rFonts w:ascii="Times New Roman" w:cs="Times New Roman" w:eastAsia="Times New Roman" w:hAnsi="Times New Roman"/>
          <w:sz w:val="25"/>
          <w:szCs w:val="25"/>
          <w:color w:val="auto"/>
          <w:vertAlign w:val="superscript"/>
        </w:rPr>
      </w:pPr>
    </w:p>
    <w:p>
      <w:pPr>
        <w:ind w:left="660" w:right="480" w:hanging="652"/>
        <w:spacing w:after="0" w:line="218" w:lineRule="auto"/>
        <w:tabs>
          <w:tab w:leader="none" w:pos="660" w:val="left"/>
        </w:tabs>
        <w:numPr>
          <w:ilvl w:val="0"/>
          <w:numId w:val="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Leases are primarily for (i) railcars, (ii) land and surface rentals, (iii) office buildings, (iv) pipeline assets and (v) vehicles and trailers. Includes operating and capital leases as defined by FASB guidance, as well as obligations for rights-of-way easements.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right="120" w:hanging="652"/>
        <w:spacing w:after="0" w:line="236" w:lineRule="auto"/>
        <w:tabs>
          <w:tab w:leader="none" w:pos="660" w:val="left"/>
        </w:tabs>
        <w:numPr>
          <w:ilvl w:val="0"/>
          <w:numId w:val="4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$785 million associated with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91" w:lineRule="exact"/>
        <w:rPr>
          <w:rFonts w:ascii="Times New Roman" w:cs="Times New Roman" w:eastAsia="Times New Roman" w:hAnsi="Times New Roman"/>
          <w:sz w:val="25"/>
          <w:szCs w:val="25"/>
          <w:color w:val="auto"/>
          <w:vertAlign w:val="superscript"/>
        </w:rPr>
      </w:pPr>
    </w:p>
    <w:p>
      <w:pPr>
        <w:ind w:left="660" w:right="60" w:hanging="652"/>
        <w:spacing w:after="0" w:line="228" w:lineRule="auto"/>
        <w:tabs>
          <w:tab w:leader="none" w:pos="660" w:val="left"/>
        </w:tabs>
        <w:numPr>
          <w:ilvl w:val="0"/>
          <w:numId w:val="4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Amounts are primarily based on estimated volumes and market prices based on average activity during September 2018.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In connection with supply and logistics activities, we provide certain suppliers with irrevocable standby letters of credit to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obligation for the purchase and transportation of crude oil, NGL and natural gas. Additionally, we issue letters of credit to support insurance programs, derivative transactions including hedging related margin obligations and construction activities. At September 30, 2018 and December 31, 2017, we had outstanding letters of credit of approximately $181 million and $166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a discussion regarding our critical accounting policies and estimates, see “Critical Accounting Policies and Estimates” under Item 7 of our 2017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Items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March 2018, the Federal Energy Regulatory Commission (“FERC”) issued a revised policy statement (subsequently modified in a final rule issued in July 2018) in which it held that it will no longer permit an income tax allowance to be included in cost-of-service rates for interstate pipelines structured as master limited partnerships. The FERC also indicated that it will incorporate the effects of the revised policy statement in its next review of the oil pipeline index level, which will take effect in July 2021. We do not have cost-of-service rates that would be impacted by this policy change; our FERC regulated tariffs are either grandfathered or based on negotiated rates. However, depending on how the FERC incorporates its most recent tax policy statement into its next index review, the policy could potentially have a negative impact on the FERC adder to the PPI-FG Index, which in turn could have a negative effect on our ability to increase our index-based rates. The policy could impact future (i.e., July 2021 and later) tariff escalations on our FERC regulated pipelines, as well as some of our state regulated pipelines that have negotiated rates with escalations tied to the FERC Index.</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980" w:hanging="324"/>
        <w:spacing w:after="0" w:line="261"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distortions caused by over-commitments to infrastructure projects, which impacts volumes, margins, returns and overall earnings;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or events that are not covered by an indemnity, insurance or existing reserves;</w:t>
      </w:r>
    </w:p>
    <w:p>
      <w:pPr>
        <w:spacing w:after="0" w:line="22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225"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including attacks on our electronic and computer systems;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expansion projects, whether due to permitting delays, permitting withdrawals or other factors;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accounting standards and statements, and related interpretations;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consummate, or significant delay in consummating, sales of assets or interests as a part of our strategic divestiture program;</w:t>
      </w:r>
    </w:p>
    <w:p>
      <w:pPr>
        <w:spacing w:after="0" w:line="225" w:lineRule="exact"/>
        <w:rPr>
          <w:rFonts w:ascii="Times New Roman" w:cs="Times New Roman" w:eastAsia="Times New Roman" w:hAnsi="Times New Roman"/>
          <w:sz w:val="18"/>
          <w:szCs w:val="18"/>
          <w:color w:val="auto"/>
        </w:rPr>
      </w:pPr>
    </w:p>
    <w:p>
      <w:pPr>
        <w:ind w:left="980" w:right="260" w:hanging="324"/>
        <w:spacing w:after="0" w:line="313" w:lineRule="auto"/>
        <w:tabs>
          <w:tab w:leader="none" w:pos="9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38"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 or combination opportunities;</w:t>
      </w:r>
    </w:p>
    <w:p>
      <w:pPr>
        <w:spacing w:after="0" w:line="22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w:t>
      </w:r>
    </w:p>
    <w:p>
      <w:pPr>
        <w:spacing w:after="0" w:line="22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creditworthiness of, and performance by, our counterparties, including financial institutions and trading companies with which we do business;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121" w:right="25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non-utilization of our assets and facilities;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including our ability to satisfy our contractual obligations to our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demand for natural gas and natural gas storage services and rates;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and the amplification of other risks caused by volatile financial markets, capital constraints and pervasive liquidity concerns; and</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62"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Other factors described herein, as well as factors that are unknown or unpredictable, could also have a material adverse effect on future results. Please read “Risk Factors” discussed in Item 1A. of our 2017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121" w:right="25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 derivative instruments to hedge price risk associated with the following commodities:</w:t>
      </w:r>
    </w:p>
    <w:p>
      <w:pPr>
        <w:spacing w:after="0" w:line="250" w:lineRule="exact"/>
        <w:rPr>
          <w:sz w:val="20"/>
          <w:szCs w:val="20"/>
          <w:color w:val="auto"/>
        </w:rPr>
      </w:pPr>
    </w:p>
    <w:p>
      <w:pPr>
        <w:ind w:left="1360" w:hanging="704"/>
        <w:spacing w:after="0"/>
        <w:tabs>
          <w:tab w:leader="none" w:pos="136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Crude oil</w:t>
      </w:r>
    </w:p>
    <w:p>
      <w:pPr>
        <w:spacing w:after="0" w:line="241" w:lineRule="exact"/>
        <w:rPr>
          <w:sz w:val="20"/>
          <w:szCs w:val="20"/>
          <w:color w:val="auto"/>
        </w:rPr>
      </w:pPr>
    </w:p>
    <w:p>
      <w:pPr>
        <w:ind w:left="1300" w:right="140"/>
        <w:spacing w:after="0" w:line="261" w:lineRule="auto"/>
        <w:rPr>
          <w:sz w:val="20"/>
          <w:szCs w:val="20"/>
          <w:color w:val="auto"/>
        </w:rPr>
      </w:pPr>
      <w:r>
        <w:rPr>
          <w:rFonts w:ascii="Times New Roman" w:cs="Times New Roman" w:eastAsia="Times New Roman" w:hAnsi="Times New Roman"/>
          <w:sz w:val="18"/>
          <w:szCs w:val="18"/>
          <w:color w:val="auto"/>
        </w:rPr>
        <w:t>We utilize crude oil derivatives to hedge commodity price risk inherent in our Supply and Logistics and Transportation segments. Our objectives for these derivatives include hedging anticipated purchases and sales, stored inventory, basis differentials and storage capacity utilization. We manage these exposures with various instruments including exchange-traded and over-the-counter futures, forwards, swaps and options.</w:t>
      </w:r>
    </w:p>
    <w:p>
      <w:pPr>
        <w:spacing w:after="0" w:line="205" w:lineRule="exact"/>
        <w:rPr>
          <w:sz w:val="20"/>
          <w:szCs w:val="20"/>
          <w:color w:val="auto"/>
        </w:rPr>
      </w:pPr>
    </w:p>
    <w:p>
      <w:pPr>
        <w:ind w:left="1360" w:hanging="704"/>
        <w:spacing w:after="0"/>
        <w:tabs>
          <w:tab w:leader="none" w:pos="136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Natural gas</w:t>
      </w:r>
    </w:p>
    <w:p>
      <w:pPr>
        <w:spacing w:after="0" w:line="241" w:lineRule="exact"/>
        <w:rPr>
          <w:sz w:val="20"/>
          <w:szCs w:val="20"/>
          <w:color w:val="auto"/>
        </w:rPr>
      </w:pPr>
    </w:p>
    <w:p>
      <w:pPr>
        <w:ind w:left="1300" w:right="140"/>
        <w:spacing w:after="0" w:line="266" w:lineRule="auto"/>
        <w:rPr>
          <w:sz w:val="20"/>
          <w:szCs w:val="20"/>
          <w:color w:val="auto"/>
        </w:rPr>
      </w:pPr>
      <w:r>
        <w:rPr>
          <w:rFonts w:ascii="Times New Roman" w:cs="Times New Roman" w:eastAsia="Times New Roman" w:hAnsi="Times New Roman"/>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exchange-traded futures, swaps and options.</w:t>
      </w:r>
    </w:p>
    <w:p>
      <w:pPr>
        <w:spacing w:after="0" w:line="201" w:lineRule="exact"/>
        <w:rPr>
          <w:sz w:val="20"/>
          <w:szCs w:val="20"/>
          <w:color w:val="auto"/>
        </w:rPr>
      </w:pPr>
    </w:p>
    <w:p>
      <w:pPr>
        <w:ind w:left="1360" w:hanging="704"/>
        <w:spacing w:after="0"/>
        <w:tabs>
          <w:tab w:leader="none" w:pos="1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NGL and other</w:t>
      </w:r>
    </w:p>
    <w:p>
      <w:pPr>
        <w:spacing w:after="0" w:line="241" w:lineRule="exact"/>
        <w:rPr>
          <w:sz w:val="20"/>
          <w:szCs w:val="20"/>
          <w:color w:val="auto"/>
        </w:rPr>
      </w:pPr>
    </w:p>
    <w:p>
      <w:pPr>
        <w:ind w:left="1300" w:right="120"/>
        <w:spacing w:after="0" w:line="266" w:lineRule="auto"/>
        <w:rPr>
          <w:sz w:val="20"/>
          <w:szCs w:val="20"/>
          <w:color w:val="auto"/>
        </w:rPr>
      </w:pPr>
      <w:r>
        <w:rPr>
          <w:rFonts w:ascii="Times New Roman" w:cs="Times New Roman" w:eastAsia="Times New Roman" w:hAnsi="Times New Roman"/>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11 to our Condensed Consolidated Financial Statements for further discussion regarding our hedging strategies and objectives.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commodity derivatives and the change in fair value as of September 30, 2018 that would be expected from a 10% price increase or decrease is shown in the table below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200" w:type="dxa"/>
            <w:vAlign w:val="bottom"/>
          </w:tcPr>
          <w:p>
            <w:pPr>
              <w:spacing w:after="0"/>
              <w:rPr>
                <w:sz w:val="13"/>
                <w:szCs w:val="13"/>
                <w:color w:val="auto"/>
              </w:rPr>
            </w:pPr>
          </w:p>
        </w:tc>
        <w:tc>
          <w:tcPr>
            <w:tcW w:w="12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Price Decrease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Crude oil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NGL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fair value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September 30, 2018, approximately $560 million, was subject to interest rate re-sets that range from one day to approximately one month. The average interest rate on variable rate debt that was outstanding during the nine months ended September 30, 2018 was 2.9%, based upon rates in effect during such period. The fair value of our interest rate derivatives was an asset of $15 million as of September 30, 2018. A 10% increase in the forward LIBOR curve as of September 30, 2018 would have resulted in an increase of $23 million to the fair value of our interest rate derivatives. A 10% decrease in the forward LIBOR curve as of September 30, 2018 would have resulted in a decrease of $23 million to the fair value of our interest rate derivatives. See Note 11 to our Condensed Consolidated Financial Statements for a discussion of our interest rate risk hedging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Rate Risk</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an asset of $2 million as of September 30, 2018. A 10% increase in the exchange rate (USD-to-CAD) would have resulted in a decrease of $36 million to the fair value of our foreign currency derivatives. A 10% decrease in the exchange rate (USD-to-CAD) would have resulted in an increase of $36 million to the fair value of our foreign currency derivatives. See Note 11 to our Condensed Consolidated Financial Statements for a discussion of our currency exchange rate risk hedging.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Distribution Rate Reset Option</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U.S. treasury rates, default probabilities and timing estimates to ultimately calculate the fair value of our Series A preferred units with and without the Preferred Distribution Rate Reset Option. The fair value of this embedded derivative was a liability of $19 million as of September 30, 2018. A 10% increase or decrease in the fair value would have an impact of $2 million. See Note 11 to our Condensed Consolidated Financial Statements for a discussion of embedded derivatives.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2018, the end of the period covered by this report, and, based on such evaluation, our Chief Executive Officer and Chief Financial Officer have concluded that our DCP is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2018 that have materially affected, or are reasonably likely to materially affect, our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Note 13 to our Condensed Consolidated Financial Statements, and is incorporated herein by reference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For a discussion regarding our risk factors, see Item 1A. of our 2017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Omnibus Agreement, entered into as part of the Simplification Transactions, which closed on November 15, 2016, provides for the mechanics by which (i) the total number of PAGP’s outstanding Class A shares will equal the number of AAP units held by PAGP, and (ii) the total number of our common units held by AAP will equal the sum of the number of outstanding AAP units and the number of AAP units that are issuable to the holders of vested and earned AAP Management Units. As such, we are obligated to issue common units to AAP in connection with PAGP’s issuance of Class A shares upon PAGP LTIP award vestings. During the three months ended September 30, 2018, we issued 11,250 common units to AAP in connection with PAGP LTIP award vestings. The issuance of all such common units to AAP was exempt from the registration requirements of the Securities Act of 1933, as amended, pursuant to Section 4(a)(2) thereof.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94" w:lineRule="exact"/>
        <w:rPr>
          <w:sz w:val="20"/>
          <w:szCs w:val="20"/>
          <w:color w:val="auto"/>
        </w:rPr>
      </w:pPr>
    </w:p>
    <w:p>
      <w:pPr>
        <w:ind w:left="240"/>
        <w:spacing w:after="0"/>
        <w:tabs>
          <w:tab w:leader="none" w:pos="622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520"/>
        <w:spacing w:after="0"/>
        <w:tabs>
          <w:tab w:leader="none" w:pos="1440" w:val="left"/>
          <w:tab w:leader="none" w:pos="1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37">
        <w:r>
          <w:rPr>
            <w:rFonts w:ascii="Times New Roman" w:cs="Times New Roman" w:eastAsia="Times New Roman" w:hAnsi="Times New Roman"/>
            <w:sz w:val="17"/>
            <w:szCs w:val="17"/>
            <w:u w:val="single" w:color="auto"/>
            <w:color w:val="0000FF"/>
          </w:rPr>
          <w:t>Seventh Amended and Restated Agreement of Limited Partnership of Plains All American Pipeline, L.P., dated as of October 10,</w:t>
        </w:r>
      </w:hyperlink>
    </w:p>
    <w:p>
      <w:pPr>
        <w:spacing w:after="0" w:line="27" w:lineRule="exact"/>
        <w:rPr>
          <w:sz w:val="20"/>
          <w:szCs w:val="20"/>
          <w:color w:val="auto"/>
        </w:rPr>
      </w:pPr>
    </w:p>
    <w:p>
      <w:pPr>
        <w:ind w:left="1880"/>
        <w:spacing w:after="0"/>
        <w:rPr>
          <w:rFonts w:ascii="Times New Roman" w:cs="Times New Roman" w:eastAsia="Times New Roman" w:hAnsi="Times New Roman"/>
          <w:sz w:val="18"/>
          <w:szCs w:val="18"/>
          <w:u w:val="single" w:color="auto"/>
          <w:color w:val="0000FF"/>
        </w:rPr>
      </w:pPr>
      <w:hyperlink r:id="rId37">
        <w:r>
          <w:rPr>
            <w:rFonts w:ascii="Times New Roman" w:cs="Times New Roman" w:eastAsia="Times New Roman" w:hAnsi="Times New Roman"/>
            <w:sz w:val="18"/>
            <w:szCs w:val="18"/>
            <w:u w:val="single" w:color="auto"/>
            <w:color w:val="0000FF"/>
          </w:rPr>
          <w:t>2017 (incorporated by reference to Exhibit 3.1 to our Current Report on Form 8-K filed October 12, 2017).</w:t>
        </w:r>
      </w:hyperlink>
    </w:p>
    <w:p>
      <w:pPr>
        <w:spacing w:after="0" w:line="315" w:lineRule="exact"/>
        <w:rPr>
          <w:sz w:val="20"/>
          <w:szCs w:val="20"/>
          <w:color w:val="auto"/>
        </w:rPr>
      </w:pPr>
    </w:p>
    <w:p>
      <w:pPr>
        <w:ind w:left="1460" w:right="140" w:hanging="1347"/>
        <w:spacing w:after="0" w:line="282"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FF"/>
          </w:rPr>
          <w:t>Third Amended and Restated Agreement of Limited Partnership of Plains Marketing, L.P. dated as of April 1, 2004 (incorporated</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FF"/>
          </w:rPr>
          <w:t>by reference to Exhibit 3.2 to our Quarterly Report on Form 10-Q for the quarter ended March 31, 2004).</w:t>
        </w:r>
      </w:hyperlink>
    </w:p>
    <w:p>
      <w:pPr>
        <w:spacing w:after="0" w:line="270" w:lineRule="exact"/>
        <w:rPr>
          <w:sz w:val="20"/>
          <w:szCs w:val="20"/>
          <w:color w:val="auto"/>
        </w:rPr>
      </w:pPr>
    </w:p>
    <w:p>
      <w:pPr>
        <w:ind w:left="1460" w:right="300" w:hanging="1347"/>
        <w:spacing w:after="0" w:line="266"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FF"/>
          </w:rPr>
          <w:t>Amendment No. 1 dated December 31, 2010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FF"/>
          </w:rPr>
          <w:t>Marketing, L.P. (incorporated by reference to Exhibit 3.9 to our Annual Report on Form 10-K for the year ended December 31,</w:t>
        </w:r>
      </w:hyperlink>
      <w:r>
        <w:rPr>
          <w:rFonts w:ascii="Times New Roman" w:cs="Times New Roman" w:eastAsia="Times New Roman" w:hAnsi="Times New Roman"/>
          <w:sz w:val="18"/>
          <w:szCs w:val="18"/>
          <w:u w:val="single" w:color="auto"/>
          <w:color w:val="0000FF"/>
        </w:rPr>
        <w:t xml:space="preserve"> </w:t>
      </w:r>
      <w:hyperlink r:id="rId39">
        <w:r>
          <w:rPr>
            <w:rFonts w:ascii="Times New Roman" w:cs="Times New Roman" w:eastAsia="Times New Roman" w:hAnsi="Times New Roman"/>
            <w:sz w:val="18"/>
            <w:szCs w:val="18"/>
            <w:u w:val="single" w:color="auto"/>
            <w:color w:val="0000FF"/>
          </w:rPr>
          <w:t>2010).</w:t>
        </w:r>
      </w:hyperlink>
    </w:p>
    <w:p>
      <w:pPr>
        <w:spacing w:after="0" w:line="284" w:lineRule="exact"/>
        <w:rPr>
          <w:rFonts w:ascii="Times New Roman" w:cs="Times New Roman" w:eastAsia="Times New Roman" w:hAnsi="Times New Roman"/>
          <w:sz w:val="18"/>
          <w:szCs w:val="18"/>
          <w:color w:val="auto"/>
        </w:rPr>
      </w:pPr>
    </w:p>
    <w:p>
      <w:pPr>
        <w:ind w:left="1460" w:right="220" w:hanging="1347"/>
        <w:spacing w:after="0" w:line="266"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FF"/>
          </w:rPr>
          <w:t>Amendment No. 2 dated January 1, 2011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FF"/>
          </w:rPr>
          <w:t>Marketing, L.P. (incorporated by reference to Exhibit 3.10 to our Annual Report on Form 10-K for the year ended December 31,</w:t>
        </w:r>
      </w:hyperlink>
      <w:r>
        <w:rPr>
          <w:rFonts w:ascii="Times New Roman" w:cs="Times New Roman" w:eastAsia="Times New Roman" w:hAnsi="Times New Roman"/>
          <w:sz w:val="18"/>
          <w:szCs w:val="18"/>
          <w:u w:val="single" w:color="auto"/>
          <w:color w:val="0000FF"/>
        </w:rPr>
        <w:t xml:space="preserve"> </w:t>
      </w:r>
      <w:hyperlink r:id="rId40">
        <w:r>
          <w:rPr>
            <w:rFonts w:ascii="Times New Roman" w:cs="Times New Roman" w:eastAsia="Times New Roman" w:hAnsi="Times New Roman"/>
            <w:sz w:val="18"/>
            <w:szCs w:val="18"/>
            <w:u w:val="single" w:color="auto"/>
            <w:color w:val="0000FF"/>
          </w:rPr>
          <w:t>2010).</w:t>
        </w:r>
      </w:hyperlink>
    </w:p>
    <w:p>
      <w:pPr>
        <w:spacing w:after="0" w:line="284" w:lineRule="exact"/>
        <w:rPr>
          <w:rFonts w:ascii="Times New Roman" w:cs="Times New Roman" w:eastAsia="Times New Roman" w:hAnsi="Times New Roman"/>
          <w:sz w:val="18"/>
          <w:szCs w:val="18"/>
          <w:color w:val="auto"/>
        </w:rPr>
      </w:pPr>
    </w:p>
    <w:p>
      <w:pPr>
        <w:ind w:left="1460" w:right="300" w:hanging="1347"/>
        <w:spacing w:after="0" w:line="266"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FF"/>
          </w:rPr>
          <w:t>Amendment No. 3 dated June 30, 2011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FF"/>
          </w:rPr>
          <w:t>Marketing, L.P. (incorporated by reference to Exhibit 3.7 to our Annual Report on Form 10-K for the year ended December 31,</w:t>
        </w:r>
      </w:hyperlink>
      <w:r>
        <w:rPr>
          <w:rFonts w:ascii="Times New Roman" w:cs="Times New Roman" w:eastAsia="Times New Roman" w:hAnsi="Times New Roman"/>
          <w:sz w:val="18"/>
          <w:szCs w:val="18"/>
          <w:u w:val="single" w:color="auto"/>
          <w:color w:val="0000FF"/>
        </w:rPr>
        <w:t xml:space="preserve"> </w:t>
      </w:r>
      <w:hyperlink r:id="rId41">
        <w:r>
          <w:rPr>
            <w:rFonts w:ascii="Times New Roman" w:cs="Times New Roman" w:eastAsia="Times New Roman" w:hAnsi="Times New Roman"/>
            <w:sz w:val="18"/>
            <w:szCs w:val="18"/>
            <w:u w:val="single" w:color="auto"/>
            <w:color w:val="0000FF"/>
          </w:rPr>
          <w:t>2013).</w:t>
        </w:r>
      </w:hyperlink>
    </w:p>
    <w:p>
      <w:pPr>
        <w:spacing w:after="0" w:line="284" w:lineRule="exact"/>
        <w:rPr>
          <w:rFonts w:ascii="Times New Roman" w:cs="Times New Roman" w:eastAsia="Times New Roman" w:hAnsi="Times New Roman"/>
          <w:sz w:val="18"/>
          <w:szCs w:val="18"/>
          <w:color w:val="auto"/>
        </w:rPr>
      </w:pPr>
    </w:p>
    <w:p>
      <w:pPr>
        <w:ind w:left="1460" w:right="340" w:hanging="1347"/>
        <w:spacing w:after="0" w:line="266"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FF"/>
          </w:rPr>
          <w:t>Amendment No. 4 dated January 1, 2013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FF"/>
          </w:rPr>
          <w:t>Marketing, L.P (incorporated by reference to Exhibit 3.8 to our Annual Report on Form 10-K for the year ended December 31,</w:t>
        </w:r>
      </w:hyperlink>
      <w:r>
        <w:rPr>
          <w:rFonts w:ascii="Times New Roman" w:cs="Times New Roman" w:eastAsia="Times New Roman" w:hAnsi="Times New Roman"/>
          <w:sz w:val="18"/>
          <w:szCs w:val="18"/>
          <w:u w:val="single" w:color="auto"/>
          <w:color w:val="0000FF"/>
        </w:rPr>
        <w:t xml:space="preserve"> </w:t>
      </w:r>
      <w:hyperlink r:id="rId42">
        <w:r>
          <w:rPr>
            <w:rFonts w:ascii="Times New Roman" w:cs="Times New Roman" w:eastAsia="Times New Roman" w:hAnsi="Times New Roman"/>
            <w:sz w:val="18"/>
            <w:szCs w:val="18"/>
            <w:u w:val="single" w:color="auto"/>
            <w:color w:val="0000FF"/>
          </w:rPr>
          <w:t>2013).</w:t>
        </w:r>
      </w:hyperlink>
    </w:p>
    <w:p>
      <w:pPr>
        <w:spacing w:after="0" w:line="284" w:lineRule="exact"/>
        <w:rPr>
          <w:rFonts w:ascii="Times New Roman" w:cs="Times New Roman" w:eastAsia="Times New Roman" w:hAnsi="Times New Roman"/>
          <w:sz w:val="18"/>
          <w:szCs w:val="18"/>
          <w:color w:val="auto"/>
        </w:rPr>
      </w:pPr>
    </w:p>
    <w:p>
      <w:pPr>
        <w:ind w:left="1460" w:right="80" w:hanging="1347"/>
        <w:spacing w:after="0" w:line="282"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FF"/>
          </w:rPr>
          <w:t>Third Amended and Restated Agreement of Limited Partnership of Plains Pipeline, L.P. dated as of April 1, 2004 (incorporated by</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FF"/>
          </w:rPr>
          <w:t>reference to Exhibit 3.3 to our Quarterly Report on Form 10-Q for the quarter ended March 31, 2004).</w:t>
        </w:r>
      </w:hyperlink>
    </w:p>
    <w:p>
      <w:pPr>
        <w:spacing w:after="0" w:line="270" w:lineRule="exact"/>
        <w:rPr>
          <w:sz w:val="20"/>
          <w:szCs w:val="20"/>
          <w:color w:val="auto"/>
        </w:rPr>
      </w:pPr>
    </w:p>
    <w:p>
      <w:pPr>
        <w:ind w:left="1460" w:right="20" w:hanging="1347"/>
        <w:spacing w:after="0" w:line="282"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FF"/>
          </w:rPr>
          <w:t>Amendment No. 1 dated January 1, 2013 to the Third Amended and Restated Agreement of Limited Partnership of Plains Pipeline,</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FF"/>
          </w:rPr>
          <w:t>L.P. (incorporated by reference to Exhibit 3.10 to our Annual Report on Form 10-K for the year ended December 31, 2013).</w:t>
        </w:r>
      </w:hyperlink>
    </w:p>
    <w:p>
      <w:pPr>
        <w:spacing w:after="0" w:line="270" w:lineRule="exact"/>
        <w:rPr>
          <w:sz w:val="20"/>
          <w:szCs w:val="20"/>
          <w:color w:val="auto"/>
        </w:rPr>
      </w:pPr>
    </w:p>
    <w:p>
      <w:pPr>
        <w:ind w:left="1460" w:right="20" w:hanging="1347"/>
        <w:spacing w:after="0" w:line="282"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FF"/>
          </w:rPr>
          <w:t>Seventh Amended and Restated Limited Liability Company Agreement of Plains All American GP LLC dated November 15, 2016</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FF"/>
          </w:rPr>
          <w:t>(incorporated by reference to Exhibit 3.3 to our Current Report on Form 8-K filed November 21, 2016).</w:t>
        </w:r>
      </w:hyperlink>
    </w:p>
    <w:p>
      <w:pPr>
        <w:spacing w:after="0" w:line="270" w:lineRule="exact"/>
        <w:rPr>
          <w:sz w:val="20"/>
          <w:szCs w:val="20"/>
          <w:color w:val="auto"/>
        </w:rPr>
      </w:pPr>
    </w:p>
    <w:p>
      <w:pPr>
        <w:ind w:left="1460" w:right="360" w:hanging="1392"/>
        <w:spacing w:after="0" w:line="282"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FF"/>
          </w:rPr>
          <w:t>Eighth Amended and Restated Limited Partnership Agreement of Plains AAP, L.P. dated November 15, 2016 (incorporated by</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FF"/>
          </w:rPr>
          <w:t>reference to Exhibit 3.4 to our Current Report on Form 8-K filed November 21, 2016).</w:t>
        </w:r>
      </w:hyperlink>
    </w:p>
    <w:p>
      <w:pPr>
        <w:spacing w:after="0" w:line="270" w:lineRule="exact"/>
        <w:rPr>
          <w:sz w:val="20"/>
          <w:szCs w:val="20"/>
          <w:color w:val="auto"/>
        </w:rPr>
      </w:pPr>
    </w:p>
    <w:p>
      <w:pPr>
        <w:ind w:left="1460" w:right="80" w:hanging="1389"/>
        <w:spacing w:after="0" w:line="282"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FF"/>
          </w:rPr>
          <w:t>Amendment No. 1 dated September 26, 2018 to the Eighth Amended and Restated Limited Partnership Agreement of Plains AAP,</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FF"/>
          </w:rPr>
          <w:t>L.P. (incorporated by reference to Exhibit 3.1 to our Current Report on Form 8-K filed October 2, 2018).</w:t>
        </w:r>
      </w:hyperlink>
    </w:p>
    <w:p>
      <w:pPr>
        <w:spacing w:after="0" w:line="121" w:lineRule="exact"/>
        <w:rPr>
          <w:sz w:val="20"/>
          <w:szCs w:val="20"/>
          <w:color w:val="auto"/>
        </w:rPr>
      </w:pPr>
    </w:p>
    <w:p>
      <w:pPr>
        <w:ind w:left="1460" w:hanging="1392"/>
        <w:spacing w:after="0" w:line="282"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FF"/>
          </w:rPr>
          <w:t>Certificate of Incorporation of PAA Finance Corp. (f/k/a Pacific Energy Finance Corporation, successor-by-merger to PAA Finance</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FF"/>
          </w:rPr>
          <w:t>Corp.) (incorporated by reference to Exhibit 3.10 to our Annual Report on Form 10-K for the year ended December 31, 2006).</w:t>
        </w:r>
      </w:hyperlink>
    </w:p>
    <w:p>
      <w:pPr>
        <w:spacing w:after="0" w:line="270" w:lineRule="exact"/>
        <w:rPr>
          <w:sz w:val="20"/>
          <w:szCs w:val="20"/>
          <w:color w:val="auto"/>
        </w:rPr>
      </w:pPr>
    </w:p>
    <w:p>
      <w:pPr>
        <w:jc w:val="right"/>
        <w:ind w:left="480" w:right="880"/>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3.13       —   </w:t>
      </w:r>
      <w:hyperlink r:id="rId49">
        <w:r>
          <w:rPr>
            <w:rFonts w:ascii="Times New Roman" w:cs="Times New Roman" w:eastAsia="Times New Roman" w:hAnsi="Times New Roman"/>
            <w:sz w:val="18"/>
            <w:szCs w:val="18"/>
            <w:u w:val="single" w:color="auto"/>
            <w:color w:val="0000FF"/>
          </w:rPr>
          <w:t>Bylaws of PAA Finance Corp. (f/k/a Pacific Energy Finance Corporation, successor-by-merger to PAA Finance Corp.)</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FF"/>
          </w:rPr>
          <w:t>(incorporated by reference to Exhibit 3.11 to our Annual Report on Form 10-K for the year ended December 31, 2006).</w:t>
        </w:r>
      </w:hyperlink>
    </w:p>
    <w:p>
      <w:pPr>
        <w:spacing w:after="0" w:line="257"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5"/>
              </w:rPr>
              <w:t>3.14</w:t>
            </w:r>
          </w:p>
        </w:tc>
        <w:tc>
          <w:tcPr>
            <w:tcW w:w="10160" w:type="dxa"/>
            <w:vAlign w:val="bottom"/>
            <w:gridSpan w:val="3"/>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color w:val="0000FF"/>
                </w:rPr>
                <w:t>Limited Liability Company Agreement of PAA GP LLC dated December 28, 2007 (incorporated by reference to Exhibit 3.3 to our</w:t>
              </w:r>
            </w:hyperlink>
          </w:p>
        </w:tc>
      </w:tr>
      <w:tr>
        <w:trPr>
          <w:trHeight w:val="196"/>
        </w:trPr>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7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Current Report on Form 8-K filed January 4, 2008).</w:t>
              </w:r>
            </w:hyperlink>
          </w:p>
        </w:tc>
        <w:tc>
          <w:tcPr>
            <w:tcW w:w="5660" w:type="dxa"/>
            <w:vAlign w:val="bottom"/>
            <w:tcBorders>
              <w:top w:val="single" w:sz="8" w:color="0000FF"/>
            </w:tcBorders>
          </w:tcPr>
          <w:p>
            <w:pPr>
              <w:spacing w:after="0"/>
              <w:rPr>
                <w:sz w:val="17"/>
                <w:szCs w:val="17"/>
                <w:color w:val="auto"/>
              </w:rPr>
            </w:pPr>
          </w:p>
        </w:tc>
      </w:tr>
    </w:tbl>
    <w:p>
      <w:pPr>
        <w:spacing w:after="0" w:line="333" w:lineRule="exact"/>
        <w:rPr>
          <w:sz w:val="20"/>
          <w:szCs w:val="20"/>
          <w:color w:val="auto"/>
        </w:rPr>
      </w:pPr>
    </w:p>
    <w:p>
      <w:pPr>
        <w:ind w:left="1460" w:right="300" w:hanging="1392"/>
        <w:spacing w:after="0" w:line="282"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FF"/>
          </w:rPr>
          <w:t>Certificate of Limited Partnership of Plains GP Holdings, L.P. (incorporated by reference to Exhibit 3.1 to PAGP’s Registration</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FF"/>
          </w:rPr>
          <w:t>Statement on Form S-1 (333-190227) filed July 29, 2013).</w:t>
        </w:r>
      </w:hyperlink>
    </w:p>
    <w:p>
      <w:pPr>
        <w:spacing w:after="0" w:line="121" w:lineRule="exact"/>
        <w:rPr>
          <w:sz w:val="20"/>
          <w:szCs w:val="20"/>
          <w:color w:val="auto"/>
        </w:rPr>
      </w:pPr>
    </w:p>
    <w:p>
      <w:pPr>
        <w:ind w:left="1460" w:right="760" w:hanging="1392"/>
        <w:spacing w:after="0" w:line="282"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FF"/>
          </w:rPr>
          <w:t>Second Amended and Restated Agreement of Limited Partnership of Plains GP Holdings, L.P. dated November 15, 2016</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FF"/>
          </w:rPr>
          <w:t>(incorporated by reference to Exhibit 3.2 to PAGP’s Current Report on Form 8-K filed November 21, 2016).</w:t>
        </w:r>
      </w:hyperlink>
    </w:p>
    <w:p>
      <w:pPr>
        <w:spacing w:after="0" w:line="121" w:lineRule="exact"/>
        <w:rPr>
          <w:sz w:val="20"/>
          <w:szCs w:val="20"/>
          <w:color w:val="auto"/>
        </w:rPr>
      </w:pPr>
    </w:p>
    <w:p>
      <w:pPr>
        <w:ind w:left="1460" w:right="80" w:hanging="1392"/>
        <w:spacing w:after="0" w:line="282"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FF"/>
          </w:rPr>
          <w:t>Certificate of Formation of PAA GP Holdings LLC (incorporated by reference to Exhibit 3.3 to PAGP’s Registration Statement on</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FF"/>
          </w:rPr>
          <w:t>Form S-1 (333-190227) filed July 29, 2013).</w:t>
        </w:r>
      </w:hyperlink>
    </w:p>
    <w:p>
      <w:pPr>
        <w:sectPr>
          <w:pgSz w:w="11900" w:h="16838" w:orient="portrait"/>
          <w:cols w:equalWidth="0" w:num="1">
            <w:col w:w="11340"/>
          </w:cols>
          <w:pgMar w:left="240" w:top="121" w:right="319" w:bottom="1143" w:gutter="0" w:footer="0" w:header="0"/>
        </w:sectPr>
      </w:pP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40"/>
          </w:cols>
          <w:pgMar w:left="240" w:top="121" w:right="319" w:bottom="1143"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color w:val="0000FF"/>
                </w:rPr>
                <w:t>Third Amended and Restated Limited Liability Company Agreement of PAA GP Holdings LLC dated as of February 16, 2017</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12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(incorporated by reference to Exhibit 3.1 to our Current Report on Form 8-K filed February 21, 2017).</w:t>
              </w:r>
            </w:hyperlink>
          </w:p>
        </w:tc>
        <w:tc>
          <w:tcPr>
            <w:tcW w:w="340" w:type="dxa"/>
            <w:vAlign w:val="bottom"/>
            <w:gridSpan w:val="9"/>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color w:val="0000FF"/>
                </w:rPr>
                <w:t>Amendment No. 1 dated October 1, 2018 to the Third Amended and Restated Limited Liability Company Agreement of PAA GP</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2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Holdings LLC (incorporated by reference to Exhibit 3.1 to our Current Report on Form 8-K filed August 20, 2018).</w:t>
              </w:r>
            </w:hyperlink>
          </w:p>
        </w:tc>
        <w:tc>
          <w:tcPr>
            <w:tcW w:w="14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color w:val="0000FF"/>
                </w:rPr>
                <w:t>Indenture dated September 25, 2002 among Plains All American Pipeline, L.P., PAA Finance Corp. and Wachovia Bank, National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960" w:type="dxa"/>
            <w:vAlign w:val="bottom"/>
            <w:tcBorders>
              <w:top w:val="single" w:sz="8" w:color="0000FF"/>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Association, as trustee (incorporated by reference to Exhibit 4.1 to our Quarterly Report on Form 10-Q for the quarter ended</w:t>
              </w:r>
            </w:hyperlink>
          </w:p>
        </w:tc>
        <w:tc>
          <w:tcPr>
            <w:tcW w:w="400" w:type="dxa"/>
            <w:vAlign w:val="bottom"/>
            <w:tcBorders>
              <w:top w:val="single" w:sz="8" w:color="0000FF"/>
            </w:tcBorders>
            <w:gridSpan w:val="9"/>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30"/>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September 30, 2002).</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color w:val="0000FF"/>
                </w:rPr>
                <w:t>Sixth Supplemental Indenture (Series A and Series B 6.70% Senior Notes due 2036) dated May 12, 2006 among Plains All</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30"/>
          </w:tcPr>
          <w:p>
            <w:pPr>
              <w:spacing w:after="0" w:line="19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American Pipeline, L.P., PAA Finance Corp., the Subsidiary Guarantors named therein and Wachovia Bank, National Association,</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80" w:type="dxa"/>
            <w:vAlign w:val="bottom"/>
            <w:tcBorders>
              <w:top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as trustee (incorporated by reference to Exhibit 4.1 to our Current Report on Form 8-K filed May 12, 2006).</w:t>
              </w:r>
            </w:hyperlink>
          </w:p>
        </w:tc>
        <w:tc>
          <w:tcPr>
            <w:tcW w:w="8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color w:val="0000FF"/>
                </w:rPr>
                <w:t>Tenth Supplemental Indenture (Series A and Series B 6.650% Senior Notes due 2037) dated October 30, 2006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140" w:type="dxa"/>
            <w:vAlign w:val="bottom"/>
            <w:tcBorders>
              <w:top w:val="single" w:sz="8" w:color="0000FF"/>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American Pipeline, L.P., PAA Finance Corp., the Subsidiary Guarantors named therein and U.S. Bank National Association, as</w:t>
              </w:r>
            </w:hyperlink>
          </w:p>
        </w:tc>
        <w:tc>
          <w:tcPr>
            <w:tcW w:w="80" w:type="dxa"/>
            <w:vAlign w:val="bottom"/>
            <w:tcBorders>
              <w:top w:val="single" w:sz="8" w:color="0000FF"/>
            </w:tcBorders>
            <w:gridSpan w:val="3"/>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trustee (incorporated by reference to Exhibit 4.2 to our Current Report on Form 8-K filed October 30, 2006).</w:t>
              </w:r>
            </w:hyperlink>
          </w:p>
        </w:tc>
        <w:tc>
          <w:tcPr>
            <w:tcW w:w="1640" w:type="dxa"/>
            <w:vAlign w:val="bottom"/>
            <w:gridSpan w:val="18"/>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color w:val="0000FF"/>
                </w:rPr>
                <w:t>Seventeenth Supplemental Indenture (5.75% Senior Notes due 2020) dated September 4, 2009 among Plains All American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30"/>
          </w:tcPr>
          <w:p>
            <w:pPr>
              <w:spacing w:after="0" w:line="19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Pipeline, L.P., PAA Finance Corp., the Subsidiary Guarantors named therein and U.S. Bank National Association, as trustee</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(incorporated by reference to Exhibit 4.1 to our Current Report on Form 8-K filed September 4, 2009).</w:t>
              </w:r>
            </w:hyperlink>
          </w:p>
        </w:tc>
        <w:tc>
          <w:tcPr>
            <w:tcW w:w="1500" w:type="dxa"/>
            <w:vAlign w:val="bottom"/>
            <w:tcBorders>
              <w:top w:val="single" w:sz="8" w:color="0000FF"/>
            </w:tcBorders>
            <w:gridSpan w:val="7"/>
          </w:tcPr>
          <w:p>
            <w:pPr>
              <w:spacing w:after="0"/>
              <w:rPr>
                <w:sz w:val="17"/>
                <w:szCs w:val="17"/>
                <w:color w:val="auto"/>
              </w:rPr>
            </w:pPr>
          </w:p>
        </w:tc>
        <w:tc>
          <w:tcPr>
            <w:tcW w:w="560" w:type="dxa"/>
            <w:vAlign w:val="bottom"/>
            <w:gridSpan w:val="13"/>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color w:val="0000FF"/>
                </w:rPr>
                <w:t>Nineteenth Supplemental Indenture (5.00% Senior Notes due 2021) dated January 14, 2011 among Plains All American Pipeline,</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7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L.P., PAA Finance Corp., the Subsidiary Guarantors named therein and U.S. Bank National Association, as trustee (incorporated by</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30"/>
          </w:tcPr>
          <w:p>
            <w:pPr>
              <w:spacing w:after="0" w:line="19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reference to Exhibit 4.1 to our Current Report on Form 8-K filed January 11, 2011).</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color w:val="0000FF"/>
                </w:rPr>
                <w:t>Twentieth Supplemental Indenture (3.65% Senior Notes due 2022) dated March 22, 2012 among Plains All American Pipeline,</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L.P., PAA Finance Corp. and U.S. Bank National Association, as trustee (incorporated by reference to Exhibit 4.1 to our Current</w:t>
              </w:r>
            </w:hyperlink>
          </w:p>
        </w:tc>
        <w:tc>
          <w:tcPr>
            <w:tcW w:w="16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Report on Form 8-K filed March 26, 2012).</w:t>
              </w:r>
            </w:hyperlink>
          </w:p>
        </w:tc>
        <w:tc>
          <w:tcPr>
            <w:tcW w:w="6320" w:type="dxa"/>
            <w:vAlign w:val="bottom"/>
            <w:gridSpan w:val="28"/>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color w:val="0000FF"/>
                </w:rPr>
                <w:t>Twenty-First Supplemental Indenture (5.15% Senior Notes due 2042) dated March 22, 2012 among Plains All American Pipeline,</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00" w:type="dxa"/>
            <w:vAlign w:val="bottom"/>
            <w:tcBorders>
              <w:top w:val="single" w:sz="8" w:color="0000FF"/>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L.P., PAA Finance Corp. and U.S. Bank National Association, as trustee (incorporated by reference to Exhibit 4.3 to our Current</w:t>
              </w:r>
            </w:hyperlink>
          </w:p>
        </w:tc>
        <w:tc>
          <w:tcPr>
            <w:tcW w:w="60" w:type="dxa"/>
            <w:vAlign w:val="bottom"/>
            <w:tcBorders>
              <w:top w:val="single" w:sz="8" w:color="0000FF"/>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Report on Form 8-K filed March 26, 2012).</w:t>
              </w:r>
            </w:hyperlink>
          </w:p>
        </w:tc>
        <w:tc>
          <w:tcPr>
            <w:tcW w:w="6320" w:type="dxa"/>
            <w:vAlign w:val="bottom"/>
            <w:gridSpan w:val="28"/>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color w:val="0000FF"/>
                </w:rPr>
                <w:t>Twenty-Second Supplemental Indenture (2.85% Senior Notes due 2023) dated December 10, 2012,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8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American Pipeline, L.P., PAA Finance Corp. and U.S. Bank National Association, as trustee (incorporated by reference to</w:t>
              </w:r>
            </w:hyperlink>
          </w:p>
        </w:tc>
        <w:tc>
          <w:tcPr>
            <w:tcW w:w="200" w:type="dxa"/>
            <w:vAlign w:val="bottom"/>
            <w:tcBorders>
              <w:top w:val="single" w:sz="8" w:color="0000FF"/>
            </w:tcBorders>
            <w:gridSpan w:val="5"/>
          </w:tcPr>
          <w:p>
            <w:pPr>
              <w:spacing w:after="0"/>
              <w:rPr>
                <w:sz w:val="17"/>
                <w:szCs w:val="17"/>
                <w:color w:val="auto"/>
              </w:rPr>
            </w:pPr>
          </w:p>
        </w:tc>
        <w:tc>
          <w:tcPr>
            <w:tcW w:w="480" w:type="dxa"/>
            <w:vAlign w:val="bottom"/>
            <w:gridSpan w:val="10"/>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Exhibit 4.1 to our Current Report on Form 8-K filed December 12, 2012).</w:t>
              </w:r>
            </w:hyperlink>
          </w:p>
        </w:tc>
        <w:tc>
          <w:tcPr>
            <w:tcW w:w="4140" w:type="dxa"/>
            <w:vAlign w:val="bottom"/>
            <w:gridSpan w:val="24"/>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color w:val="0000FF"/>
                </w:rPr>
                <w:t>Twenty-Third Supplemental Indenture (4.30% Senior Notes due 2043) dated December 10, 2012,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8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American Pipeline, L.P., PAA Finance Corp. and U.S. Bank National Association, as trustee (incorporated by reference to</w:t>
              </w:r>
            </w:hyperlink>
          </w:p>
        </w:tc>
        <w:tc>
          <w:tcPr>
            <w:tcW w:w="80" w:type="dxa"/>
            <w:vAlign w:val="bottom"/>
            <w:tcBorders>
              <w:top w:val="single" w:sz="8" w:color="0000FF"/>
            </w:tcBorders>
          </w:tcPr>
          <w:p>
            <w:pPr>
              <w:spacing w:after="0"/>
              <w:rPr>
                <w:sz w:val="17"/>
                <w:szCs w:val="17"/>
                <w:color w:val="auto"/>
              </w:rPr>
            </w:pPr>
          </w:p>
        </w:tc>
        <w:tc>
          <w:tcPr>
            <w:tcW w:w="60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Exhibit 4.3 to our Current Report on Form 8-K filed December 12, 2012).</w:t>
              </w:r>
            </w:hyperlink>
          </w:p>
        </w:tc>
        <w:tc>
          <w:tcPr>
            <w:tcW w:w="4140" w:type="dxa"/>
            <w:vAlign w:val="bottom"/>
            <w:gridSpan w:val="24"/>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color w:val="0000FF"/>
                </w:rPr>
                <w:t>Twenty-Fourth Supplemental Indenture (3.85% Senior Notes due 2023) dated August 15, 2013, by and among Plains All American</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tcBorders>
              <w:top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2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Current Report on Form 8-K filed August 15, 2013).</w:t>
              </w:r>
            </w:hyperlink>
          </w:p>
        </w:tc>
        <w:tc>
          <w:tcPr>
            <w:tcW w:w="14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color w:val="0000FF"/>
                </w:rPr>
                <w:t>Twenty-Fifth Supplemental Indenture (4.70% Senior Notes due 2044) dated April 23, 2014, by and among Plains All American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420" w:type="dxa"/>
            <w:vAlign w:val="bottom"/>
            <w:gridSpan w:val="7"/>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30"/>
          </w:tcPr>
          <w:p>
            <w:pPr>
              <w:spacing w:after="0" w:line="19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2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Current Report on Form 8-K filed April 29, 2014)</w:t>
              </w:r>
              <w:r>
                <w:rPr>
                  <w:rFonts w:ascii="Times New Roman" w:cs="Times New Roman" w:eastAsia="Times New Roman" w:hAnsi="Times New Roman"/>
                  <w:sz w:val="18"/>
                  <w:szCs w:val="18"/>
                  <w:color w:val="000000"/>
                </w:rPr>
                <w:t>.</w:t>
              </w:r>
            </w:hyperlink>
          </w:p>
        </w:tc>
        <w:tc>
          <w:tcPr>
            <w:tcW w:w="14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520" w:type="dxa"/>
            <w:vAlign w:val="bottom"/>
            <w:gridSpan w:val="1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color w:val="0000FF"/>
                </w:rPr>
                <w:t>Twenty-Sixth Supplemental Indenture (3.60% Senior Notes due 2024) dated September 9, 2014, by and among Plains All</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420" w:type="dxa"/>
            <w:vAlign w:val="bottom"/>
            <w:gridSpan w:val="7"/>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520" w:type="dxa"/>
            <w:vAlign w:val="bottom"/>
            <w:gridSpan w:val="1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American Pipeline, L.P., PAA Finance Corp. and U.S. Bank National Association, as trustee (incorporated by reference to</w:t>
              </w:r>
            </w:hyperlink>
          </w:p>
        </w:tc>
        <w:tc>
          <w:tcPr>
            <w:tcW w:w="680" w:type="dxa"/>
            <w:vAlign w:val="bottom"/>
            <w:gridSpan w:val="1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Exhibit 4.1 to our Current Report on Form 8-K filed September 11, 2014).</w:t>
              </w:r>
            </w:hyperlink>
          </w:p>
        </w:tc>
        <w:tc>
          <w:tcPr>
            <w:tcW w:w="4120" w:type="dxa"/>
            <w:vAlign w:val="bottom"/>
            <w:gridSpan w:val="23"/>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color w:val="0000FF"/>
                </w:rPr>
                <w:t>Twenty-Seventh Supplemental Indenture (2.60% Senior Notes due 2019) dated December 9, 2014,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8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American Pipeline, L.P., PAA Finance Corp. and U.S. Bank National Association, as trustee (incorporated by reference to</w:t>
              </w:r>
            </w:hyperlink>
          </w:p>
        </w:tc>
        <w:tc>
          <w:tcPr>
            <w:tcW w:w="160" w:type="dxa"/>
            <w:vAlign w:val="bottom"/>
            <w:tcBorders>
              <w:top w:val="single" w:sz="8" w:color="0000FF"/>
            </w:tcBorders>
            <w:gridSpan w:val="3"/>
          </w:tcPr>
          <w:p>
            <w:pPr>
              <w:spacing w:after="0"/>
              <w:rPr>
                <w:sz w:val="17"/>
                <w:szCs w:val="17"/>
                <w:color w:val="auto"/>
              </w:rPr>
            </w:pPr>
          </w:p>
        </w:tc>
        <w:tc>
          <w:tcPr>
            <w:tcW w:w="520" w:type="dxa"/>
            <w:vAlign w:val="bottom"/>
            <w:gridSpan w:val="1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30"/>
          </w:tcPr>
          <w:p>
            <w:pPr>
              <w:spacing w:after="0" w:line="19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Exhibit 4.1 to our Current Report on Form 8-K filed December 11, 2014).</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08" w:right="319" w:bottom="1440" w:gutter="0" w:footer="0" w:header="0"/>
        </w:sect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40"/>
          </w:cols>
          <w:pgMar w:left="240" w:top="108" w:right="31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jc w:val="center"/>
              <w:ind w:right="100"/>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4"/>
                <w:szCs w:val="24"/>
                <w:color w:val="auto"/>
              </w:rPr>
            </w:pP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color w:val="0000FF"/>
                </w:rPr>
                <w:t>Twenty-Eighth Supplemental Indenture (4.90% Senior Notes due 2045) dated December 9, 2014,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40" w:type="dxa"/>
            <w:vAlign w:val="bottom"/>
            <w:tcBorders>
              <w:top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American Pipeline, L.P., PAA Finance Corp. and U.S. Bank National Association, as trustee (incorporated by reference to</w:t>
              </w:r>
            </w:hyperlink>
          </w:p>
        </w:tc>
        <w:tc>
          <w:tcPr>
            <w:tcW w:w="660" w:type="dxa"/>
            <w:vAlign w:val="bottom"/>
            <w:gridSpan w:val="10"/>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6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Exhibit 4.3 to our Current Report on Form 8-K filed December 11, 2014).</w:t>
              </w:r>
            </w:hyperlink>
          </w:p>
        </w:tc>
        <w:tc>
          <w:tcPr>
            <w:tcW w:w="740" w:type="dxa"/>
            <w:vAlign w:val="bottom"/>
            <w:gridSpan w:val="11"/>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4"/>
                <w:szCs w:val="24"/>
                <w:color w:val="auto"/>
              </w:rPr>
            </w:pP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color w:val="0000FF"/>
                </w:rPr>
                <w:t>Twenty-Ninth Supplemental Indenture (4.65% Senior Notes due 2025) dated August 24, 2015, by and among Plains All American</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40" w:type="dxa"/>
            <w:vAlign w:val="bottom"/>
            <w:tcBorders>
              <w:top w:val="single" w:sz="8" w:color="0000FF"/>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Pipeline, L.P., PAA Finance Corp. and U.S. Bank National Association, as trustee (incorporated by reference to Exhibit 4.1 to our</w:t>
              </w:r>
            </w:hyperlink>
          </w:p>
        </w:tc>
        <w:tc>
          <w:tcPr>
            <w:tcW w:w="40" w:type="dxa"/>
            <w:vAlign w:val="bottom"/>
            <w:tcBorders>
              <w:top w:val="single" w:sz="8" w:color="0000FF"/>
            </w:tcBorders>
            <w:gridSpan w:val="2"/>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500" w:type="dxa"/>
            <w:vAlign w:val="bottom"/>
            <w:gridSpan w:val="29"/>
          </w:tcPr>
          <w:p>
            <w:pPr>
              <w:spacing w:after="0" w:line="19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Current Report on Form 8-K filed August 26, 2015).</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4"/>
                <w:szCs w:val="24"/>
                <w:color w:val="auto"/>
              </w:rPr>
            </w:pP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color w:val="0000FF"/>
                </w:rPr>
                <w:t>Thirtieth Supplemental Indenture (4.50% Senior Notes due 2026) dated November 22, 2016, by and among Plains All American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Pipeline, L.P., PAA Finance Corp. and U.S. Bank National Association, as trustee (incorporated by reference to Exhibit 4.1 to our</w:t>
              </w:r>
            </w:hyperlink>
          </w:p>
        </w:tc>
        <w:tc>
          <w:tcPr>
            <w:tcW w:w="16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500" w:type="dxa"/>
            <w:vAlign w:val="bottom"/>
            <w:gridSpan w:val="29"/>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Current Report on Form 8-K filed November 29, 2016)</w:t>
              </w:r>
              <w:r>
                <w:rPr>
                  <w:rFonts w:ascii="Times New Roman" w:cs="Times New Roman" w:eastAsia="Times New Roman" w:hAnsi="Times New Roman"/>
                  <w:sz w:val="18"/>
                  <w:szCs w:val="18"/>
                  <w:color w:val="000000"/>
                </w:rPr>
                <w:t>.</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4"/>
                <w:szCs w:val="24"/>
                <w:color w:val="auto"/>
              </w:rPr>
            </w:pP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color w:val="0000FF"/>
                </w:rPr>
                <w:t>Registration Rights Agreement dated September 3, 2009 by and between Plains All American Pipeline, L.P. and Vulcan Gas</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94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Storage LLC (incorporated by reference to Exhibit 4.1 to our Registration Statement on Form S-3, File No. 333-162477).</w:t>
              </w:r>
            </w:hyperlink>
          </w:p>
        </w:tc>
        <w:tc>
          <w:tcPr>
            <w:tcW w:w="560" w:type="dxa"/>
            <w:vAlign w:val="bottom"/>
            <w:gridSpan w:val="9"/>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4"/>
                <w:szCs w:val="24"/>
                <w:color w:val="auto"/>
              </w:rPr>
            </w:pP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color w:val="0000FF"/>
                </w:rPr>
                <w:t>Registration Rights Agreement dated as of January 28, 2016 among Plains All American Pipeline, L.P. and the Purchasers named</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2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therein (incorporated by reference to Exhibit 4.1 to our Current Report on Form 8-K filed February 2, 2016).</w:t>
              </w:r>
            </w:hyperlink>
          </w:p>
        </w:tc>
        <w:tc>
          <w:tcPr>
            <w:tcW w:w="1500" w:type="dxa"/>
            <w:vAlign w:val="bottom"/>
            <w:tcBorders>
              <w:top w:val="single" w:sz="8" w:color="0000FF"/>
            </w:tcBorders>
            <w:gridSpan w:val="9"/>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4"/>
                <w:szCs w:val="24"/>
                <w:color w:val="auto"/>
              </w:rPr>
            </w:pP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color w:val="0000FF"/>
                </w:rPr>
                <w:t>Registration Rights Agreement by and among Plains All American Pipeline, L.P. and the Holders defined therein, dated November</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15, 2016 (incorporated by reference to Exhibit 10.4 to our Current Report on Form 8-K filed November 21, 2016).</w:t>
              </w:r>
            </w:hyperlink>
          </w:p>
        </w:tc>
        <w:tc>
          <w:tcPr>
            <w:tcW w:w="1180" w:type="dxa"/>
            <w:vAlign w:val="bottom"/>
            <w:tcBorders>
              <w:top w:val="single" w:sz="8" w:color="0000FF"/>
            </w:tcBorders>
            <w:gridSpan w:val="13"/>
          </w:tcPr>
          <w:p>
            <w:pPr>
              <w:spacing w:after="0"/>
              <w:rPr>
                <w:sz w:val="17"/>
                <w:szCs w:val="17"/>
                <w:color w:val="auto"/>
              </w:rPr>
            </w:pPr>
          </w:p>
        </w:tc>
        <w:tc>
          <w:tcPr>
            <w:tcW w:w="80" w:type="dxa"/>
            <w:vAlign w:val="bottom"/>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 *</w:t>
            </w:r>
          </w:p>
        </w:tc>
        <w:tc>
          <w:tcPr>
            <w:tcW w:w="100" w:type="dxa"/>
            <w:vAlign w:val="bottom"/>
          </w:tcPr>
          <w:p>
            <w:pPr>
              <w:spacing w:after="0"/>
              <w:rPr>
                <w:sz w:val="24"/>
                <w:szCs w:val="24"/>
                <w:color w:val="auto"/>
              </w:rPr>
            </w:pP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color w:val="0000FF"/>
                </w:rPr>
                <w:t>Second Amendment dated March 22, 2018 to Plains AAP, L.P. Class B Restricted Units Agreement (Willie Chiang) (incorporated</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6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by reference to Exhibit 10.1 to our Quarterly Report on Form 10-Q for the quarter ended March 31, 2018).</w:t>
              </w:r>
            </w:hyperlink>
          </w:p>
        </w:tc>
        <w:tc>
          <w:tcPr>
            <w:tcW w:w="140" w:type="dxa"/>
            <w:vAlign w:val="bottom"/>
            <w:gridSpan w:val="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 *</w:t>
            </w:r>
          </w:p>
        </w:tc>
        <w:tc>
          <w:tcPr>
            <w:tcW w:w="100" w:type="dxa"/>
            <w:vAlign w:val="bottom"/>
          </w:tcPr>
          <w:p>
            <w:pPr>
              <w:spacing w:after="0"/>
              <w:rPr>
                <w:sz w:val="24"/>
                <w:szCs w:val="24"/>
                <w:color w:val="auto"/>
              </w:rPr>
            </w:pP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color w:val="0000FF"/>
                </w:rPr>
                <w:t>Form of First Amendment dated March 22, 2018 to Amended and Restated Plains AAP, L.P. Class B Restricted Units Agreement</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4"/>
            <w:shd w:val="clear" w:color="auto" w:fill="0000FF"/>
          </w:tcPr>
          <w:p>
            <w:pPr>
              <w:spacing w:after="0" w:line="20" w:lineRule="exact"/>
              <w:rPr>
                <w:sz w:val="1"/>
                <w:szCs w:val="1"/>
                <w:color w:val="auto"/>
              </w:rPr>
            </w:pPr>
          </w:p>
        </w:tc>
        <w:tc>
          <w:tcPr>
            <w:tcW w:w="92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dated August 25, 2016 (Officers) (incorporated by reference to Exhibit 10.2 to our Quarterly Report on Form 10-Q for the quarter</w:t>
              </w:r>
            </w:hyperlink>
          </w:p>
        </w:tc>
        <w:tc>
          <w:tcPr>
            <w:tcW w:w="16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76">
              <w:r>
                <w:rPr>
                  <w:rFonts w:ascii="Times New Roman" w:cs="Times New Roman" w:eastAsia="Times New Roman" w:hAnsi="Times New Roman"/>
                  <w:sz w:val="18"/>
                  <w:szCs w:val="18"/>
                  <w:color w:val="0000FF"/>
                  <w:w w:val="98"/>
                </w:rPr>
                <w:t>ended March 31, 2018).</w:t>
              </w:r>
            </w:hyperlink>
          </w:p>
        </w:tc>
        <w:tc>
          <w:tcPr>
            <w:tcW w:w="7780" w:type="dxa"/>
            <w:vAlign w:val="bottom"/>
            <w:gridSpan w:val="26"/>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10.3 *</w:t>
            </w:r>
          </w:p>
        </w:tc>
        <w:tc>
          <w:tcPr>
            <w:tcW w:w="100" w:type="dxa"/>
            <w:vAlign w:val="bottom"/>
          </w:tcPr>
          <w:p>
            <w:pPr>
              <w:spacing w:after="0"/>
              <w:rPr>
                <w:sz w:val="24"/>
                <w:szCs w:val="24"/>
                <w:color w:val="auto"/>
              </w:rPr>
            </w:pP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color w:val="0000FF"/>
                </w:rPr>
                <w:t>Amendment dated March 22, 2018 to PAA LTIP Grant Letter dated August 24, 2015 (Willie Chiang) (incorporated by reference to</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Exhibit 10.3 to our Quarterly Report on Form 10-Q for the quarter ended March 31, 2018).</w:t>
              </w:r>
            </w:hyperlink>
          </w:p>
        </w:tc>
        <w:tc>
          <w:tcPr>
            <w:tcW w:w="10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10.4 *</w:t>
            </w:r>
          </w:p>
        </w:tc>
        <w:tc>
          <w:tcPr>
            <w:tcW w:w="100" w:type="dxa"/>
            <w:vAlign w:val="bottom"/>
          </w:tcPr>
          <w:p>
            <w:pPr>
              <w:spacing w:after="0"/>
              <w:rPr>
                <w:sz w:val="24"/>
                <w:szCs w:val="24"/>
                <w:color w:val="auto"/>
              </w:rPr>
            </w:pP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color w:val="0000FF"/>
                </w:rPr>
                <w:t>Form of Amendment dated March 22, 2018 to PAA LTIP Grant Letter dated August 25, 2016 (Officers) (incorporated by reference</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2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to Exhibit 10.4 to our Quarterly Report on Form 10-Q for the quarter ended March 31, 2018).</w:t>
              </w:r>
            </w:hyperlink>
          </w:p>
        </w:tc>
        <w:tc>
          <w:tcPr>
            <w:tcW w:w="8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10.5 *</w:t>
            </w:r>
          </w:p>
        </w:tc>
        <w:tc>
          <w:tcPr>
            <w:tcW w:w="100" w:type="dxa"/>
            <w:vAlign w:val="bottom"/>
          </w:tcPr>
          <w:p>
            <w:pPr>
              <w:spacing w:after="0"/>
              <w:rPr>
                <w:sz w:val="24"/>
                <w:szCs w:val="24"/>
                <w:color w:val="auto"/>
              </w:rPr>
            </w:pP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color w:val="0000FF"/>
                </w:rPr>
                <w:t>Form of PAA LTIP Grant Letter for Officers (March 2018) (incorporated by reference to Exhibit 10.5 to our Quarterly Report on</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0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Form 10-Q for the quarter ended March 31, 2018).</w:t>
              </w:r>
            </w:hyperlink>
          </w:p>
        </w:tc>
        <w:tc>
          <w:tcPr>
            <w:tcW w:w="200" w:type="dxa"/>
            <w:vAlign w:val="bottom"/>
            <w:gridSpan w:val="7"/>
          </w:tcPr>
          <w:p>
            <w:pPr>
              <w:spacing w:after="0"/>
              <w:rPr>
                <w:sz w:val="17"/>
                <w:szCs w:val="17"/>
                <w:color w:val="auto"/>
              </w:rPr>
            </w:pPr>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020" w:type="dxa"/>
            <w:vAlign w:val="bottom"/>
            <w:gridSpan w:val="1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10.6 *†</w:t>
            </w: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69">
              <w:r>
                <w:rPr>
                  <w:rFonts w:ascii="Times New Roman" w:cs="Times New Roman" w:eastAsia="Times New Roman" w:hAnsi="Times New Roman"/>
                  <w:sz w:val="18"/>
                  <w:szCs w:val="18"/>
                  <w:color w:val="0000FF"/>
                </w:rPr>
                <w:t>Second Amended and Restated Employment Agreement dated effective October 1, 2018 between Plains All American GP LLC and</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500" w:type="dxa"/>
            <w:vAlign w:val="bottom"/>
            <w:tcBorders>
              <w:top w:val="single" w:sz="8" w:color="0000FF"/>
            </w:tcBorders>
            <w:gridSpan w:val="29"/>
          </w:tcPr>
          <w:p>
            <w:pPr>
              <w:spacing w:after="0" w:line="196" w:lineRule="exact"/>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Greg L. Armstrong.</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020" w:type="dxa"/>
            <w:vAlign w:val="bottom"/>
            <w:gridSpan w:val="1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10.7 *†</w:t>
            </w: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75">
              <w:r>
                <w:rPr>
                  <w:rFonts w:ascii="Times New Roman" w:cs="Times New Roman" w:eastAsia="Times New Roman" w:hAnsi="Times New Roman"/>
                  <w:sz w:val="18"/>
                  <w:szCs w:val="18"/>
                  <w:color w:val="0000FF"/>
                </w:rPr>
                <w:t>Amended and Restated Employment Agreement dated effective October 1, 2018 between Plains All American GP LLC and Willie</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w:anchor="page75">
              <w:r>
                <w:rPr>
                  <w:rFonts w:ascii="Times New Roman" w:cs="Times New Roman" w:eastAsia="Times New Roman" w:hAnsi="Times New Roman"/>
                  <w:sz w:val="18"/>
                  <w:szCs w:val="18"/>
                  <w:color w:val="0000FF"/>
                  <w:w w:val="95"/>
                </w:rPr>
                <w:t>Chiang.</w:t>
              </w:r>
            </w:hyperlink>
          </w:p>
        </w:tc>
        <w:tc>
          <w:tcPr>
            <w:tcW w:w="8840" w:type="dxa"/>
            <w:vAlign w:val="bottom"/>
            <w:tcBorders>
              <w:top w:val="single" w:sz="8" w:color="0000FF"/>
            </w:tcBorders>
            <w:gridSpan w:val="26"/>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372"/>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10.8 *†</w:t>
            </w: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79">
              <w:r>
                <w:rPr>
                  <w:rFonts w:ascii="Times New Roman" w:cs="Times New Roman" w:eastAsia="Times New Roman" w:hAnsi="Times New Roman"/>
                  <w:sz w:val="18"/>
                  <w:szCs w:val="18"/>
                  <w:color w:val="0000FF"/>
                </w:rPr>
                <w:t>LTIP Grant Letter dated August 16, 2018 (Willie Chiang).</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80" w:type="dxa"/>
            <w:vAlign w:val="bottom"/>
            <w:gridSpan w:val="7"/>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120" w:type="dxa"/>
            <w:vAlign w:val="bottom"/>
            <w:gridSpan w:val="13"/>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10.9 *†</w:t>
            </w: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85">
              <w:r>
                <w:rPr>
                  <w:rFonts w:ascii="Times New Roman" w:cs="Times New Roman" w:eastAsia="Times New Roman" w:hAnsi="Times New Roman"/>
                  <w:sz w:val="18"/>
                  <w:szCs w:val="18"/>
                  <w:color w:val="0000FF"/>
                </w:rPr>
                <w:t>Employment Agreement dated effective October 15, 2018 between Plains All American GP LLC and John vonBerg.</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20" w:type="dxa"/>
            <w:vAlign w:val="bottom"/>
            <w:gridSpan w:val="8"/>
            <w:shd w:val="clear" w:color="auto" w:fill="0000FF"/>
          </w:tcPr>
          <w:p>
            <w:pPr>
              <w:spacing w:after="0" w:line="20" w:lineRule="exact"/>
              <w:rPr>
                <w:sz w:val="1"/>
                <w:szCs w:val="1"/>
                <w:color w:val="auto"/>
              </w:rPr>
            </w:pPr>
          </w:p>
        </w:tc>
        <w:tc>
          <w:tcPr>
            <w:tcW w:w="2160" w:type="dxa"/>
            <w:vAlign w:val="bottom"/>
            <w:tcBorders>
              <w:left w:val="single" w:sz="8" w:color="0000FF"/>
            </w:tcBorders>
            <w:gridSpan w:val="4"/>
            <w:shd w:val="clear" w:color="auto" w:fill="0000FF"/>
          </w:tcPr>
          <w:p>
            <w:pPr>
              <w:spacing w:after="0" w:line="20" w:lineRule="exact"/>
              <w:rPr>
                <w:sz w:val="1"/>
                <w:szCs w:val="1"/>
                <w:color w:val="auto"/>
              </w:rPr>
            </w:pPr>
          </w:p>
        </w:tc>
        <w:tc>
          <w:tcPr>
            <w:tcW w:w="1100" w:type="dxa"/>
            <w:vAlign w:val="bottom"/>
            <w:tcBorders>
              <w:left w:val="single" w:sz="8" w:color="0000FF"/>
            </w:tcBorders>
            <w:gridSpan w:val="4"/>
            <w:shd w:val="clear" w:color="auto" w:fill="0000FF"/>
          </w:tcPr>
          <w:p>
            <w:pPr>
              <w:spacing w:after="0" w:line="20" w:lineRule="exact"/>
              <w:rPr>
                <w:sz w:val="1"/>
                <w:szCs w:val="1"/>
                <w:color w:val="auto"/>
              </w:rPr>
            </w:pPr>
          </w:p>
        </w:tc>
        <w:tc>
          <w:tcPr>
            <w:tcW w:w="1120" w:type="dxa"/>
            <w:vAlign w:val="bottom"/>
            <w:gridSpan w:val="13"/>
          </w:tcPr>
          <w:p>
            <w:pPr>
              <w:spacing w:after="0" w:line="20" w:lineRule="exact"/>
              <w:rPr>
                <w:sz w:val="1"/>
                <w:szCs w:val="1"/>
                <w:color w:val="auto"/>
              </w:rPr>
            </w:pPr>
          </w:p>
        </w:tc>
      </w:tr>
      <w:tr>
        <w:trPr>
          <w:trHeight w:val="372"/>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31.1 †</w:t>
            </w: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91">
              <w:r>
                <w:rPr>
                  <w:rFonts w:ascii="Times New Roman" w:cs="Times New Roman" w:eastAsia="Times New Roman" w:hAnsi="Times New Roman"/>
                  <w:sz w:val="18"/>
                  <w:szCs w:val="18"/>
                  <w:color w:val="0000FF"/>
                </w:rPr>
                <w:t>Certification of Principal Executive Officer pursuant to Exchange Act Rules 13a-14(a) and 15d-14(a).</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20" w:type="dxa"/>
            <w:vAlign w:val="bottom"/>
            <w:gridSpan w:val="8"/>
            <w:shd w:val="clear" w:color="auto" w:fill="0000FF"/>
          </w:tcPr>
          <w:p>
            <w:pPr>
              <w:spacing w:after="0" w:line="20" w:lineRule="exact"/>
              <w:rPr>
                <w:sz w:val="1"/>
                <w:szCs w:val="1"/>
                <w:color w:val="auto"/>
              </w:rPr>
            </w:pPr>
          </w:p>
        </w:tc>
        <w:tc>
          <w:tcPr>
            <w:tcW w:w="2160" w:type="dxa"/>
            <w:vAlign w:val="bottom"/>
            <w:tcBorders>
              <w:left w:val="single" w:sz="8" w:color="0000FF"/>
            </w:tcBorders>
            <w:gridSpan w:val="4"/>
            <w:shd w:val="clear" w:color="auto" w:fill="0000FF"/>
          </w:tcPr>
          <w:p>
            <w:pPr>
              <w:spacing w:after="0" w:line="20" w:lineRule="exact"/>
              <w:rPr>
                <w:sz w:val="1"/>
                <w:szCs w:val="1"/>
                <w:color w:val="auto"/>
              </w:rPr>
            </w:pPr>
          </w:p>
        </w:tc>
        <w:tc>
          <w:tcPr>
            <w:tcW w:w="2220" w:type="dxa"/>
            <w:vAlign w:val="bottom"/>
            <w:tcBorders>
              <w:left w:val="single" w:sz="8" w:color="0000FF"/>
            </w:tcBorders>
            <w:gridSpan w:val="17"/>
          </w:tcPr>
          <w:p>
            <w:pPr>
              <w:spacing w:after="0" w:line="20" w:lineRule="exact"/>
              <w:rPr>
                <w:sz w:val="1"/>
                <w:szCs w:val="1"/>
                <w:color w:val="auto"/>
              </w:rPr>
            </w:pPr>
          </w:p>
        </w:tc>
      </w:tr>
      <w:tr>
        <w:trPr>
          <w:trHeight w:val="372"/>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31.2 †</w:t>
            </w: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92">
              <w:r>
                <w:rPr>
                  <w:rFonts w:ascii="Times New Roman" w:cs="Times New Roman" w:eastAsia="Times New Roman" w:hAnsi="Times New Roman"/>
                  <w:sz w:val="18"/>
                  <w:szCs w:val="18"/>
                  <w:color w:val="0000FF"/>
                </w:rPr>
                <w:t>Certification of Principal Financial Officer pursuant to Exchange Act Rules 13a-14(a) and 15d-14(a).</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20" w:type="dxa"/>
            <w:vAlign w:val="bottom"/>
            <w:gridSpan w:val="8"/>
            <w:shd w:val="clear" w:color="auto" w:fill="0000FF"/>
          </w:tcPr>
          <w:p>
            <w:pPr>
              <w:spacing w:after="0" w:line="20" w:lineRule="exact"/>
              <w:rPr>
                <w:sz w:val="1"/>
                <w:szCs w:val="1"/>
                <w:color w:val="auto"/>
              </w:rPr>
            </w:pPr>
          </w:p>
        </w:tc>
        <w:tc>
          <w:tcPr>
            <w:tcW w:w="2160" w:type="dxa"/>
            <w:vAlign w:val="bottom"/>
            <w:tcBorders>
              <w:left w:val="single" w:sz="8" w:color="0000FF"/>
            </w:tcBorders>
            <w:gridSpan w:val="4"/>
            <w:shd w:val="clear" w:color="auto" w:fill="0000FF"/>
          </w:tcPr>
          <w:p>
            <w:pPr>
              <w:spacing w:after="0" w:line="20" w:lineRule="exact"/>
              <w:rPr>
                <w:sz w:val="1"/>
                <w:szCs w:val="1"/>
                <w:color w:val="auto"/>
              </w:rPr>
            </w:pPr>
          </w:p>
        </w:tc>
        <w:tc>
          <w:tcPr>
            <w:tcW w:w="2220" w:type="dxa"/>
            <w:vAlign w:val="bottom"/>
            <w:gridSpan w:val="17"/>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32.1 ††</w:t>
            </w: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93">
              <w:r>
                <w:rPr>
                  <w:rFonts w:ascii="Times New Roman" w:cs="Times New Roman" w:eastAsia="Times New Roman" w:hAnsi="Times New Roman"/>
                  <w:sz w:val="18"/>
                  <w:szCs w:val="18"/>
                  <w:color w:val="0000FF"/>
                </w:rPr>
                <w:t>Certification of Principal Executive Officer pursuant to 18 U.S.C. 1350.</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20" w:type="dxa"/>
            <w:vAlign w:val="bottom"/>
            <w:gridSpan w:val="8"/>
            <w:shd w:val="clear" w:color="auto" w:fill="0000FF"/>
          </w:tcPr>
          <w:p>
            <w:pPr>
              <w:spacing w:after="0" w:line="20" w:lineRule="exact"/>
              <w:rPr>
                <w:sz w:val="1"/>
                <w:szCs w:val="1"/>
                <w:color w:val="auto"/>
              </w:rPr>
            </w:pPr>
          </w:p>
        </w:tc>
        <w:tc>
          <w:tcPr>
            <w:tcW w:w="4380" w:type="dxa"/>
            <w:vAlign w:val="bottom"/>
            <w:tcBorders>
              <w:left w:val="single" w:sz="8" w:color="0000FF"/>
            </w:tcBorders>
            <w:gridSpan w:val="21"/>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32.2 ††</w:t>
            </w:r>
          </w:p>
        </w:tc>
        <w:tc>
          <w:tcPr>
            <w:tcW w:w="10000" w:type="dxa"/>
            <w:vAlign w:val="bottom"/>
            <w:gridSpan w:val="30"/>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94">
              <w:r>
                <w:rPr>
                  <w:rFonts w:ascii="Times New Roman" w:cs="Times New Roman" w:eastAsia="Times New Roman" w:hAnsi="Times New Roman"/>
                  <w:sz w:val="18"/>
                  <w:szCs w:val="18"/>
                  <w:color w:val="0000FF"/>
                </w:rPr>
                <w:t>Certification of Principal Financial Officer pursuant to 18 U.S.C. 1350.</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20" w:type="dxa"/>
            <w:vAlign w:val="bottom"/>
            <w:gridSpan w:val="8"/>
            <w:shd w:val="clear" w:color="auto" w:fill="0000FF"/>
          </w:tcPr>
          <w:p>
            <w:pPr>
              <w:spacing w:after="0" w:line="20" w:lineRule="exact"/>
              <w:rPr>
                <w:sz w:val="1"/>
                <w:szCs w:val="1"/>
                <w:color w:val="auto"/>
              </w:rPr>
            </w:pPr>
          </w:p>
        </w:tc>
        <w:tc>
          <w:tcPr>
            <w:tcW w:w="4380" w:type="dxa"/>
            <w:vAlign w:val="bottom"/>
            <w:gridSpan w:val="21"/>
          </w:tcPr>
          <w:p>
            <w:pPr>
              <w:spacing w:after="0" w:line="20" w:lineRule="exact"/>
              <w:rPr>
                <w:sz w:val="1"/>
                <w:szCs w:val="1"/>
                <w:color w:val="auto"/>
              </w:rPr>
            </w:pPr>
          </w:p>
        </w:tc>
      </w:tr>
      <w:tr>
        <w:trPr>
          <w:trHeight w:val="412"/>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30"/>
          </w:tcPr>
          <w:p>
            <w:pPr>
              <w:ind w:left="80"/>
              <w:spacing w:after="0"/>
              <w:rPr>
                <w:sz w:val="20"/>
                <w:szCs w:val="20"/>
                <w:color w:val="auto"/>
              </w:rPr>
            </w:pPr>
            <w:r>
              <w:rPr>
                <w:rFonts w:ascii="Times New Roman" w:cs="Times New Roman" w:eastAsia="Times New Roman" w:hAnsi="Times New Roman"/>
                <w:sz w:val="18"/>
                <w:szCs w:val="18"/>
                <w:color w:val="auto"/>
              </w:rPr>
              <w:t>—   XBRL Instance Document</w:t>
            </w:r>
          </w:p>
        </w:tc>
      </w:tr>
      <w:tr>
        <w:trPr>
          <w:trHeight w:val="392"/>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30"/>
          </w:tcPr>
          <w:p>
            <w:pPr>
              <w:ind w:left="80"/>
              <w:spacing w:after="0"/>
              <w:rPr>
                <w:sz w:val="20"/>
                <w:szCs w:val="20"/>
                <w:color w:val="auto"/>
              </w:rPr>
            </w:pPr>
            <w:r>
              <w:rPr>
                <w:rFonts w:ascii="Times New Roman" w:cs="Times New Roman" w:eastAsia="Times New Roman" w:hAnsi="Times New Roman"/>
                <w:sz w:val="18"/>
                <w:szCs w:val="18"/>
                <w:color w:val="auto"/>
              </w:rPr>
              <w:t>—   XBRL Taxonomy Extension Schema Document</w:t>
            </w:r>
          </w:p>
        </w:tc>
      </w:tr>
      <w:tr>
        <w:trPr>
          <w:trHeight w:val="392"/>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101.CAL†</w:t>
            </w:r>
          </w:p>
        </w:tc>
        <w:tc>
          <w:tcPr>
            <w:tcW w:w="10000" w:type="dxa"/>
            <w:vAlign w:val="bottom"/>
            <w:gridSpan w:val="30"/>
          </w:tcPr>
          <w:p>
            <w:pPr>
              <w:ind w:left="80"/>
              <w:spacing w:after="0"/>
              <w:rPr>
                <w:sz w:val="20"/>
                <w:szCs w:val="20"/>
                <w:color w:val="auto"/>
              </w:rPr>
            </w:pPr>
            <w:r>
              <w:rPr>
                <w:rFonts w:ascii="Times New Roman" w:cs="Times New Roman" w:eastAsia="Times New Roman" w:hAnsi="Times New Roman"/>
                <w:sz w:val="18"/>
                <w:szCs w:val="18"/>
                <w:color w:val="auto"/>
              </w:rPr>
              <w:t>—   XBRL Taxonomy Extension Calculation Linkbase Document</w:t>
            </w:r>
          </w:p>
        </w:tc>
      </w:tr>
      <w:tr>
        <w:trPr>
          <w:trHeight w:val="392"/>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101.DEF†</w:t>
            </w:r>
          </w:p>
        </w:tc>
        <w:tc>
          <w:tcPr>
            <w:tcW w:w="10000" w:type="dxa"/>
            <w:vAlign w:val="bottom"/>
            <w:gridSpan w:val="30"/>
          </w:tcPr>
          <w:p>
            <w:pPr>
              <w:ind w:left="80"/>
              <w:spacing w:after="0"/>
              <w:rPr>
                <w:sz w:val="20"/>
                <w:szCs w:val="20"/>
                <w:color w:val="auto"/>
              </w:rPr>
            </w:pPr>
            <w:r>
              <w:rPr>
                <w:rFonts w:ascii="Times New Roman" w:cs="Times New Roman" w:eastAsia="Times New Roman" w:hAnsi="Times New Roman"/>
                <w:sz w:val="18"/>
                <w:szCs w:val="18"/>
                <w:color w:val="auto"/>
              </w:rPr>
              <w:t>—   XBRL Taxonomy Extension Definition Linkbase Document</w:t>
            </w:r>
          </w:p>
        </w:tc>
      </w:tr>
    </w:tbl>
    <w:p>
      <w:pPr>
        <w:spacing w:after="0" w:line="200" w:lineRule="exact"/>
        <w:rPr>
          <w:sz w:val="20"/>
          <w:szCs w:val="20"/>
          <w:color w:val="auto"/>
        </w:rPr>
      </w:pPr>
    </w:p>
    <w:p>
      <w:pPr>
        <w:sectPr>
          <w:pgSz w:w="11900" w:h="16838" w:orient="portrait"/>
          <w:cols w:equalWidth="0" w:num="1">
            <w:col w:w="11380"/>
          </w:cols>
          <w:pgMar w:left="240" w:top="108" w:right="279" w:bottom="1440" w:gutter="0" w:footer="0" w:header="0"/>
        </w:sectPr>
      </w:pP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80"/>
          </w:cols>
          <w:pgMar w:left="240" w:top="108" w:right="27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jc w:val="center"/>
              <w:ind w:right="100"/>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38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763"/>
        </w:trPr>
        <w:tc>
          <w:tcPr>
            <w:tcW w:w="128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10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101.PRE†</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 Document</w:t>
            </w:r>
          </w:p>
        </w:tc>
      </w:tr>
    </w:tbl>
    <w:p>
      <w:pPr>
        <w:spacing w:after="0" w:line="279"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5044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97"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17"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219"/>
          </w:cols>
          <w:pgMar w:left="240" w:top="108" w:right="1440"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33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PAA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Plains AAP, L.P.,</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its sole member</w:t>
            </w:r>
          </w:p>
        </w:tc>
      </w:tr>
      <w:tr>
        <w:trPr>
          <w:trHeight w:val="54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PLAINS ALL AMERICAN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Willie Chiang</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Willie Chiang,</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of Plains All American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tc>
      </w:tr>
    </w:tbl>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November 7, 2018</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Al Swanson,</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 of Plains All</w:t>
      </w:r>
    </w:p>
    <w:p>
      <w:pPr>
        <w:spacing w:after="0" w:line="3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i w:val="1"/>
          <w:iCs w:val="1"/>
          <w:color w:val="auto"/>
        </w:rPr>
        <w:t>American GP LLC</w:t>
      </w:r>
    </w:p>
    <w:p>
      <w:pPr>
        <w:spacing w:after="0" w:line="4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3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November 7, 2018</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Chris Herbold,</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i w:val="1"/>
          <w:iCs w:val="1"/>
          <w:color w:val="auto"/>
        </w:rPr>
        <w:t>Senior Vice President and Chief Accounting Officer of Plains All</w:t>
      </w:r>
    </w:p>
    <w:p>
      <w:pPr>
        <w:spacing w:after="0" w:line="3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i w:val="1"/>
          <w:iCs w:val="1"/>
          <w:color w:val="auto"/>
        </w:rPr>
        <w:t>American GP LLC</w:t>
      </w:r>
    </w:p>
    <w:p>
      <w:pPr>
        <w:spacing w:after="0" w:line="4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3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November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3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This Second Amended and Restated Employment Agreement (“Agreement”), effective as of the date specified in Section 1 below, is by and between Plains All American GP LLC (the “Company”) and Greg L Armstrong (“Armstrong” or the “Employee”). The Company and the Employee are at times referred to collectively as “the Parties.” For purposes of this Agreement, the term “Company Group” means Plains GP Holdings, L.P., PAA GP Holdings LLC (“GP Holdings”), the Company and all of the entities over which the Company has or exercises direct or indirect control, including Plains All American Pipeline, L.P. and its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Armstrong is currently Chief Executive Officer (“CEO”) of the Company and has served as an officer of the Company and its predecessors for over 30 years;</w:t>
      </w:r>
    </w:p>
    <w:p>
      <w:pPr>
        <w:spacing w:after="0" w:line="19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WHEREAS, Armstrong and the Company are parties to that certain Amended and Restated Employment Agreement dated as of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June, 2001, as modified by Waiver Agreements dated August 12, 2005, December 23, 2010 and October 21, 2013 (the “Prior Agreement”);</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in connection with his planned retirement and as approved by the Board of Directors of GP Holdings (the “Board”) in connection with its succession planning for the CEO role, effective as set forth herein Armstrong intends to (i) resign from his position as CEO of the Company and any other positions he currently holds as an officer of any entities that are a part of the Company Group and (ii) continue his employment with the Company as the non-executive Chairman of the Board; and</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and Armstrong desire to enter in to this Agreement to set forth their mutual agreement and understanding related to the continued employment of Armstrong and certain related matters as set forth herein.</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NOW, THEREFORE, in consideration of the covenants and conditions herein contained, the Parties agree as follows:</w:t>
      </w:r>
    </w:p>
    <w:p>
      <w:pPr>
        <w:spacing w:after="0" w:line="260" w:lineRule="exact"/>
        <w:rPr>
          <w:sz w:val="20"/>
          <w:szCs w:val="20"/>
          <w:color w:val="auto"/>
        </w:rPr>
      </w:pPr>
    </w:p>
    <w:p>
      <w:pPr>
        <w:ind w:left="920" w:hanging="912"/>
        <w:spacing w:after="0"/>
        <w:tabs>
          <w:tab w:leader="none" w:pos="9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Prior Agreement</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left="1400" w:hanging="447"/>
        <w:spacing w:after="0" w:line="249" w:lineRule="auto"/>
        <w:tabs>
          <w:tab w:leader="none" w:pos="1382"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October 1, 2018 (the “Effective Date”) and subject to the terms hereof, Armstrong hereby (i) resigns his position as CEO of the Company and as an officer of all other members of the Company Group, and (ii) continues his employment with the Company as the non-executive Chairman of the Board. During the Term (as defined below), Armstrong agrees to devote such time and energy as may be reasonably necessary to perform the duties and responsibilities of the Chairman of the Board as set forth in the Third Amended and Restated Limited Liability Company Agreement of PAA GP Holdings LLC, as amended.</w:t>
      </w:r>
    </w:p>
    <w:p>
      <w:pPr>
        <w:sectPr>
          <w:pgSz w:w="11900" w:h="16838" w:orient="portrait"/>
          <w:cols w:equalWidth="0" w:num="1">
            <w:col w:w="11420"/>
          </w:cols>
          <w:pgMar w:left="240" w:top="117" w:right="239" w:bottom="1440" w:gutter="0" w:footer="0" w:header="0"/>
        </w:sectPr>
      </w:pPr>
    </w:p>
    <w:bookmarkStart w:id="69" w:name="page70"/>
    <w:bookmarkEnd w:id="69"/>
    <w:p>
      <w:pPr>
        <w:jc w:val="both"/>
        <w:ind w:left="1400" w:hanging="447"/>
        <w:spacing w:after="0" w:line="248" w:lineRule="auto"/>
        <w:tabs>
          <w:tab w:leader="none" w:pos="1382"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 except as may be expressly provided for hereunder (i) this Agreement shall govern the duties, obligations and rights of the Parties with respect to Armstrong’s employment by the Company during the Term and (ii) the Prior Agreement shall govern the duties, obligations and rights of the Parties with respect to Armstrong’s employment by the Company prior to the Effective Date. Accordingly, the Parties acknowledge and agree that by virtue of their execution and delivery of this Agreement neither Party shall be deemed to have waived any of its rights or claims under the Prior Agreement with respect to Armstrong’s employment by the Company prior to the Effective Date.</w:t>
      </w:r>
    </w:p>
    <w:p>
      <w:pPr>
        <w:spacing w:after="0" w:line="222" w:lineRule="exact"/>
        <w:rPr>
          <w:rFonts w:ascii="Times New Roman" w:cs="Times New Roman" w:eastAsia="Times New Roman" w:hAnsi="Times New Roman"/>
          <w:sz w:val="22"/>
          <w:szCs w:val="22"/>
          <w:color w:val="auto"/>
        </w:rPr>
      </w:pPr>
    </w:p>
    <w:p>
      <w:pPr>
        <w:jc w:val="both"/>
        <w:ind w:left="920" w:hanging="912"/>
        <w:spacing w:after="0" w:line="247" w:lineRule="auto"/>
        <w:tabs>
          <w:tab w:leader="none" w:pos="9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Armstrong’s employment with the Company as provided hereunder (the “Term”) shall commence on the Effective Date and terminate on December 31, 2019; provided, however, that (a) Armstrong may terminate his employment with the Company as of any date prior to December 31, 2019 by giving written notice to the Company at least two weeks prior to the effective date of such termination, (b) at the direction of the Board, the Company may terminate Armstrong’s employment with the Company as of any date prior to December 31, 2019 by giving written notice to Armstrong at least two weeks prior to the effective date of such termination, and (c) Armstrong’s employment relationship with the Company shall automatically terminate in the event of his death. The date as of which the employment relationship terminates shall constitute the “Termination Date” for purposes hereof.</w:t>
      </w:r>
    </w:p>
    <w:p>
      <w:pPr>
        <w:spacing w:after="0" w:line="22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left="1400" w:right="20" w:hanging="420"/>
        <w:spacing w:after="0" w:line="252" w:lineRule="auto"/>
        <w:tabs>
          <w:tab w:leader="none" w:pos="1382"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Armstrong shall be paid a monthly salary that equates with an annual payment of $250,000, payable semi-monthly in cash for so long as Armstrong is employed by the Company under the terms of this Agreement. During the Term, Armstrong shall remain eligible to participate in all employee benefit plans generally available to employees of the Company (including, without limitation, all health and medical benefit plans).</w:t>
      </w:r>
    </w:p>
    <w:p>
      <w:pPr>
        <w:spacing w:after="0" w:line="220" w:lineRule="exact"/>
        <w:rPr>
          <w:rFonts w:ascii="Times New Roman" w:cs="Times New Roman" w:eastAsia="Times New Roman" w:hAnsi="Times New Roman"/>
          <w:sz w:val="22"/>
          <w:szCs w:val="22"/>
          <w:color w:val="auto"/>
        </w:rPr>
      </w:pPr>
    </w:p>
    <w:p>
      <w:pPr>
        <w:jc w:val="both"/>
        <w:ind w:left="1400" w:hanging="420"/>
        <w:spacing w:after="0" w:line="246" w:lineRule="auto"/>
        <w:tabs>
          <w:tab w:leader="none" w:pos="1382"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Armstrong will be entitled to receive prompt reimbursement for all reasonable expenses, including travel and entertainment expenses, incurred by him during the Term in connection with (i) his service as Chairman of the Board as contemplated hereunder, (ii) his prior service as CEO and Chairman of the Board pursuant to the Prior Agreement, and (iii) the provision by Armstrong of any assistance with litigation or investigations as contemplated by Section 5 hereof; it being specifically agreed that such reimbursement obligation shall cover and include (A) any such costs and expenses incurred by Armstrong in connection with his service on the National Petroleum Council or any industry or trade groups to which the Company or one of its affiliates belongs and (B) any costs or expenses incurred by Armstrong for private aviation services associated with travel on Company related business (which shall include Armstrong’s service on the National Petroleum Council and any industry or trade groups to which the Company or one of its affiliates belongs).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9" w:right="239" w:bottom="1440" w:gutter="0" w:footer="0" w:header="0"/>
        </w:sectPr>
      </w:pPr>
    </w:p>
    <w:bookmarkStart w:id="70" w:name="page71"/>
    <w:bookmarkEnd w:id="70"/>
    <w:p>
      <w:pPr>
        <w:jc w:val="both"/>
        <w:ind w:left="1400" w:hanging="420"/>
        <w:spacing w:after="0" w:line="247" w:lineRule="auto"/>
        <w:tabs>
          <w:tab w:leader="none" w:pos="138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provide Armstrong with a private office, parking space, electronic equipment, administrative support (Vickie Johnson) and such other facilities and services as reasonably necessary for Armstrong to adequately and efficiently perform services hereunder and that are comparable to similar services, support and facilities provided to Armstrong under the Prior Agreement. Within 30 days following the expiration of the Term, Armstrong shall return all keys, access badges and Company credit cards to the Company; provided, however, that Armstrong shall be entitled to retain any computers, iPhones, iPads, printers, monitors and similar Company issued equipment used by him in connection with this employment (with Company data and software to be removed by the Company).</w:t>
      </w:r>
    </w:p>
    <w:p>
      <w:pPr>
        <w:spacing w:after="0" w:line="226" w:lineRule="exact"/>
        <w:rPr>
          <w:rFonts w:ascii="Times New Roman" w:cs="Times New Roman" w:eastAsia="Times New Roman" w:hAnsi="Times New Roman"/>
          <w:sz w:val="22"/>
          <w:szCs w:val="22"/>
          <w:color w:val="auto"/>
        </w:rPr>
      </w:pPr>
    </w:p>
    <w:p>
      <w:pPr>
        <w:jc w:val="both"/>
        <w:ind w:left="920" w:hanging="912"/>
        <w:spacing w:after="0" w:line="252" w:lineRule="auto"/>
        <w:tabs>
          <w:tab w:leader="none" w:pos="9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Indemnity</w:t>
      </w:r>
      <w:r>
        <w:rPr>
          <w:rFonts w:ascii="Times New Roman" w:cs="Times New Roman" w:eastAsia="Times New Roman" w:hAnsi="Times New Roman"/>
          <w:sz w:val="22"/>
          <w:szCs w:val="22"/>
          <w:color w:val="auto"/>
        </w:rPr>
        <w:t>. Notwithstanding anything herein to the contrary, Armstrong shall remain a full beneficiary with respect to any obligation of any member of the Company Group (as such obligation exists as of the Effective Date with respect to active officers and employees of such member) to indemnify, keep well and hold harmless or similarly protect Armstrong against third-party claims.</w:t>
      </w:r>
    </w:p>
    <w:p>
      <w:pPr>
        <w:spacing w:after="0" w:line="2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 to Certain Information; Confidentiality Obligations.</w:t>
      </w:r>
    </w:p>
    <w:p>
      <w:pPr>
        <w:spacing w:after="0" w:line="111" w:lineRule="exact"/>
        <w:rPr>
          <w:rFonts w:ascii="Times New Roman" w:cs="Times New Roman" w:eastAsia="Times New Roman" w:hAnsi="Times New Roman"/>
          <w:sz w:val="22"/>
          <w:szCs w:val="22"/>
          <w:color w:val="auto"/>
        </w:rPr>
      </w:pPr>
    </w:p>
    <w:p>
      <w:pPr>
        <w:ind w:left="2220" w:hanging="1287"/>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(a)During the Term and for a period of two years following the Term, except to the extent not permitted by applicable law or the terms of any agreements entered into by any member of the Company Group with third party service or information providers, the Company agrees that Armstrong shall have the right to (i) receive copies of any materials and analyses prepared by the Company’s market fundamentals group (together with Company personnel performing similar functions, the “Fundamentals Group”) and (ii) request special research or analyses from the Fundamentals Group; it being understood and agreed that (A) the Fundamentals Group shall give priority to research and analysis requested or required by any member of the Company Group, (B) special research and analyses requests by Armstrong may not be unduly burdensome, and (C) any information or materials provided by the Fundamentals Group to Armstrong shall be and remain the property of the Company Group and shall be subject to the confidentiality obligations referenced in Section 5(b) immediately below.</w:t>
      </w:r>
    </w:p>
    <w:p>
      <w:pPr>
        <w:spacing w:after="0" w:line="78" w:lineRule="exact"/>
        <w:rPr>
          <w:rFonts w:ascii="Times New Roman" w:cs="Times New Roman" w:eastAsia="Times New Roman" w:hAnsi="Times New Roman"/>
          <w:sz w:val="22"/>
          <w:szCs w:val="22"/>
          <w:color w:val="auto"/>
        </w:rPr>
      </w:pPr>
    </w:p>
    <w:p>
      <w:pPr>
        <w:ind w:left="2240" w:hanging="1301"/>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(b)Armstrong acknowledges and agrees that (i) the confidentiality and non-disclosure obligations set forth in Section 6 of the Prior Agreement are incorporated herein by reference and shall remain in full force and effect during the Term and for a period of five years following the Termination Date and (ii) any information or materials provided by the Fundamentals Group to Armstrong pursuant to Section 5(a) above shall constitute “confidential information” obtained by Armstrong that is subject to such confidentiality and non-disclosure obligation (including the exceptions therefrom set forth in the proviso clause of Section 6 of the Prior Agreement) until the fifth anniversary of the Termination Date.</w:t>
      </w:r>
    </w:p>
    <w:p>
      <w:pPr>
        <w:spacing w:after="0" w:line="330" w:lineRule="exact"/>
        <w:rPr>
          <w:rFonts w:ascii="Times New Roman" w:cs="Times New Roman" w:eastAsia="Times New Roman" w:hAnsi="Times New Roman"/>
          <w:sz w:val="22"/>
          <w:szCs w:val="22"/>
          <w:color w:val="auto"/>
        </w:rPr>
      </w:pPr>
    </w:p>
    <w:p>
      <w:pPr>
        <w:ind w:left="920" w:hanging="912"/>
        <w:spacing w:after="0" w:line="271" w:lineRule="auto"/>
        <w:tabs>
          <w:tab w:leader="none" w:pos="9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 with Litigation.</w:t>
      </w:r>
      <w:r>
        <w:rPr>
          <w:rFonts w:ascii="Times New Roman" w:cs="Times New Roman" w:eastAsia="Times New Roman" w:hAnsi="Times New Roman"/>
          <w:sz w:val="22"/>
          <w:szCs w:val="22"/>
          <w:color w:val="auto"/>
        </w:rPr>
        <w:t xml:space="preserve"> Armstrong agrees to render reasonable assistance to the Company in connection with any litigation or investigation relating to the business 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77" w:right="239" w:bottom="1440" w:gutter="0" w:footer="0" w:header="0"/>
        </w:sectPr>
      </w:pPr>
    </w:p>
    <w:bookmarkStart w:id="71" w:name="page72"/>
    <w:bookmarkEnd w:id="71"/>
    <w:p>
      <w:pPr>
        <w:jc w:val="both"/>
        <w:ind w:left="920"/>
        <w:spacing w:after="0" w:line="248" w:lineRule="auto"/>
        <w:rPr>
          <w:sz w:val="20"/>
          <w:szCs w:val="20"/>
          <w:color w:val="auto"/>
        </w:rPr>
      </w:pPr>
      <w:r>
        <w:rPr>
          <w:rFonts w:ascii="Times New Roman" w:cs="Times New Roman" w:eastAsia="Times New Roman" w:hAnsi="Times New Roman"/>
          <w:sz w:val="22"/>
          <w:szCs w:val="22"/>
          <w:color w:val="auto"/>
        </w:rPr>
        <w:t>the Company Group. Such assistance shall include, but not be limited to, attending meetings, assisting with discovery responses, giving depositions and making court appearances. The Company shall use commercially reasonable efforts to schedule such assistance at times and places that do not present scheduling issues for Armstrong. The Parties agree that Armstrong shall render the first 100 hours of assistance pursuant to this Section 6 in exchange for the consideration described in Section 3 hereof; provided, however, that with respect to any assistance provided by Armstrong pursuant to this Section 6 in excess of 100 hours, the Company and Armstrong shall agree upon reasonable and appropriate consideration to be paid by the Company to Armstrong.</w:t>
      </w:r>
    </w:p>
    <w:p>
      <w:pPr>
        <w:spacing w:after="0" w:line="223" w:lineRule="exact"/>
        <w:rPr>
          <w:sz w:val="20"/>
          <w:szCs w:val="20"/>
          <w:color w:val="auto"/>
        </w:rPr>
      </w:pPr>
    </w:p>
    <w:p>
      <w:pPr>
        <w:jc w:val="both"/>
        <w:ind w:left="920" w:hanging="912"/>
        <w:spacing w:after="0" w:line="250" w:lineRule="auto"/>
        <w:tabs>
          <w:tab w:leader="none" w:pos="9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 Payments</w:t>
      </w:r>
      <w:r>
        <w:rPr>
          <w:rFonts w:ascii="Times New Roman" w:cs="Times New Roman" w:eastAsia="Times New Roman" w:hAnsi="Times New Roman"/>
          <w:sz w:val="22"/>
          <w:szCs w:val="22"/>
          <w:color w:val="auto"/>
        </w:rPr>
        <w:t>. The Company will, after the Termination Date, reimburse Armstrong for all costs of maintaining health insurance benefits for Armstrong and his family under, and for the maximum time period allowed by, COBRA at such time; provided, however, that such reimbursement obligation shall not extend beyond the first to occur of (i) the date on which Armstrong first becomes eligible to receive benefits under Medicare, or (ii) the date that is 18 months following the Termination Date.</w:t>
      </w:r>
    </w:p>
    <w:p>
      <w:pPr>
        <w:spacing w:after="0" w:line="222" w:lineRule="exact"/>
        <w:rPr>
          <w:rFonts w:ascii="Times New Roman" w:cs="Times New Roman" w:eastAsia="Times New Roman" w:hAnsi="Times New Roman"/>
          <w:sz w:val="22"/>
          <w:szCs w:val="22"/>
          <w:color w:val="auto"/>
        </w:rPr>
      </w:pPr>
    </w:p>
    <w:p>
      <w:pPr>
        <w:jc w:val="both"/>
        <w:ind w:left="920" w:hanging="912"/>
        <w:spacing w:after="0" w:line="249" w:lineRule="auto"/>
        <w:tabs>
          <w:tab w:leader="none" w:pos="9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Governing Law; Jurisdiction</w:t>
      </w:r>
      <w:r>
        <w:rPr>
          <w:rFonts w:ascii="Times New Roman" w:cs="Times New Roman" w:eastAsia="Times New Roman" w:hAnsi="Times New Roman"/>
          <w:sz w:val="22"/>
          <w:szCs w:val="22"/>
          <w:color w:val="auto"/>
        </w:rPr>
        <w:t>. This Agreement supersedes any and all oral agreements and can only be modified by the Parties in a writing signed by both Parties expressly stating a specific intent to modify this Agreement. This Agreement shall be governed by and construed in accordance with the laws of the State of Texas without giving effect to any choice of law or conflict of law provision or rule (whether of the State of Texas or any other jurisdiction) that would cause the application of the laws of any jurisdiction other than the State of Texas. The Parties hereby submit to the exclusive jurisdiction of the state courts of Texas, located in Harris County.</w:t>
      </w:r>
    </w:p>
    <w:p>
      <w:pPr>
        <w:spacing w:after="0" w:line="180" w:lineRule="exact"/>
        <w:rPr>
          <w:rFonts w:ascii="Times New Roman" w:cs="Times New Roman" w:eastAsia="Times New Roman" w:hAnsi="Times New Roman"/>
          <w:sz w:val="22"/>
          <w:szCs w:val="22"/>
          <w:color w:val="auto"/>
        </w:rPr>
      </w:pPr>
    </w:p>
    <w:p>
      <w:pPr>
        <w:jc w:val="both"/>
        <w:ind w:left="920" w:hanging="912"/>
        <w:spacing w:after="0" w:line="245" w:lineRule="auto"/>
        <w:tabs>
          <w:tab w:leader="none" w:pos="9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 This Agreement shall be interpreted and administered in a manner so that any amount or benefit payable hereunder shall be paid or provided in a manner that is either exempt from or compliant with the requirements of Section 409A of the Internal Revenue Code and applicable Internal Revenue Service guidance and Treasury Regulations issued thereunder (“Section 409A”). If the Parties determine that any payments or benefits to be made or provided hereunder do not comply with Section 409A, the Parties agree to interpret or amend this Agreement or take such other actions as reasonably necessary or appropriate to either (i) remove such payments or benefits from the ambit of Section 409A or (ii) render such payments or benefits compliant thereunder, in any case while preserving to the extent possible the economic agreement of the Parties. Notwithstanding any provision in this Agreement to the contrary, if any payment or benefit provided for herein would be subject to additional taxes and interest under Section 409A if the Employee’s receipt of such payment or benefit is not delayed until the Section 409A Payment Date, then such payment or benefit shall not be provided to the Employee (or the Employee’s estate, if applicable) until the Section 409A Payment Date. The term “Section 409A Payment Date” means the earlier of (a) the date of the Employee’s death or (b) the date that is six months after the date of the Employee’s separation from service with the Company (as determined in accordance with Section 409A).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9" w:right="239" w:bottom="1440" w:gutter="0" w:footer="0" w:header="0"/>
        </w:sectPr>
      </w:pPr>
    </w:p>
    <w:bookmarkStart w:id="72" w:name="page73"/>
    <w:bookmarkEnd w:id="72"/>
    <w:p>
      <w:pPr>
        <w:jc w:val="both"/>
        <w:ind w:left="920" w:hanging="912"/>
        <w:spacing w:after="0" w:line="257" w:lineRule="auto"/>
        <w:tabs>
          <w:tab w:leader="none" w:pos="9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For purposes of this Agreement, notices and all other communications shall be in writing and shall have been duly given when personally delivered or when mailed by United States certified or registered mail, or transmitted electronically, addressed as follows: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Plains All American GP LLC</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333 Clay Street, Suite 1600</w:t>
      </w:r>
    </w:p>
    <w:p>
      <w:pPr>
        <w:ind w:left="1960"/>
        <w:spacing w:after="0"/>
        <w:rPr>
          <w:sz w:val="20"/>
          <w:szCs w:val="20"/>
          <w:color w:val="auto"/>
        </w:rPr>
      </w:pPr>
      <w:r>
        <w:rPr>
          <w:rFonts w:ascii="Times New Roman" w:cs="Times New Roman" w:eastAsia="Times New Roman" w:hAnsi="Times New Roman"/>
          <w:sz w:val="20"/>
          <w:szCs w:val="20"/>
          <w:color w:val="auto"/>
        </w:rPr>
        <w:t>Houston, Texas 77002</w:t>
      </w:r>
    </w:p>
    <w:p>
      <w:pPr>
        <w:ind w:left="1960"/>
        <w:spacing w:after="0"/>
        <w:rPr>
          <w:sz w:val="20"/>
          <w:szCs w:val="20"/>
          <w:color w:val="auto"/>
        </w:rPr>
      </w:pPr>
      <w:r>
        <w:rPr>
          <w:rFonts w:ascii="Times New Roman" w:cs="Times New Roman" w:eastAsia="Times New Roman" w:hAnsi="Times New Roman"/>
          <w:sz w:val="20"/>
          <w:szCs w:val="20"/>
          <w:color w:val="auto"/>
        </w:rPr>
        <w:t>Attention: Jim Tillis, VP - Human Resources</w:t>
      </w:r>
    </w:p>
    <w:p>
      <w:pPr>
        <w:ind w:left="1960"/>
        <w:spacing w:after="0"/>
        <w:rPr>
          <w:sz w:val="20"/>
          <w:szCs w:val="20"/>
          <w:color w:val="auto"/>
        </w:rPr>
      </w:pPr>
      <w:r>
        <w:rPr>
          <w:rFonts w:ascii="Times New Roman" w:cs="Times New Roman" w:eastAsia="Times New Roman" w:hAnsi="Times New Roman"/>
          <w:sz w:val="20"/>
          <w:szCs w:val="20"/>
          <w:color w:val="auto"/>
        </w:rPr>
        <w:t>Telephone:</w:t>
      </w:r>
    </w:p>
    <w:p>
      <w:pPr>
        <w:ind w:left="1960"/>
        <w:spacing w:after="0"/>
        <w:rPr>
          <w:sz w:val="20"/>
          <w:szCs w:val="20"/>
          <w:color w:val="auto"/>
        </w:rPr>
      </w:pPr>
      <w:r>
        <w:rPr>
          <w:rFonts w:ascii="Times New Roman" w:cs="Times New Roman" w:eastAsia="Times New Roman" w:hAnsi="Times New Roman"/>
          <w:sz w:val="20"/>
          <w:szCs w:val="20"/>
          <w:color w:val="auto"/>
        </w:rPr>
        <w:t>Facsimile:</w:t>
      </w:r>
    </w:p>
    <w:p>
      <w:pPr>
        <w:ind w:left="1960"/>
        <w:spacing w:after="0"/>
        <w:rPr>
          <w:sz w:val="20"/>
          <w:szCs w:val="20"/>
          <w:color w:val="auto"/>
        </w:rPr>
      </w:pPr>
      <w:r>
        <w:rPr>
          <w:rFonts w:ascii="Times New Roman" w:cs="Times New Roman" w:eastAsia="Times New Roman" w:hAnsi="Times New Roman"/>
          <w:sz w:val="20"/>
          <w:szCs w:val="20"/>
          <w:color w:val="auto"/>
        </w:rPr>
        <w:t>E-mail:</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Plains All American GP LLC</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333 Clay Street, Suite 1600</w:t>
      </w:r>
    </w:p>
    <w:p>
      <w:pPr>
        <w:ind w:left="1960"/>
        <w:spacing w:after="0"/>
        <w:rPr>
          <w:sz w:val="20"/>
          <w:szCs w:val="20"/>
          <w:color w:val="auto"/>
        </w:rPr>
      </w:pPr>
      <w:r>
        <w:rPr>
          <w:rFonts w:ascii="Times New Roman" w:cs="Times New Roman" w:eastAsia="Times New Roman" w:hAnsi="Times New Roman"/>
          <w:sz w:val="20"/>
          <w:szCs w:val="20"/>
          <w:color w:val="auto"/>
        </w:rPr>
        <w:t>Houston, Texas 77002</w:t>
      </w:r>
    </w:p>
    <w:p>
      <w:pPr>
        <w:ind w:left="1960"/>
        <w:spacing w:after="0"/>
        <w:rPr>
          <w:sz w:val="20"/>
          <w:szCs w:val="20"/>
          <w:color w:val="auto"/>
        </w:rPr>
      </w:pPr>
      <w:r>
        <w:rPr>
          <w:rFonts w:ascii="Times New Roman" w:cs="Times New Roman" w:eastAsia="Times New Roman" w:hAnsi="Times New Roman"/>
          <w:sz w:val="20"/>
          <w:szCs w:val="20"/>
          <w:color w:val="auto"/>
        </w:rPr>
        <w:t>Attention: Richard K. McGee, General Counsel</w:t>
      </w:r>
    </w:p>
    <w:p>
      <w:pPr>
        <w:ind w:left="1960"/>
        <w:spacing w:after="0"/>
        <w:rPr>
          <w:sz w:val="20"/>
          <w:szCs w:val="20"/>
          <w:color w:val="auto"/>
        </w:rPr>
      </w:pPr>
      <w:r>
        <w:rPr>
          <w:rFonts w:ascii="Times New Roman" w:cs="Times New Roman" w:eastAsia="Times New Roman" w:hAnsi="Times New Roman"/>
          <w:sz w:val="20"/>
          <w:szCs w:val="20"/>
          <w:color w:val="auto"/>
        </w:rPr>
        <w:t>Telephone:</w:t>
      </w:r>
    </w:p>
    <w:p>
      <w:pPr>
        <w:ind w:left="1960"/>
        <w:spacing w:after="0"/>
        <w:rPr>
          <w:sz w:val="20"/>
          <w:szCs w:val="20"/>
          <w:color w:val="auto"/>
        </w:rPr>
      </w:pPr>
      <w:r>
        <w:rPr>
          <w:rFonts w:ascii="Times New Roman" w:cs="Times New Roman" w:eastAsia="Times New Roman" w:hAnsi="Times New Roman"/>
          <w:sz w:val="20"/>
          <w:szCs w:val="20"/>
          <w:color w:val="auto"/>
        </w:rPr>
        <w:t>E-mail:</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Employee:</w:t>
      </w:r>
    </w:p>
    <w:p>
      <w:pPr>
        <w:spacing w:after="0" w:line="2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Greg L. Armstrong</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Telephone:</w:t>
      </w:r>
    </w:p>
    <w:p>
      <w:pPr>
        <w:ind w:left="1960"/>
        <w:spacing w:after="0"/>
        <w:rPr>
          <w:sz w:val="20"/>
          <w:szCs w:val="20"/>
          <w:color w:val="auto"/>
        </w:rPr>
      </w:pPr>
      <w:r>
        <w:rPr>
          <w:rFonts w:ascii="Times New Roman" w:cs="Times New Roman" w:eastAsia="Times New Roman" w:hAnsi="Times New Roman"/>
          <w:sz w:val="20"/>
          <w:szCs w:val="20"/>
          <w:color w:val="auto"/>
        </w:rPr>
        <w:t>Email:</w:t>
      </w:r>
    </w:p>
    <w:p>
      <w:pPr>
        <w:spacing w:after="0" w:line="200" w:lineRule="exact"/>
        <w:rPr>
          <w:sz w:val="20"/>
          <w:szCs w:val="20"/>
          <w:color w:val="auto"/>
        </w:rPr>
      </w:pPr>
    </w:p>
    <w:p>
      <w:pPr>
        <w:spacing w:after="0" w:line="232" w:lineRule="exact"/>
        <w:rPr>
          <w:sz w:val="20"/>
          <w:szCs w:val="20"/>
          <w:color w:val="auto"/>
        </w:rPr>
      </w:pPr>
    </w:p>
    <w:p>
      <w:pPr>
        <w:ind w:left="920" w:hanging="912"/>
        <w:spacing w:after="0" w:line="271" w:lineRule="auto"/>
        <w:tabs>
          <w:tab w:leader="none" w:pos="9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Agreement.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9"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8"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22"/>
          <w:szCs w:val="22"/>
          <w:color w:val="auto"/>
        </w:rPr>
        <w:t>Greg L. Armstrong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PLAINS ALL AMERICAN GP LLC</w:t>
      </w:r>
    </w:p>
    <w:p>
      <w:pPr>
        <w:spacing w:after="0" w:line="200" w:lineRule="exact"/>
        <w:rPr>
          <w:sz w:val="20"/>
          <w:szCs w:val="20"/>
          <w:color w:val="auto"/>
        </w:rPr>
      </w:pPr>
    </w:p>
    <w:p>
      <w:pPr>
        <w:spacing w:after="0" w:line="317" w:lineRule="exact"/>
        <w:rPr>
          <w:sz w:val="20"/>
          <w:szCs w:val="20"/>
          <w:color w:val="auto"/>
        </w:rPr>
      </w:pPr>
    </w:p>
    <w:p>
      <w:pPr>
        <w:ind w:left="3240"/>
        <w:spacing w:after="0"/>
        <w:tabs>
          <w:tab w:leader="none" w:pos="3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w:t>
      </w:r>
    </w:p>
    <w:p>
      <w:pPr>
        <w:spacing w:after="0" w:line="2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2"/>
          <w:szCs w:val="22"/>
          <w:color w:val="auto"/>
        </w:rPr>
        <w:t>Richard McGee</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200" w:lineRule="exact"/>
        <w:rPr>
          <w:sz w:val="20"/>
          <w:szCs w:val="20"/>
          <w:color w:val="auto"/>
        </w:rPr>
      </w:pPr>
    </w:p>
    <w:p>
      <w:pPr>
        <w:spacing w:after="0" w:line="27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559"/>
          </w:cols>
          <w:pgMar w:left="900" w:top="625" w:right="1440"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October 1, 2018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 (Willie) Chiang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Willie:</w:t>
      </w:r>
    </w:p>
    <w:p>
      <w:pPr>
        <w:spacing w:after="0" w:line="28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The following sets forth an Amended and Restated employment agreement (this "Agreement") between Plains All American GP LLC (the "Company") and WCW (Willie) Chiang ("Executive") that replaces and supersedes that certain employment agreement dated July 10, 2015 between the Company and Executive (the “Original Agreement”).</w:t>
      </w:r>
    </w:p>
    <w:p>
      <w:pPr>
        <w:spacing w:after="0" w:line="202" w:lineRule="exact"/>
        <w:rPr>
          <w:sz w:val="20"/>
          <w:szCs w:val="20"/>
          <w:color w:val="auto"/>
        </w:rPr>
      </w:pPr>
    </w:p>
    <w:p>
      <w:pPr>
        <w:jc w:val="both"/>
        <w:ind w:firstLine="8"/>
        <w:spacing w:after="0" w:line="284" w:lineRule="auto"/>
        <w:tabs>
          <w:tab w:leader="none" w:pos="81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and Position.</w:t>
      </w:r>
      <w:r>
        <w:rPr>
          <w:rFonts w:ascii="Times New Roman" w:cs="Times New Roman" w:eastAsia="Times New Roman" w:hAnsi="Times New Roman"/>
          <w:sz w:val="22"/>
          <w:szCs w:val="22"/>
          <w:color w:val="auto"/>
        </w:rPr>
        <w:t xml:space="preserve"> (a) Executive's title and position will be Chief Executive Officer (“CEO”) of the Company. As CEO, Executive will serve as a member of the Board of Directors of PAA GP Holdings LLC (the “Board”) and will report to the Board. As CEO, Executive will also have supervision and control over and responsibility for, the general management and operation of the Company, and shall have such other duties as may from time to time be prescribed by the Board of Directors, provided that such duties are consistent with Executive’s position. For so long as he serves as CEO, Executive shall devote such of his entire working time, attention, energies and business efforts to his duties and responsibilities as CEO of the Company as are reasonably necessary to carry out the duties and responsibilities generally appertaining to that office. In addition, for so long as he serves as CEO, Executive shall not engage in any other material business activity (regardless of whether such business activity is pursued for gain, profit or other pecuniary advantage) without the prior written approval of the Compensation Committee of the Board (which approval shall not be unreasonably withheld). Nothing in this Section 1 shall be deemed to restrict the Executive from investing his personal assets as a passive investor in the publicly traded securities of other companies.</w:t>
      </w:r>
    </w:p>
    <w:p>
      <w:pPr>
        <w:spacing w:after="0" w:line="218" w:lineRule="exact"/>
        <w:rPr>
          <w:sz w:val="20"/>
          <w:szCs w:val="20"/>
          <w:color w:val="auto"/>
        </w:rPr>
      </w:pPr>
    </w:p>
    <w:p>
      <w:pPr>
        <w:jc w:val="both"/>
        <w:ind w:firstLine="8"/>
        <w:spacing w:after="0" w:line="285" w:lineRule="auto"/>
        <w:tabs>
          <w:tab w:leader="none" w:pos="3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that by virtue of being appointed CEO as provided hereunder, he will have received the Executive Promotion prior to the Reference Date, as such terms are defined in the Original Agreement. Accordingly, Executive further acknowledges and agrees that upon the execution by the Company and Executive of this Agreement, except as set forth in the proviso of this sentence the Original Agreement shall cease to be of any force and effect (it being understood that the LTIP Grants and the Class B Agreement referenced in the Original Agreement shall remain in full force and effect pursuant to the respective terms of such agreements as now in effect); provided, however, that notwithstanding the foregoing, the Company acknowledges and agrees that in the event Executive is terminated by the Company other than for Cause prior to December 31, 2019, Executive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44"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shall immediately vest in (i) any remaining unvested Phantom Units covered by the LTIP Grant referenced in Section 2(c) of the Original Agreement and (ii) any remaining unvested Class B Units covered by the Class B Agreement referenced in Section 2(d) of the Original Agreement.</w:t>
      </w:r>
    </w:p>
    <w:p>
      <w:pPr>
        <w:spacing w:after="0" w:line="377" w:lineRule="exact"/>
        <w:rPr>
          <w:sz w:val="20"/>
          <w:szCs w:val="20"/>
          <w:color w:val="auto"/>
        </w:rPr>
      </w:pPr>
    </w:p>
    <w:p>
      <w:pPr>
        <w:ind w:left="820" w:hanging="812"/>
        <w:spacing w:after="0"/>
        <w:tabs>
          <w:tab w:leader="none" w:pos="8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xml:space="preserve"> Executive's compensation will include:</w:t>
      </w:r>
    </w:p>
    <w:p>
      <w:pPr>
        <w:spacing w:after="0" w:line="287" w:lineRule="exact"/>
        <w:rPr>
          <w:rFonts w:ascii="Times New Roman" w:cs="Times New Roman" w:eastAsia="Times New Roman" w:hAnsi="Times New Roman"/>
          <w:sz w:val="22"/>
          <w:szCs w:val="22"/>
          <w:color w:val="auto"/>
        </w:rPr>
      </w:pPr>
    </w:p>
    <w:p>
      <w:pPr>
        <w:jc w:val="both"/>
        <w:ind w:left="1300" w:hanging="644"/>
        <w:spacing w:after="0" w:line="295" w:lineRule="auto"/>
        <w:tabs>
          <w:tab w:leader="none" w:pos="1300"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xml:space="preserve"> A monthly salary of $50,000.00, payable semi-monthly in cash for so long as Executive is employed by the Company. This amount may be increased or decreased by the Board of Directors from time to time, but may not be decreased from this base level, or any future increased level, without Executive's express written approval.</w:t>
      </w:r>
    </w:p>
    <w:p>
      <w:pPr>
        <w:ind w:left="1960" w:hanging="1304"/>
        <w:spacing w:after="0" w:line="285" w:lineRule="auto"/>
        <w:tabs>
          <w:tab w:leader="none" w:pos="1312"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xml:space="preserve"> Executive will be eligible to participate in the Company's annual discretionary bonus program, with the amount of future annual bonuses, if any, to be determined and approved by the Board of Directors, in its discretion, upon the recommendation of the Compensation Committee. Subject to such discretion, Executive’s annual bonus target will be equal to 250% of Executive’s Base Salary. Annual bonuses, if any, will be paid in cash on the date that annual bonus payments are paid to the other senior executive participants in the annual discretionary bonus program. The Company's obligation to pay an annual bonus with respect to a given calendar year is contingent upon (i) Executive's remaining employed by the Company through the date on which the applicable annual bonus payment is paid, and (ii) continued compliance with the terms of the Confidentiality Agreement, as defined in Section 5 below.</w:t>
      </w:r>
    </w:p>
    <w:p>
      <w:pPr>
        <w:spacing w:after="0" w:line="213" w:lineRule="exact"/>
        <w:rPr>
          <w:rFonts w:ascii="Times New Roman" w:cs="Times New Roman" w:eastAsia="Times New Roman" w:hAnsi="Times New Roman"/>
          <w:sz w:val="22"/>
          <w:szCs w:val="22"/>
          <w:color w:val="auto"/>
        </w:rPr>
      </w:pPr>
    </w:p>
    <w:p>
      <w:pPr>
        <w:jc w:val="both"/>
        <w:ind w:left="1300" w:hanging="644"/>
        <w:spacing w:after="0" w:line="285" w:lineRule="auto"/>
        <w:tabs>
          <w:tab w:leader="none" w:pos="13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LTIP Grants.</w:t>
      </w:r>
      <w:r>
        <w:rPr>
          <w:rFonts w:ascii="Times New Roman" w:cs="Times New Roman" w:eastAsia="Times New Roman" w:hAnsi="Times New Roman"/>
          <w:sz w:val="22"/>
          <w:szCs w:val="22"/>
          <w:color w:val="auto"/>
        </w:rPr>
        <w:t xml:space="preserve"> In addition to any outstanding awards previously granted, Executive will be eligible to participate in the Company’s long-term incentive plan, with the grant and terms of future awards, if any, under such plan to be determined and approved by the Board of Directors, in its discretion, upon the recommendation of the Compensation Committee. Subject to such discretion, Executive’s annual LTIP award target value will be equal to 500% of Executive’s Base Salary. In connection with the promotion contemplated hereunder and in order to more closely align Executive’s total compensation as CEO with the total compensation of CEOs at peer midstream companies, the Board has approved, and Executive acknowledges receipt of, a special LTIP award for 500,000 phantom units, including associated distribution equivalent rights (“DERs”). The phantom units and associated DERs granted to Executive thereunder will vest pursuant to the terms set forth in the letter evidencing such award.</w:t>
      </w:r>
    </w:p>
    <w:p>
      <w:pPr>
        <w:spacing w:after="0" w:line="213" w:lineRule="exact"/>
        <w:rPr>
          <w:rFonts w:ascii="Times New Roman" w:cs="Times New Roman" w:eastAsia="Times New Roman" w:hAnsi="Times New Roman"/>
          <w:sz w:val="22"/>
          <w:szCs w:val="22"/>
          <w:color w:val="auto"/>
        </w:rPr>
      </w:pPr>
    </w:p>
    <w:p>
      <w:pPr>
        <w:jc w:val="both"/>
        <w:ind w:left="1300" w:hanging="644"/>
        <w:spacing w:after="0" w:line="288" w:lineRule="auto"/>
        <w:tabs>
          <w:tab w:leader="none" w:pos="13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B Units.</w:t>
      </w:r>
      <w:r>
        <w:rPr>
          <w:rFonts w:ascii="Times New Roman" w:cs="Times New Roman" w:eastAsia="Times New Roman" w:hAnsi="Times New Roman"/>
          <w:sz w:val="22"/>
          <w:szCs w:val="22"/>
          <w:color w:val="auto"/>
        </w:rPr>
        <w:t xml:space="preserve"> Executive has previously received a grant of 1,000,000 Class B units (375,521 Class B units on a post-split basis) in Plains AAP, L.P. pursuant to that certain Class B Restricted Units Agreement dated August 24, 2015 (as amended on August 25, 2016 and March 22, 2018, the “Class B Agreement”). The Class B Units granted to Executive thereunder will not be affected by this Agreement and will become “earned” units and “vested” units pursuant to the terms set forth in the Class B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44"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firstLine="8"/>
        <w:spacing w:after="0" w:line="309" w:lineRule="auto"/>
        <w:tabs>
          <w:tab w:leader="none" w:pos="81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w:t>
      </w:r>
      <w:r>
        <w:rPr>
          <w:rFonts w:ascii="Times New Roman" w:cs="Times New Roman" w:eastAsia="Times New Roman" w:hAnsi="Times New Roman"/>
          <w:sz w:val="22"/>
          <w:szCs w:val="22"/>
          <w:color w:val="auto"/>
        </w:rPr>
        <w:t xml:space="preserve"> Company shall reimburse Executive for all reasonable business expenses, including travel and entertainment.</w:t>
      </w:r>
    </w:p>
    <w:p>
      <w:pPr>
        <w:spacing w:after="0" w:line="185" w:lineRule="exact"/>
        <w:rPr>
          <w:rFonts w:ascii="Times New Roman" w:cs="Times New Roman" w:eastAsia="Times New Roman" w:hAnsi="Times New Roman"/>
          <w:sz w:val="22"/>
          <w:szCs w:val="22"/>
          <w:color w:val="auto"/>
        </w:rPr>
      </w:pPr>
    </w:p>
    <w:p>
      <w:pPr>
        <w:jc w:val="both"/>
        <w:ind w:firstLine="8"/>
        <w:spacing w:after="0" w:line="291" w:lineRule="auto"/>
        <w:tabs>
          <w:tab w:leader="none" w:pos="81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xml:space="preserve"> Executive shall receive and be entitled to other employment benefits, including: (a) five weeks paid vacation, (b) up to 10 days sick leave with pay, (c) participation in the Company's 401(K) Plan, and (d) all health and welfare benefits, including insurance, provided to other senior executives of the Company, on the same basis and terms as other senior executives of the Company.</w:t>
      </w:r>
    </w:p>
    <w:p>
      <w:pPr>
        <w:spacing w:after="0" w:line="204" w:lineRule="exact"/>
        <w:rPr>
          <w:rFonts w:ascii="Times New Roman" w:cs="Times New Roman" w:eastAsia="Times New Roman" w:hAnsi="Times New Roman"/>
          <w:sz w:val="22"/>
          <w:szCs w:val="22"/>
          <w:color w:val="auto"/>
        </w:rPr>
      </w:pPr>
    </w:p>
    <w:p>
      <w:pPr>
        <w:jc w:val="both"/>
        <w:ind w:firstLine="8"/>
        <w:spacing w:after="0" w:line="295" w:lineRule="auto"/>
        <w:tabs>
          <w:tab w:leader="none" w:pos="81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and Non-Solicitation.</w:t>
      </w:r>
      <w:r>
        <w:rPr>
          <w:rFonts w:ascii="Times New Roman" w:cs="Times New Roman" w:eastAsia="Times New Roman" w:hAnsi="Times New Roman"/>
          <w:sz w:val="22"/>
          <w:szCs w:val="22"/>
          <w:color w:val="auto"/>
        </w:rPr>
        <w:t xml:space="preserve"> Executive and the Company are parties to that certain Confidential Information and Non-Solicitation Agreement dated August 24, 2015 (the "Confidentiality Agreement"). The Confidentiality Agreement shall remain in full force and effect according to its terms.</w:t>
      </w:r>
    </w:p>
    <w:p>
      <w:pPr>
        <w:spacing w:after="0" w:line="188" w:lineRule="exact"/>
        <w:rPr>
          <w:rFonts w:ascii="Times New Roman" w:cs="Times New Roman" w:eastAsia="Times New Roman" w:hAnsi="Times New Roman"/>
          <w:sz w:val="22"/>
          <w:szCs w:val="22"/>
          <w:color w:val="auto"/>
        </w:rPr>
      </w:pPr>
    </w:p>
    <w:p>
      <w:pPr>
        <w:jc w:val="both"/>
        <w:ind w:firstLine="8"/>
        <w:spacing w:after="0" w:line="291" w:lineRule="auto"/>
        <w:tabs>
          <w:tab w:leader="none" w:pos="81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and Termination.</w:t>
      </w:r>
      <w:r>
        <w:rPr>
          <w:rFonts w:ascii="Times New Roman" w:cs="Times New Roman" w:eastAsia="Times New Roman" w:hAnsi="Times New Roman"/>
          <w:sz w:val="22"/>
          <w:szCs w:val="22"/>
          <w:color w:val="auto"/>
        </w:rPr>
        <w:t xml:space="preserve"> This Agreement will become effective on October 1, 2018 (the “Effective Date”). Either party may terminate Executive's employment at any time. However, notwithstanding the foregoing, termination of Executive’s employment shall not affect (a) the obligations of the Company hereunder that arise prior to, or as a result of, such termination, or (b) any rights or obligations under the Confidentiality Agreement that survive such termination.</w:t>
      </w:r>
    </w:p>
    <w:p>
      <w:pPr>
        <w:spacing w:after="0" w:line="204" w:lineRule="exact"/>
        <w:rPr>
          <w:rFonts w:ascii="Times New Roman" w:cs="Times New Roman" w:eastAsia="Times New Roman" w:hAnsi="Times New Roman"/>
          <w:sz w:val="22"/>
          <w:szCs w:val="22"/>
          <w:color w:val="auto"/>
        </w:rPr>
      </w:pPr>
    </w:p>
    <w:p>
      <w:pPr>
        <w:jc w:val="both"/>
        <w:ind w:firstLine="8"/>
        <w:spacing w:after="0" w:line="291" w:lineRule="auto"/>
        <w:tabs>
          <w:tab w:leader="none" w:pos="72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Representations of Executive.</w:t>
      </w:r>
      <w:r>
        <w:rPr>
          <w:rFonts w:ascii="Times New Roman" w:cs="Times New Roman" w:eastAsia="Times New Roman" w:hAnsi="Times New Roman"/>
          <w:sz w:val="22"/>
          <w:szCs w:val="22"/>
          <w:color w:val="auto"/>
        </w:rPr>
        <w:t xml:space="preserve"> Executive represents that: (a) his execution of this Agreement will not violate the terms of any agreement to which he is currently bound; and (b) other than the Confidentiality Agreement, he is not subject to an existing confidentiality, non-compete or similar type agreement that would prevent, limit or otherwise encumber Executive's ability to perform his job with the Company.</w:t>
      </w:r>
    </w:p>
    <w:p>
      <w:pPr>
        <w:spacing w:after="0" w:line="204" w:lineRule="exact"/>
        <w:rPr>
          <w:rFonts w:ascii="Times New Roman" w:cs="Times New Roman" w:eastAsia="Times New Roman" w:hAnsi="Times New Roman"/>
          <w:sz w:val="22"/>
          <w:szCs w:val="22"/>
          <w:color w:val="auto"/>
        </w:rPr>
      </w:pPr>
    </w:p>
    <w:p>
      <w:pPr>
        <w:jc w:val="both"/>
        <w:ind w:firstLine="8"/>
        <w:spacing w:after="0" w:line="295" w:lineRule="auto"/>
        <w:tabs>
          <w:tab w:leader="none" w:pos="81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Materials.</w:t>
      </w:r>
      <w:r>
        <w:rPr>
          <w:rFonts w:ascii="Times New Roman" w:cs="Times New Roman" w:eastAsia="Times New Roman" w:hAnsi="Times New Roman"/>
          <w:sz w:val="22"/>
          <w:szCs w:val="22"/>
          <w:color w:val="auto"/>
        </w:rPr>
        <w:t xml:space="preserve"> Upon termination of his employment for any reason, Executive shall promptly return to Company all copies of any Company data, records, or materials of whatever nature or kind, including all materials incorporating the proprietary information of the Company.</w:t>
      </w:r>
    </w:p>
    <w:p>
      <w:pPr>
        <w:spacing w:after="0" w:line="255" w:lineRule="exact"/>
        <w:rPr>
          <w:rFonts w:ascii="Times New Roman" w:cs="Times New Roman" w:eastAsia="Times New Roman" w:hAnsi="Times New Roman"/>
          <w:sz w:val="22"/>
          <w:szCs w:val="22"/>
          <w:color w:val="auto"/>
        </w:rPr>
      </w:pPr>
    </w:p>
    <w:p>
      <w:pPr>
        <w:jc w:val="both"/>
        <w:ind w:firstLine="8"/>
        <w:spacing w:after="0" w:line="291" w:lineRule="auto"/>
        <w:tabs>
          <w:tab w:leader="none" w:pos="81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If the parties determine, or the Internal Revenue Service asserts, that any payments or benefits to be made or provided to Executive hereunder do not comply with Section 409A of the Internal Revenue Code, then the parties agree to amend this Agreement or take such other actions as reasonably necessary or appropriate to comply with Section 409A while preserving the economic agreement of the parties.</w:t>
      </w:r>
    </w:p>
    <w:p>
      <w:pPr>
        <w:spacing w:after="0" w:line="204" w:lineRule="exact"/>
        <w:rPr>
          <w:rFonts w:ascii="Times New Roman" w:cs="Times New Roman" w:eastAsia="Times New Roman" w:hAnsi="Times New Roman"/>
          <w:sz w:val="22"/>
          <w:szCs w:val="22"/>
          <w:color w:val="auto"/>
        </w:rPr>
      </w:pPr>
    </w:p>
    <w:p>
      <w:pPr>
        <w:ind w:firstLine="8"/>
        <w:spacing w:after="0" w:line="309" w:lineRule="auto"/>
        <w:tabs>
          <w:tab w:leader="none" w:pos="91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Agreements of Executive.</w:t>
      </w:r>
      <w:r>
        <w:rPr>
          <w:rFonts w:ascii="Times New Roman" w:cs="Times New Roman" w:eastAsia="Times New Roman" w:hAnsi="Times New Roman"/>
          <w:sz w:val="22"/>
          <w:szCs w:val="22"/>
          <w:color w:val="auto"/>
        </w:rPr>
        <w:t xml:space="preserve"> Without amending, modifying or expanding the meaning of “Cause” as defined in the Class B Agreement, Executive agrees that he shall at all times:</w:t>
      </w:r>
    </w:p>
    <w:p>
      <w:pPr>
        <w:spacing w:after="0" w:line="185"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adhere to the Company's Trading and Risk Management Policies and Procedures,</w:t>
      </w:r>
    </w:p>
    <w:p>
      <w:pPr>
        <w:spacing w:after="0" w:line="287"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adhere to the Company's Code of Business Conduct, and</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44"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60" w:right="20" w:hanging="404"/>
        <w:spacing w:after="0" w:line="309" w:lineRule="auto"/>
        <w:tabs>
          <w:tab w:leader="none" w:pos="1042"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misrepresent or conceal information regarding transactions from senior management or any person responsible for the accurate recording and reporting of each transaction.</w:t>
      </w:r>
    </w:p>
    <w:p>
      <w:pPr>
        <w:spacing w:after="0" w:line="388" w:lineRule="exact"/>
        <w:rPr>
          <w:rFonts w:ascii="Times New Roman" w:cs="Times New Roman" w:eastAsia="Times New Roman" w:hAnsi="Times New Roman"/>
          <w:sz w:val="22"/>
          <w:szCs w:val="22"/>
          <w:color w:val="auto"/>
        </w:rPr>
      </w:pPr>
    </w:p>
    <w:p>
      <w:pPr>
        <w:ind w:right="20" w:firstLine="8"/>
        <w:spacing w:after="0" w:line="295" w:lineRule="auto"/>
        <w:tabs>
          <w:tab w:leader="none" w:pos="637"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will not be obligated to seek employment or otherwise mitigate any benefits provided hereunder. Payments provided hereunder will not be reduced by other compensation earned by Executive from another employer following termination.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33" w:lineRule="exact"/>
        <w:rPr>
          <w:sz w:val="20"/>
          <w:szCs w:val="20"/>
          <w:color w:val="auto"/>
        </w:rPr>
      </w:pPr>
    </w:p>
    <w:p>
      <w:pPr>
        <w:ind w:right="20" w:firstLine="648"/>
        <w:spacing w:after="0" w:line="297" w:lineRule="auto"/>
        <w:rPr>
          <w:sz w:val="20"/>
          <w:szCs w:val="20"/>
          <w:color w:val="auto"/>
        </w:rPr>
      </w:pPr>
      <w:r>
        <w:rPr>
          <w:rFonts w:ascii="Times New Roman" w:cs="Times New Roman" w:eastAsia="Times New Roman" w:hAnsi="Times New Roman"/>
          <w:sz w:val="22"/>
          <w:szCs w:val="22"/>
          <w:color w:val="auto"/>
        </w:rPr>
        <w:t>If the foregoing meets with your understanding of our agreement, please execute, date and return one original Agreement for our files.</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33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PLAINS ALL AMERICAN GP LLC</w:t>
      </w:r>
    </w:p>
    <w:p>
      <w:pPr>
        <w:spacing w:after="0" w:line="200" w:lineRule="exact"/>
        <w:rPr>
          <w:sz w:val="20"/>
          <w:szCs w:val="20"/>
          <w:color w:val="auto"/>
        </w:rPr>
      </w:pPr>
    </w:p>
    <w:p>
      <w:pPr>
        <w:spacing w:after="0" w:line="3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______________________________________</w:t>
      </w:r>
    </w:p>
    <w:p>
      <w:pPr>
        <w:spacing w:after="0" w:line="2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Greg L. Armstrong</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TO AND ACCEPTED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____ day of September, 2018</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 (Willie) Chiang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44" w:right="2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26035</wp:posOffset>
            </wp:positionV>
            <wp:extent cx="1509395" cy="428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3">
                      <a:extLst>
                        <a:ext uri="{28A0092B-C50C-407E-A947-70E740481C1C}"/>
                      </a:extLst>
                    </a:blip>
                    <a:srcRect/>
                    <a:stretch>
                      <a:fillRect/>
                    </a:stretch>
                  </pic:blipFill>
                  <pic:spPr bwMode="auto">
                    <a:xfrm>
                      <a:off x="0" y="0"/>
                      <a:ext cx="15093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August 16, 2018</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Willie Chiang</w:t>
      </w:r>
    </w:p>
    <w:p>
      <w:pPr>
        <w:spacing w:after="0" w:line="200" w:lineRule="exact"/>
        <w:rPr>
          <w:sz w:val="20"/>
          <w:szCs w:val="20"/>
          <w:color w:val="auto"/>
        </w:rPr>
      </w:pPr>
    </w:p>
    <w:p>
      <w:pPr>
        <w:spacing w:after="0" w:line="2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2"/>
          <w:szCs w:val="22"/>
          <w:color w:val="auto"/>
        </w:rPr>
        <w:t>Grant of Phantom Units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Willie:</w:t>
      </w:r>
    </w:p>
    <w:p>
      <w:pPr>
        <w:spacing w:after="0" w:line="274"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I am pleased to inform you that you have been granted 500,000 Phantom Units as of the above date pursuant to the Company’s 2013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4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  Subject to the further provisions of this Agreement, your Phantom Units shall vest (become payable in the form of one</w:t>
      </w:r>
    </w:p>
    <w:p>
      <w:pPr>
        <w:spacing w:after="0" w:line="4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Common Unit of PAA for each Phantom Unit) as follows:</w:t>
      </w:r>
    </w:p>
    <w:p>
      <w:pPr>
        <w:spacing w:after="0" w:line="44" w:lineRule="exact"/>
        <w:rPr>
          <w:sz w:val="20"/>
          <w:szCs w:val="20"/>
          <w:color w:val="auto"/>
        </w:rPr>
      </w:pPr>
    </w:p>
    <w:p>
      <w:pPr>
        <w:jc w:val="both"/>
        <w:ind w:left="3080" w:hanging="1782"/>
        <w:spacing w:after="0" w:line="281" w:lineRule="auto"/>
        <w:rPr>
          <w:sz w:val="20"/>
          <w:szCs w:val="20"/>
          <w:color w:val="auto"/>
        </w:rPr>
      </w:pPr>
      <w:r>
        <w:rPr>
          <w:rFonts w:ascii="Times New Roman" w:cs="Times New Roman" w:eastAsia="Times New Roman" w:hAnsi="Times New Roman"/>
          <w:sz w:val="22"/>
          <w:szCs w:val="22"/>
          <w:color w:val="auto"/>
        </w:rPr>
        <w:t>a.Tranche A, which shall consist of 25% of the total number of Phantom Units covered by this grant letter, shall vest on the later of October 1, 2023 and the first Distribution Date following the date on which the Partnership generates distributable cash flow (“DCF”) per common unit on a trailing four quarter basis of at least $3.00; and</w:t>
      </w:r>
    </w:p>
    <w:p>
      <w:pPr>
        <w:spacing w:after="0" w:line="4" w:lineRule="exact"/>
        <w:rPr>
          <w:sz w:val="20"/>
          <w:szCs w:val="20"/>
          <w:color w:val="auto"/>
        </w:rPr>
      </w:pPr>
    </w:p>
    <w:p>
      <w:pPr>
        <w:jc w:val="both"/>
        <w:ind w:left="3080" w:hanging="1782"/>
        <w:spacing w:after="0" w:line="315" w:lineRule="auto"/>
        <w:rPr>
          <w:sz w:val="20"/>
          <w:szCs w:val="20"/>
          <w:color w:val="auto"/>
        </w:rPr>
      </w:pPr>
      <w:r>
        <w:rPr>
          <w:rFonts w:ascii="Times New Roman" w:cs="Times New Roman" w:eastAsia="Times New Roman" w:hAnsi="Times New Roman"/>
          <w:sz w:val="21"/>
          <w:szCs w:val="21"/>
          <w:color w:val="auto"/>
        </w:rPr>
        <w:t>b.Tranche B, which shall consist of 75% of the total number of Phantom Units covered by this grant letter, shall vest on the later of October 1, 2023 and the first Distribution Date following the date on which the Partnership generates DCF per common unit on a trailing four quarter basis of at least $3.50.</w:t>
      </w:r>
    </w:p>
    <w:p>
      <w:pPr>
        <w:spacing w:after="0" w:line="197" w:lineRule="exact"/>
        <w:rPr>
          <w:sz w:val="20"/>
          <w:szCs w:val="20"/>
          <w:color w:val="auto"/>
        </w:rPr>
      </w:pPr>
    </w:p>
    <w:p>
      <w:pPr>
        <w:jc w:val="both"/>
        <w:ind w:left="1040"/>
        <w:spacing w:after="0" w:line="308" w:lineRule="auto"/>
        <w:rPr>
          <w:sz w:val="20"/>
          <w:szCs w:val="20"/>
          <w:color w:val="auto"/>
        </w:rPr>
      </w:pPr>
      <w:r>
        <w:rPr>
          <w:rFonts w:ascii="Times New Roman" w:cs="Times New Roman" w:eastAsia="Times New Roman" w:hAnsi="Times New Roman"/>
          <w:sz w:val="21"/>
          <w:szCs w:val="21"/>
          <w:color w:val="auto"/>
        </w:rPr>
        <w:t>The DCF performance thresholds described in this paragraph shall apply to any trailing four-quarter period beginning on or after January 1, 2021. Any remaining Phantom Units that have not vested on or before October 1, 2025, and any associated DERs (regardless of vesting), shall expire on such date. The DCF per common unit amounts referenced in this paragraph are subject to adjustment in the reasonable discretion of the Board to account for significant asset sales.</w:t>
      </w:r>
    </w:p>
    <w:p>
      <w:pPr>
        <w:spacing w:after="0" w:line="165" w:lineRule="exact"/>
        <w:rPr>
          <w:sz w:val="20"/>
          <w:szCs w:val="20"/>
          <w:color w:val="auto"/>
        </w:rPr>
      </w:pPr>
    </w:p>
    <w:p>
      <w:pPr>
        <w:ind w:left="2100" w:hanging="1444"/>
        <w:spacing w:after="0" w:line="309" w:lineRule="auto"/>
        <w:tabs>
          <w:tab w:leader="none" w:pos="105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of this Agreement, your DERs shall vest (become payable in cash) as follows: (i) one-third of your DERs shall vest upon and effective</w:t>
      </w:r>
    </w:p>
    <w:p>
      <w:pPr>
        <w:spacing w:after="0" w:line="178"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000080"/>
        </w:rPr>
        <w:t>333 Clay Street, Suite 1600 (77002)</w:t>
      </w:r>
      <w:r>
        <w:rPr>
          <w:sz w:val="20"/>
          <w:szCs w:val="20"/>
          <w:color w:val="auto"/>
        </w:rPr>
        <w:tab/>
      </w:r>
      <w:r>
        <w:rPr>
          <w:rFonts w:ascii="Times New Roman" w:cs="Times New Roman" w:eastAsia="Times New Roman" w:hAnsi="Times New Roman"/>
          <w:sz w:val="17"/>
          <w:szCs w:val="17"/>
          <w:b w:val="1"/>
          <w:bCs w:val="1"/>
          <w:color w:val="000080"/>
        </w:rPr>
        <w:t>■ P.O. Box 4648 ■ Houston, Texas 77210-4648 ■ 713-646-4100</w:t>
      </w:r>
    </w:p>
    <w:p>
      <w:pPr>
        <w:sectPr>
          <w:pgSz w:w="11900" w:h="16838" w:orient="portrait"/>
          <w:cols w:equalWidth="0" w:num="1">
            <w:col w:w="11420"/>
          </w:cols>
          <w:pgMar w:left="240" w:top="135"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1040"/>
        <w:spacing w:after="0" w:line="301" w:lineRule="auto"/>
        <w:rPr>
          <w:sz w:val="20"/>
          <w:szCs w:val="20"/>
          <w:color w:val="auto"/>
        </w:rPr>
      </w:pPr>
      <w:r>
        <w:rPr>
          <w:rFonts w:ascii="Times New Roman" w:cs="Times New Roman" w:eastAsia="Times New Roman" w:hAnsi="Times New Roman"/>
          <w:sz w:val="21"/>
          <w:szCs w:val="21"/>
          <w:color w:val="auto"/>
        </w:rPr>
        <w:t>with the first Distribution Date following the date on which the Partnership generates DCF per common unit on a trailing four quarter basis of at least $2.50, (ii) one-third of your DERs shall vest upon and effective with the first Distribution Date following the date on which the Partnership generates DCF per common unit on a trailing four quarter basis of at least $2.60, and (iii) one-third of your DERs shall vest upon and effective with the first Distribution Date following the date on which the Partnership generates DCF per common unit on a trailing four quarter basis of at least $2.80. The DCF performance thresholds described in sections (ii) and (iii) of this paragraph shall apply to any trailing four-quarter period beginning on or after January 1, 2020. The DCF per common unit amounts referenced in this paragraph are subject to adjustment in the reasonable discretion of the Board to account for significant asset sales.</w:t>
      </w:r>
    </w:p>
    <w:p>
      <w:pPr>
        <w:spacing w:after="0" w:line="211" w:lineRule="exact"/>
        <w:rPr>
          <w:sz w:val="20"/>
          <w:szCs w:val="20"/>
          <w:color w:val="auto"/>
        </w:rPr>
      </w:pPr>
    </w:p>
    <w:p>
      <w:pPr>
        <w:ind w:left="1040" w:hanging="384"/>
        <w:spacing w:after="0"/>
        <w:tabs>
          <w:tab w:leader="none" w:pos="10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DERs shall not accrue payments prior to vesting.</w:t>
      </w:r>
    </w:p>
    <w:p>
      <w:pPr>
        <w:spacing w:after="0" w:line="300" w:lineRule="exact"/>
        <w:rPr>
          <w:rFonts w:ascii="Times New Roman" w:cs="Times New Roman" w:eastAsia="Times New Roman" w:hAnsi="Times New Roman"/>
          <w:sz w:val="22"/>
          <w:szCs w:val="22"/>
          <w:color w:val="auto"/>
        </w:rPr>
      </w:pPr>
    </w:p>
    <w:p>
      <w:pPr>
        <w:ind w:left="2120" w:hanging="1464"/>
        <w:spacing w:after="0" w:line="295" w:lineRule="auto"/>
        <w:tabs>
          <w:tab w:leader="none" w:pos="10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Phantom Units subject to this award and any DCF per common unit level required for vesting under paragraphs 1 or 2 above shall be proportionately reduced or increased for any split or reverse split, respectively, of the Units, or any event or transaction having a similar effect.</w:t>
      </w:r>
    </w:p>
    <w:p>
      <w:pPr>
        <w:spacing w:after="0" w:line="200" w:lineRule="exact"/>
        <w:rPr>
          <w:rFonts w:ascii="Times New Roman" w:cs="Times New Roman" w:eastAsia="Times New Roman" w:hAnsi="Times New Roman"/>
          <w:sz w:val="22"/>
          <w:szCs w:val="22"/>
          <w:color w:val="auto"/>
        </w:rPr>
      </w:pPr>
    </w:p>
    <w:p>
      <w:pPr>
        <w:spacing w:after="0" w:line="231" w:lineRule="exact"/>
        <w:rPr>
          <w:rFonts w:ascii="Times New Roman" w:cs="Times New Roman" w:eastAsia="Times New Roman" w:hAnsi="Times New Roman"/>
          <w:sz w:val="22"/>
          <w:szCs w:val="22"/>
          <w:color w:val="auto"/>
        </w:rPr>
      </w:pPr>
    </w:p>
    <w:p>
      <w:pPr>
        <w:ind w:left="2120" w:hanging="1464"/>
        <w:spacing w:after="0" w:line="295" w:lineRule="auto"/>
        <w:tabs>
          <w:tab w:leader="none" w:pos="10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vesting of any Phantom Units, an equivalent number of DERs will expire. Any such DERs that are vested prior to, or that would vest as of, the Distribution Date on which the Phantom Units vest, shall be payable on such Distribution Date prior to their expiration.</w:t>
      </w:r>
    </w:p>
    <w:p>
      <w:pPr>
        <w:spacing w:after="0" w:line="200" w:lineRule="exact"/>
        <w:rPr>
          <w:rFonts w:ascii="Times New Roman" w:cs="Times New Roman" w:eastAsia="Times New Roman" w:hAnsi="Times New Roman"/>
          <w:sz w:val="22"/>
          <w:szCs w:val="22"/>
          <w:color w:val="auto"/>
        </w:rPr>
      </w:pPr>
    </w:p>
    <w:p>
      <w:pPr>
        <w:spacing w:after="0" w:line="231" w:lineRule="exact"/>
        <w:rPr>
          <w:rFonts w:ascii="Times New Roman" w:cs="Times New Roman" w:eastAsia="Times New Roman" w:hAnsi="Times New Roman"/>
          <w:sz w:val="22"/>
          <w:szCs w:val="22"/>
          <w:color w:val="auto"/>
        </w:rPr>
      </w:pPr>
    </w:p>
    <w:p>
      <w:pPr>
        <w:ind w:left="2120" w:hanging="1464"/>
        <w:spacing w:after="0" w:line="284" w:lineRule="auto"/>
        <w:tabs>
          <w:tab w:leader="none" w:pos="10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your employment with the Company and its Affiliates for any reason (other than in connection with a Change in Status or by reason of your death or “disability,” as defined in paragraph 7 below), all of your then outstanding DERs (regardless of vesting) and Phantom Units shall automatically be forfeited as of the date of termination; provided, however, that if the Company or its Affiliates terminate your employment other than as a result of a Termination for Cause, the following provisions shall apply: (i) if such termination occurs prior to October 1, 2019, 20% of your unvested Phantom Units shall be deemed nonforfeitable on the date of termination, and shall vest on the next following Distribution Date; (ii) if such termination occurs after October 1, 2019 but prior to October 1, 2020, 40% of your unvested Phantom Units shall be deemed nonforfeitable on the date of termination, and shall vest on the next following Distribution Date; (iii) if such termination occurs after October 1, 2020 but prior to October 1, 2021, 60% of your unvested Phantom Units shall be deemed nonforfeitable on the date of termination, and shall vest on the</w:t>
      </w:r>
    </w:p>
    <w:p>
      <w:pPr>
        <w:sectPr>
          <w:pgSz w:w="11900" w:h="16838" w:orient="portrait"/>
          <w:cols w:equalWidth="0" w:num="1">
            <w:col w:w="11420"/>
          </w:cols>
          <w:pgMar w:left="240" w:top="139"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1080"/>
        <w:spacing w:after="0" w:line="286" w:lineRule="auto"/>
        <w:rPr>
          <w:sz w:val="20"/>
          <w:szCs w:val="20"/>
          <w:color w:val="auto"/>
        </w:rPr>
      </w:pPr>
      <w:r>
        <w:rPr>
          <w:rFonts w:ascii="Times New Roman" w:cs="Times New Roman" w:eastAsia="Times New Roman" w:hAnsi="Times New Roman"/>
          <w:sz w:val="22"/>
          <w:szCs w:val="22"/>
          <w:color w:val="auto"/>
        </w:rPr>
        <w:t>next following Distribution Date; (iv) if such termination occurs after October 1, 2021, any unvested Phantom Units covered by paragraphs 1(a) and 1(b) above with respect to which the Partnership has, as of the date of termination, achieved the applicable DCF vesting criteria for such Phantom Units, shall be deemed nonforfeitable on the date of termination, and shall vest on the next following Distribution Date; and (v) any DERs associated with such unvested, nonforfeitable Phantom Units described in clauses (i)-(iv) immediately preceding shall not be forfeited on the date of termination, but shall vest in accordance with paragraph 2 above and if vested shall be payable and shall expire in accordance with paragraph 1 or paragraph 5 above.</w:t>
      </w:r>
    </w:p>
    <w:p>
      <w:pPr>
        <w:spacing w:after="0" w:line="226" w:lineRule="exact"/>
        <w:rPr>
          <w:sz w:val="20"/>
          <w:szCs w:val="20"/>
          <w:color w:val="auto"/>
        </w:rPr>
      </w:pPr>
    </w:p>
    <w:p>
      <w:pPr>
        <w:ind w:left="2120" w:hanging="1464"/>
        <w:spacing w:after="0" w:line="284" w:lineRule="auto"/>
        <w:tabs>
          <w:tab w:leader="none" w:pos="104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second anniversary of the date of this grant, all of your then outstanding Phantom Units and DERs shall automatically be forfeited as of the date of termination and (ii) if such termination takes place on or after the second anniversary of the date of this grant, your then outstanding Phantom Units shall be deemed nonforfeitable on the date of termination and shall vest on the next following Distribution Date (and any DERs associated with such unvested, nonforfeitable Phantom Units shall not be forfeited on the date of termination, but shall vest in accordance with paragraph 2 above and if vested shall be payable and shall expire in accordance with paragraph 1 or paragraph 5 above). As soon as administratively practicable after the vesting of any Phantom Units pursuant to this paragraph 7, payment will be made in cash in an amount equal to the Market Value of the number of Phantom Units vesting.</w:t>
      </w:r>
    </w:p>
    <w:p>
      <w:pPr>
        <w:spacing w:after="0" w:line="227" w:lineRule="exact"/>
        <w:rPr>
          <w:rFonts w:ascii="Times New Roman" w:cs="Times New Roman" w:eastAsia="Times New Roman" w:hAnsi="Times New Roman"/>
          <w:sz w:val="22"/>
          <w:szCs w:val="22"/>
          <w:color w:val="auto"/>
        </w:rPr>
      </w:pPr>
    </w:p>
    <w:p>
      <w:pPr>
        <w:ind w:left="2120" w:hanging="1464"/>
        <w:spacing w:after="0" w:line="295" w:lineRule="auto"/>
        <w:tabs>
          <w:tab w:leader="none" w:pos="104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Status, all of your then outstanding Phantom Units and tandem DERs shall be deemed 100% nonforfeitable on such date, and such Phantom Units shall vest in full upon the next Distribution Date.</w:t>
      </w:r>
    </w:p>
    <w:p>
      <w:pPr>
        <w:spacing w:after="0" w:line="200" w:lineRule="exact"/>
        <w:rPr>
          <w:rFonts w:ascii="Times New Roman" w:cs="Times New Roman" w:eastAsia="Times New Roman" w:hAnsi="Times New Roman"/>
          <w:sz w:val="22"/>
          <w:szCs w:val="22"/>
          <w:color w:val="auto"/>
        </w:rPr>
      </w:pPr>
    </w:p>
    <w:p>
      <w:pPr>
        <w:spacing w:after="0" w:line="231" w:lineRule="exact"/>
        <w:rPr>
          <w:rFonts w:ascii="Times New Roman" w:cs="Times New Roman" w:eastAsia="Times New Roman" w:hAnsi="Times New Roman"/>
          <w:sz w:val="22"/>
          <w:szCs w:val="22"/>
          <w:color w:val="auto"/>
        </w:rPr>
      </w:pPr>
    </w:p>
    <w:p>
      <w:pPr>
        <w:ind w:left="2120" w:hanging="1464"/>
        <w:spacing w:after="0" w:line="291" w:lineRule="auto"/>
        <w:tabs>
          <w:tab w:leader="none" w:pos="104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05"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As used herein, (i) the “Company” refers to Plains All American GP LLC; (ii) “Distribution Date” means the day in February, May, August or November in any year (as context dictates) that</w:t>
      </w:r>
    </w:p>
    <w:p>
      <w:pPr>
        <w:sectPr>
          <w:pgSz w:w="11900" w:h="16838" w:orient="portrait"/>
          <w:cols w:equalWidth="0" w:num="1">
            <w:col w:w="11420"/>
          </w:cols>
          <w:pgMar w:left="240" w:top="139"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is 45 days after the end of the most recently completed calendar quarter (or, if not a business day, the closest previous business day); (iii) “Market Value” means the average of the closing sales prices for a Common Unit on the New York Stock Exchange for the five trading days preceding the then most recent “ex dividend” date for payment of a distribution by the Partnership; and (iv) “Board” means the board of directors of PAGP GP (defined below).</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Board.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23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phrase “Change of Control” means, and shall be deemed to have occurred upon the occurrence of, one or more of the following events:</w:t>
      </w:r>
    </w:p>
    <w:p>
      <w:pPr>
        <w:spacing w:after="0" w:line="212" w:lineRule="exact"/>
        <w:rPr>
          <w:sz w:val="20"/>
          <w:szCs w:val="20"/>
          <w:color w:val="auto"/>
        </w:rPr>
      </w:pPr>
    </w:p>
    <w:p>
      <w:pPr>
        <w:jc w:val="both"/>
        <w:ind w:left="1580" w:hanging="924"/>
        <w:spacing w:after="0" w:line="281" w:lineRule="auto"/>
        <w:tabs>
          <w:tab w:leader="none" w:pos="15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p>
    <w:p>
      <w:pPr>
        <w:spacing w:after="0" w:line="3" w:lineRule="exact"/>
        <w:rPr>
          <w:rFonts w:ascii="Times New Roman" w:cs="Times New Roman" w:eastAsia="Times New Roman" w:hAnsi="Times New Roman"/>
          <w:sz w:val="22"/>
          <w:szCs w:val="22"/>
          <w:color w:val="auto"/>
        </w:rPr>
      </w:pPr>
    </w:p>
    <w:p>
      <w:pPr>
        <w:jc w:val="both"/>
        <w:ind w:left="1580" w:hanging="924"/>
        <w:spacing w:after="0" w:line="281" w:lineRule="auto"/>
        <w:tabs>
          <w:tab w:leader="none" w:pos="15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2" w:lineRule="exact"/>
        <w:rPr>
          <w:rFonts w:ascii="Times New Roman" w:cs="Times New Roman" w:eastAsia="Times New Roman" w:hAnsi="Times New Roman"/>
          <w:sz w:val="22"/>
          <w:szCs w:val="22"/>
          <w:color w:val="auto"/>
        </w:rPr>
      </w:pPr>
    </w:p>
    <w:p>
      <w:pPr>
        <w:ind w:left="1580" w:hanging="924"/>
        <w:spacing w:after="0" w:line="281" w:lineRule="auto"/>
        <w:tabs>
          <w:tab w:leader="none" w:pos="15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PAGP ceases to retain direct or indirect control (in one transaction or a series of related transactions and whether by merger or otherwise) of the general partner of the Partnership; or</w:t>
      </w:r>
    </w:p>
    <w:p>
      <w:pPr>
        <w:spacing w:after="0" w:line="1" w:lineRule="exact"/>
        <w:rPr>
          <w:rFonts w:ascii="Times New Roman" w:cs="Times New Roman" w:eastAsia="Times New Roman" w:hAnsi="Times New Roman"/>
          <w:sz w:val="22"/>
          <w:szCs w:val="22"/>
          <w:color w:val="auto"/>
        </w:rPr>
      </w:pPr>
    </w:p>
    <w:p>
      <w:pPr>
        <w:jc w:val="both"/>
        <w:ind w:left="1580" w:hanging="924"/>
        <w:spacing w:after="0" w:line="291" w:lineRule="auto"/>
        <w:tabs>
          <w:tab w:leader="none" w:pos="15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ectPr>
          <w:pgSz w:w="11900" w:h="16838" w:orient="portrait"/>
          <w:cols w:equalWidth="0" w:num="1">
            <w:col w:w="11420"/>
          </w:cols>
          <w:pgMar w:left="240" w:top="139"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pacing w:after="0" w:line="21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Board,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signing below, you agree that the Phantom Units and DERs granted hereunder are governed by the terms of the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Copies of the Plan and the Partnership Agreement are available upon request.</w:t>
      </w:r>
    </w:p>
    <w:p>
      <w:pPr>
        <w:sectPr>
          <w:pgSz w:w="11900" w:h="16838" w:orient="portrait"/>
          <w:cols w:equalWidth="0" w:num="1">
            <w:col w:w="11420"/>
          </w:cols>
          <w:pgMar w:left="240" w:top="139"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 Please execute and return a copy of this grant letter to me and retain a copy for your records</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PLAINS ALL AMERICAN PIPELINE, L.P.</w:t>
      </w:r>
    </w:p>
    <w:p>
      <w:pPr>
        <w:spacing w:after="0" w:line="22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PAA GP LLC, its general partner</w:t>
      </w:r>
    </w:p>
    <w:p>
      <w:pPr>
        <w:spacing w:after="0" w:line="28"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PLAINS AAP, L.P., its sole member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By:PLAINS ALL AMERICAN GP LLC,</w:t>
      </w:r>
    </w:p>
    <w:p>
      <w:pPr>
        <w:spacing w:after="0" w:line="4"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By:______________________________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Name:Greg L. Armstrong</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Title:Chief Executive Officer</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Beneficiary Designation</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Times New Roman" w:cs="Times New Roman" w:eastAsia="Times New Roman" w:hAnsi="Times New Roman"/>
                <w:sz w:val="22"/>
                <w:szCs w:val="22"/>
                <w:color w:val="auto"/>
              </w:rPr>
              <w:t>Primary Beneficiary Name</w:t>
            </w:r>
          </w:p>
        </w:tc>
        <w:tc>
          <w:tcPr>
            <w:tcW w:w="22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Times New Roman" w:cs="Times New Roman" w:eastAsia="Times New Roman" w:hAnsi="Times New Roman"/>
                <w:sz w:val="22"/>
                <w:szCs w:val="22"/>
                <w:color w:val="auto"/>
              </w:rPr>
              <w:t>Relationship</w:t>
            </w:r>
          </w:p>
        </w:tc>
        <w:tc>
          <w:tcPr>
            <w:tcW w:w="364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Times New Roman" w:cs="Times New Roman" w:eastAsia="Times New Roman" w:hAnsi="Times New Roman"/>
                <w:sz w:val="22"/>
                <w:szCs w:val="22"/>
                <w:color w:val="auto"/>
              </w:rPr>
              <w:t>Percent (Must total 100%)</w:t>
            </w:r>
          </w:p>
        </w:tc>
      </w:tr>
      <w:tr>
        <w:trPr>
          <w:trHeight w:val="32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Times New Roman" w:cs="Times New Roman" w:eastAsia="Times New Roman" w:hAnsi="Times New Roman"/>
                <w:sz w:val="22"/>
                <w:szCs w:val="22"/>
                <w:color w:val="auto"/>
              </w:rPr>
              <w:t>Secondary Beneficiary Name</w:t>
            </w:r>
          </w:p>
        </w:tc>
        <w:tc>
          <w:tcPr>
            <w:tcW w:w="22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Times New Roman" w:cs="Times New Roman" w:eastAsia="Times New Roman" w:hAnsi="Times New Roman"/>
                <w:sz w:val="22"/>
                <w:szCs w:val="22"/>
                <w:color w:val="auto"/>
              </w:rPr>
              <w:t>Relationship</w:t>
            </w:r>
          </w:p>
        </w:tc>
        <w:tc>
          <w:tcPr>
            <w:tcW w:w="364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Times New Roman" w:cs="Times New Roman" w:eastAsia="Times New Roman" w:hAnsi="Times New Roman"/>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bl>
    <w:p>
      <w:pPr>
        <w:spacing w:after="0" w:line="243" w:lineRule="exact"/>
        <w:rPr>
          <w:sz w:val="20"/>
          <w:szCs w:val="20"/>
          <w:color w:val="auto"/>
        </w:rPr>
      </w:pPr>
    </w:p>
    <w:p>
      <w:pPr>
        <w:ind w:left="260" w:hanging="252"/>
        <w:spacing w:after="0"/>
        <w:tabs>
          <w:tab w:leader="none" w:pos="260" w:val="left"/>
        </w:tabs>
        <w:numPr>
          <w:ilvl w:val="0"/>
          <w:numId w:val="7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Check this box only if designation does not apply to prior grants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Willie Chiang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Units: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-13970</wp:posOffset>
            </wp:positionV>
            <wp:extent cx="8578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_______________________</w:t>
      </w:r>
    </w:p>
    <w:p>
      <w:pPr>
        <w:sectPr>
          <w:pgSz w:w="11900" w:h="16838" w:orient="portrait"/>
          <w:cols w:equalWidth="0" w:num="1">
            <w:col w:w="11440"/>
          </w:cols>
          <w:pgMar w:left="240" w:top="139" w:right="21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7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Employment Agreement (“Agreement”), effective as of the date specified in Section 1 below, is by and between Plains All American GP LLC (the “Company”) and John vonBerg (“JvB” or the “Employee”). The Company and the Employee are at times referred to collectively as “the Parties.” For purposes of this Agreement, the term “Company Group” means the Company and all of the entities over which the Company has or exercises direct or indirect control, including Plains All American Pipeline, L.P. and its subsidiaries.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JvB is currently an employee of the Company and has served as an officer of the Company since 2003 and also serves as an officer of certain members of the Company Group;</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certain members of the Company Group have awarded to JvB certain grants of contingent equity rights under the Company’s Long-Term Incentive Plans, including that certain grant of 35,000 phantom units to JvB by letter dated July 5, 2017 (the “LTIP Grant”);</w:t>
      </w:r>
    </w:p>
    <w:p>
      <w:pPr>
        <w:spacing w:after="0" w:line="21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JvB and the Company are parties to that certain Confidential Information and Non-Solicitation Agreement dated January 15, 2002 (the “Confidentiality Agreement”);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JvB intends to retire as an officer of the Company and to resign from all offices that he currently holds;</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WHEREAS, the CEO of the Company has approved the terms and timing of JvB’s retirement and resignation as an officer;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3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and JvB desire to enter into this Agreement to set forth their mutual agreement and understanding related to the continued employment of JvB and certain related matters as set forth herein.</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NOW, THEREFORE, in consideration of the covenants and conditions herein contained, the Parties agree as follows:</w:t>
      </w:r>
    </w:p>
    <w:p>
      <w:pPr>
        <w:spacing w:after="0" w:line="260" w:lineRule="exact"/>
        <w:rPr>
          <w:sz w:val="20"/>
          <w:szCs w:val="20"/>
          <w:color w:val="auto"/>
        </w:rPr>
      </w:pPr>
    </w:p>
    <w:p>
      <w:pPr>
        <w:ind w:left="920" w:hanging="912"/>
        <w:spacing w:after="0"/>
        <w:tabs>
          <w:tab w:leader="none" w:pos="9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and Term</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left="1380" w:hanging="400"/>
        <w:spacing w:after="0" w:line="248" w:lineRule="auto"/>
        <w:tabs>
          <w:tab w:leader="none" w:pos="138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October 15, 2018 (the “Effective Date”), JvB resigns his position as Executive Vice President of the Company (and from all officer positions of all other members of the Company Group), but will continue his employment with the Company as Strategic Advisor – Merchant Strategies and Asset Optimization, a non-executive employee position, until the Termination Date (defined below) with dual reporting to the President and Chief Commercial Officer (the “CCO”) as well as the Senior Vice President – Commercial Activities (“SVP”). In his capacity as Strategic Advisor, JvB shall provide his views, suggestions, advice and assistance as the CCO and SVP may reasonably request. JvB may elect to “telecommute” in</w:t>
      </w:r>
    </w:p>
    <w:p>
      <w:pPr>
        <w:sectPr>
          <w:pgSz w:w="11900" w:h="16838" w:orient="portrait"/>
          <w:cols w:equalWidth="0" w:num="1">
            <w:col w:w="11420"/>
          </w:cols>
          <w:pgMar w:left="240" w:top="117" w:right="239" w:bottom="1440" w:gutter="0" w:footer="0" w:header="0"/>
        </w:sectPr>
      </w:pPr>
    </w:p>
    <w:bookmarkStart w:id="85" w:name="page86"/>
    <w:bookmarkEnd w:id="85"/>
    <w:p>
      <w:pPr>
        <w:ind w:left="1380" w:right="20"/>
        <w:spacing w:after="0" w:line="271" w:lineRule="auto"/>
        <w:rPr>
          <w:sz w:val="20"/>
          <w:szCs w:val="20"/>
          <w:color w:val="auto"/>
        </w:rPr>
      </w:pPr>
      <w:r>
        <w:rPr>
          <w:rFonts w:ascii="Times New Roman" w:cs="Times New Roman" w:eastAsia="Times New Roman" w:hAnsi="Times New Roman"/>
          <w:sz w:val="22"/>
          <w:szCs w:val="22"/>
          <w:color w:val="auto"/>
        </w:rPr>
        <w:t>providing any such services, but shall remain available for in-person meetings as reasonably requested by the CCO or the SVP.</w:t>
      </w:r>
    </w:p>
    <w:p>
      <w:pPr>
        <w:spacing w:after="0" w:line="198" w:lineRule="exact"/>
        <w:rPr>
          <w:sz w:val="20"/>
          <w:szCs w:val="20"/>
          <w:color w:val="auto"/>
        </w:rPr>
      </w:pPr>
    </w:p>
    <w:p>
      <w:pPr>
        <w:jc w:val="both"/>
        <w:ind w:left="1380" w:hanging="400"/>
        <w:spacing w:after="0" w:line="247" w:lineRule="auto"/>
        <w:tabs>
          <w:tab w:leader="none" w:pos="1380"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employment with the Company shall commence on the Effective Date and terminate on September 30, 2020; provided; however, that (i) the Employee may terminate his employment with the Company as of any date prior to September 30, 2020 by giving written notice to the Company at least 60 days prior to the effective date of such termination, (ii) the Company may terminate the Employee’s employment with the Company as of any date prior to September 30, 2020 by giving written notice to the Employee at least 60 days prior to the effective date of such termination and (iii) Employee’s employment relationship with the Company shall automatically terminate in the event of his death. The date as of which the employment relationship terminates shall constitute the “Termination Date” for purposes hereof.</w:t>
      </w:r>
    </w:p>
    <w:p>
      <w:pPr>
        <w:spacing w:after="0" w:line="22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left="1400" w:hanging="447"/>
        <w:spacing w:after="0" w:line="248" w:lineRule="auto"/>
        <w:tabs>
          <w:tab w:leader="none" w:pos="1382"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JvB shall be paid a base salary at the rate of $200,000 per annum, payable semi-monthly in arrears, while employed by the Company under the terms of this Agreement and he will be eligible to participate in the Company’s annual discretionary bonus program. JvB’s annual bonus target will be equal to 50% of his base salary; provided, however, that with respect to the calendar year ending December 31, 2018, JvB’s annual bonus shall be no less than $100,000. In addition, while employed by the Company hereunder, JvB shall remain eligible to participate in all employee benefit plans generally available to employees of the Company. JvB will also continue to have access to a Company phone and computer during the term of this Agreement.</w:t>
      </w:r>
    </w:p>
    <w:p>
      <w:pPr>
        <w:spacing w:after="0" w:line="222" w:lineRule="exact"/>
        <w:rPr>
          <w:rFonts w:ascii="Times New Roman" w:cs="Times New Roman" w:eastAsia="Times New Roman" w:hAnsi="Times New Roman"/>
          <w:sz w:val="22"/>
          <w:szCs w:val="22"/>
          <w:color w:val="auto"/>
        </w:rPr>
      </w:pPr>
    </w:p>
    <w:p>
      <w:pPr>
        <w:ind w:left="1380" w:hanging="440"/>
        <w:spacing w:after="0" w:line="271" w:lineRule="auto"/>
        <w:tabs>
          <w:tab w:leader="none" w:pos="138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JvB’s previously deferred 2017 annual bonus amount of $150,000 will be paid within twenty (20) days following the execution of this Agreement by JvB.</w:t>
      </w:r>
    </w:p>
    <w:p>
      <w:pPr>
        <w:spacing w:after="0" w:line="198" w:lineRule="exact"/>
        <w:rPr>
          <w:rFonts w:ascii="Times New Roman" w:cs="Times New Roman" w:eastAsia="Times New Roman" w:hAnsi="Times New Roman"/>
          <w:sz w:val="22"/>
          <w:szCs w:val="22"/>
          <w:color w:val="auto"/>
        </w:rPr>
      </w:pPr>
    </w:p>
    <w:p>
      <w:pPr>
        <w:jc w:val="both"/>
        <w:ind w:left="920" w:hanging="912"/>
        <w:spacing w:after="0" w:line="252" w:lineRule="auto"/>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Grants</w:t>
      </w:r>
      <w:r>
        <w:rPr>
          <w:rFonts w:ascii="Times New Roman" w:cs="Times New Roman" w:eastAsia="Times New Roman" w:hAnsi="Times New Roman"/>
          <w:sz w:val="22"/>
          <w:szCs w:val="22"/>
          <w:color w:val="auto"/>
        </w:rPr>
        <w:t>. The parties agree that the LTIP Grant is the only equity grant outstanding as of the Effective Date. Employee’s retirement on the Effective Date as an officer of the Company on terms and timing that have been approved by the CEO constitutes a Change in Status as defined in the LTIP Grant. As such, the phantom units subject to the LTIP Grant shall vest according to their terms (i.e., as of the November 2018 Distribution Date).</w:t>
      </w:r>
    </w:p>
    <w:p>
      <w:pPr>
        <w:spacing w:after="0" w:line="220" w:lineRule="exact"/>
        <w:rPr>
          <w:rFonts w:ascii="Times New Roman" w:cs="Times New Roman" w:eastAsia="Times New Roman" w:hAnsi="Times New Roman"/>
          <w:sz w:val="22"/>
          <w:szCs w:val="22"/>
          <w:color w:val="auto"/>
        </w:rPr>
      </w:pPr>
    </w:p>
    <w:p>
      <w:pPr>
        <w:jc w:val="both"/>
        <w:ind w:left="920" w:hanging="912"/>
        <w:spacing w:after="0" w:line="252" w:lineRule="auto"/>
        <w:tabs>
          <w:tab w:leader="none" w:pos="9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Indemnity</w:t>
      </w:r>
      <w:r>
        <w:rPr>
          <w:rFonts w:ascii="Times New Roman" w:cs="Times New Roman" w:eastAsia="Times New Roman" w:hAnsi="Times New Roman"/>
          <w:sz w:val="22"/>
          <w:szCs w:val="22"/>
          <w:color w:val="auto"/>
        </w:rPr>
        <w:t>. Notwithstanding anything herein or in the Release to the contrary, JvB shall remain a full beneficiary with respect to any obligation of any member of the Company Group (as such obligation exists as of the Effective Date with respect to active officers and employees of such member) to indemnify, keep well and hold harmless or similarly protect JvB against third-party claims.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9" w:right="239" w:bottom="1440" w:gutter="0" w:footer="0" w:header="0"/>
        </w:sectPr>
      </w:pPr>
    </w:p>
    <w:bookmarkStart w:id="86" w:name="page87"/>
    <w:bookmarkEnd w:id="86"/>
    <w:p>
      <w:pPr>
        <w:ind w:left="920" w:hanging="912"/>
        <w:spacing w:after="0"/>
        <w:tabs>
          <w:tab w:leader="none" w:pos="9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left="1380" w:hanging="481"/>
        <w:spacing w:after="0" w:line="244" w:lineRule="auto"/>
        <w:tabs>
          <w:tab w:leader="none" w:pos="138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Company’s covenants, obligations and undertakings hereunder, subject to Section 5(c), the Employee agrees to release, acquit and discharge and does hereby release, acquit and discharge each member of the Company Group, their respective parent, subsidiary and affiliate entities, and the respective employees, officers, directors, trustees, shareholders, agents and representatives of each of the foregoing, past and present (such entities and individuals being collectively, including all members of the Company Group, the “Company Group Parties”), collectively and individually, from any and all claims, demands, and causes of action or similar rights or liabilities against any of the Company Group Parties, of any kind or character, whether now known or not known, he may have against any such Company Group Party, in their corporate, individual and representative capacities, including, but not limited to, any claim for benefits, bonuses, compensation, costs, damages, expenses, remuneration, salary, or wages through the Effective Date; and further including but not limited to all claims or causes of action arising from his employment, or changes in the nature of his employment relationship (including, without limitation, such changes provided for in this Agreement), or any alleged discriminatory employment practices. This release includes any and all claims for violation or breach of (i) the common law (tort, contract or other) of any jurisdiction including the common law of the State of Texas; (ii) the Age Discrimination in Employment Act, 29 U.S.C. Section 621 et seq.; (iii) any other federal, state and local statute, ordinance, and regulation governing employment including but not limited to those prohibiting discrimination or retaliation in employment upon the basis of age, race, sex, national original, religion, disability, or any other protected characteristic; and (iv) any claims brought by any person or agency or class action under which the Employee may have a right or benefit. The Employee’s release of claims under this Section 5(b) does not apply to any rights or claims the Employee may have that arise after the Effective Date (including, without limitation, those that arise pursuant to the obligations of the Company under this Agreement) or that arise with respect to benefits under the employee benefit plans maintained by the Company Group. Notwithstanding the release of liability included in this Section 5(a), nothing in this Section 5(a) prevents the Employee from filing any non-legally waivable claim (including a challenge to the validity of this Section 5(a)) with the Equal Employment Opportunity Commission (“EEOC”) or comparable state or local agency or participating in any investigation or proceeding conducted by the EEOC or comparable state or local agency; however, the Employee understands and agrees that the Employee is waiving any and all rights to recover any monetary or personal relief or recovery as a result of such EEOC, or comparable state or local agency, proceeding or subsequent legal actions.</w:t>
      </w:r>
    </w:p>
    <w:p>
      <w:pPr>
        <w:spacing w:after="0" w:line="199" w:lineRule="exact"/>
        <w:rPr>
          <w:rFonts w:ascii="Times New Roman" w:cs="Times New Roman" w:eastAsia="Times New Roman" w:hAnsi="Times New Roman"/>
          <w:sz w:val="22"/>
          <w:szCs w:val="22"/>
          <w:color w:val="auto"/>
        </w:rPr>
      </w:pPr>
    </w:p>
    <w:p>
      <w:pPr>
        <w:ind w:left="1380" w:right="20" w:hanging="481"/>
        <w:spacing w:after="0" w:line="271" w:lineRule="auto"/>
        <w:tabs>
          <w:tab w:leader="none" w:pos="138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JvB acknowledges that he has been and hereby is advised in writing that he may, at his option, discuss this Agreement with an attorney of his choice and that he has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625" w:right="239" w:bottom="1440" w:gutter="0" w:footer="0" w:header="0"/>
        </w:sectPr>
      </w:pPr>
    </w:p>
    <w:bookmarkStart w:id="87" w:name="page88"/>
    <w:bookmarkEnd w:id="87"/>
    <w:p>
      <w:pPr>
        <w:jc w:val="both"/>
        <w:ind w:left="1380"/>
        <w:spacing w:after="0" w:line="252" w:lineRule="auto"/>
        <w:rPr>
          <w:sz w:val="20"/>
          <w:szCs w:val="20"/>
          <w:color w:val="auto"/>
        </w:rPr>
      </w:pPr>
      <w:r>
        <w:rPr>
          <w:rFonts w:ascii="Times New Roman" w:cs="Times New Roman" w:eastAsia="Times New Roman" w:hAnsi="Times New Roman"/>
          <w:sz w:val="22"/>
          <w:szCs w:val="22"/>
          <w:color w:val="auto"/>
        </w:rPr>
        <w:t>had adequate opportunity to do so. JvB further acknowledges that he has been given 21 days commencing on October 15, 2018, within which to consider this Agreement. If JvB chooses to sign this Agreement at any time prior to the end of such 21-day period, it is agreed that JvB signs willingly and voluntarily, and expressly waives his right to wait the entire 21-day period as provided in the law.</w:t>
      </w:r>
    </w:p>
    <w:p>
      <w:pPr>
        <w:spacing w:after="0" w:line="180" w:lineRule="exact"/>
        <w:rPr>
          <w:sz w:val="20"/>
          <w:szCs w:val="20"/>
          <w:color w:val="auto"/>
        </w:rPr>
      </w:pPr>
    </w:p>
    <w:p>
      <w:pPr>
        <w:jc w:val="both"/>
        <w:ind w:left="1380" w:hanging="481"/>
        <w:spacing w:after="0" w:line="249" w:lineRule="auto"/>
        <w:tabs>
          <w:tab w:leader="none" w:pos="138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JvB may revoke this Agreement within the seven-day period beginning on the date he signs this Agreement (such seven-day period being referred to herein as the “Release Revocation Period”). To be effective, such revocation must be in writing signed by the Employee and must be delivered to the Company in accordance with Section 8 hereof before 11:59 p.m., Houston, Texas time, on the last day of the Release Revocation Period. If an effective revocation is delivered in the foregoing manner and timeframe, then this Agreement shall be of no force or effect and shall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w:t>
      </w:r>
    </w:p>
    <w:p>
      <w:pPr>
        <w:spacing w:after="0" w:line="221" w:lineRule="exact"/>
        <w:rPr>
          <w:rFonts w:ascii="Times New Roman" w:cs="Times New Roman" w:eastAsia="Times New Roman" w:hAnsi="Times New Roman"/>
          <w:sz w:val="22"/>
          <w:szCs w:val="22"/>
          <w:color w:val="auto"/>
        </w:rPr>
      </w:pPr>
    </w:p>
    <w:p>
      <w:pPr>
        <w:jc w:val="both"/>
        <w:ind w:left="1380" w:hanging="481"/>
        <w:spacing w:after="0" w:line="246" w:lineRule="auto"/>
        <w:tabs>
          <w:tab w:leader="none" w:pos="138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JvB’s covenants, obligations and undertakings hereunder, provided that JvB doesn’t revoke this Agreement pursuant to Section 5(c) immediately above, the Company, on behalf of itself and the other members of the Company Group, agrees to release, acquit and discharge and does hereby release, acquit and discharge JvB from any and all claims, demands, and causes of action or similar rights or liabilities against JvB, of any kind or character, whether now known or not known, they may have against JvB; provided, however, that neither the Company nor any Member of the Company Group shall be deemed to have waived any claims, demands, or causes of action against JvB for fraud, theft, conversion or breach of the Confidentiality Agreement. The Company’s release of claims under this Section 5(d) does not apply to any rights or claims the Company or any member of the Company Group may have that arise after the Effective Date (including, without limitation, those that arise pursuant to the obligations of JvB under this Agreement).</w:t>
      </w:r>
    </w:p>
    <w:p>
      <w:pPr>
        <w:spacing w:after="0" w:line="229" w:lineRule="exact"/>
        <w:rPr>
          <w:rFonts w:ascii="Times New Roman" w:cs="Times New Roman" w:eastAsia="Times New Roman" w:hAnsi="Times New Roman"/>
          <w:sz w:val="22"/>
          <w:szCs w:val="22"/>
          <w:color w:val="auto"/>
        </w:rPr>
      </w:pPr>
    </w:p>
    <w:p>
      <w:pPr>
        <w:jc w:val="both"/>
        <w:ind w:left="920" w:hanging="912"/>
        <w:spacing w:after="0" w:line="257" w:lineRule="auto"/>
        <w:tabs>
          <w:tab w:leader="none" w:pos="9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Non-Competition and Non-Solicitation Covenants</w:t>
      </w:r>
      <w:r>
        <w:rPr>
          <w:rFonts w:ascii="Times New Roman" w:cs="Times New Roman" w:eastAsia="Times New Roman" w:hAnsi="Times New Roman"/>
          <w:sz w:val="22"/>
          <w:szCs w:val="22"/>
          <w:color w:val="auto"/>
        </w:rPr>
        <w:t>. JvB acknowledges and agrees that the Confidentiality Agreement shall remain in full force and effect during the term of this Agreement and for one year following the Termination Date.</w:t>
      </w:r>
    </w:p>
    <w:p>
      <w:pPr>
        <w:spacing w:after="0" w:line="213" w:lineRule="exact"/>
        <w:rPr>
          <w:rFonts w:ascii="Times New Roman" w:cs="Times New Roman" w:eastAsia="Times New Roman" w:hAnsi="Times New Roman"/>
          <w:sz w:val="22"/>
          <w:szCs w:val="22"/>
          <w:color w:val="auto"/>
        </w:rPr>
      </w:pPr>
    </w:p>
    <w:p>
      <w:pPr>
        <w:jc w:val="both"/>
        <w:ind w:left="920" w:hanging="912"/>
        <w:spacing w:after="0" w:line="249" w:lineRule="auto"/>
        <w:tabs>
          <w:tab w:leader="none" w:pos="9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Governing Law; Jurisdiction</w:t>
      </w:r>
      <w:r>
        <w:rPr>
          <w:rFonts w:ascii="Times New Roman" w:cs="Times New Roman" w:eastAsia="Times New Roman" w:hAnsi="Times New Roman"/>
          <w:sz w:val="22"/>
          <w:szCs w:val="22"/>
          <w:color w:val="auto"/>
        </w:rPr>
        <w:t>. This Agreement supersedes any and all oral agreements and can only be modified by the Parties in a writing signed by both Parties expressly stating a specific intent to modify this Agreement. This Agreement shall be governed by and construed in accordance with the laws of the State of Texas without giving effect to any choice of law or conflict of law provision or rule (whether of the State of Texas or any other jurisdiction) that would cause the application of the laws of any jurisdiction other than the State of Texas. The Parties hereby submit to the exclusive jurisdiction of the state courts of Texas, located in Harris County.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9" w:right="239" w:bottom="1440" w:gutter="0" w:footer="0" w:header="0"/>
        </w:sectPr>
      </w:pPr>
    </w:p>
    <w:bookmarkStart w:id="88" w:name="page89"/>
    <w:bookmarkEnd w:id="88"/>
    <w:p>
      <w:pPr>
        <w:jc w:val="both"/>
        <w:ind w:left="920" w:hanging="912"/>
        <w:spacing w:after="0" w:line="257" w:lineRule="auto"/>
        <w:tabs>
          <w:tab w:leader="none" w:pos="9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For purposes of this Agreement, notices and all other communications shall be in writing and shall have been duly given when personally delivered or when mailed by United States certified or registered mail, or transmitted electronically, addressed as follows: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Plains All American GP LLC</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333 Clay Street, Suite 1600</w:t>
      </w:r>
    </w:p>
    <w:p>
      <w:pPr>
        <w:ind w:left="1960"/>
        <w:spacing w:after="0"/>
        <w:rPr>
          <w:sz w:val="20"/>
          <w:szCs w:val="20"/>
          <w:color w:val="auto"/>
        </w:rPr>
      </w:pPr>
      <w:r>
        <w:rPr>
          <w:rFonts w:ascii="Times New Roman" w:cs="Times New Roman" w:eastAsia="Times New Roman" w:hAnsi="Times New Roman"/>
          <w:sz w:val="20"/>
          <w:szCs w:val="20"/>
          <w:color w:val="auto"/>
        </w:rPr>
        <w:t>Houston, Texas 77002</w:t>
      </w:r>
    </w:p>
    <w:p>
      <w:pPr>
        <w:ind w:left="1960"/>
        <w:spacing w:after="0"/>
        <w:rPr>
          <w:sz w:val="20"/>
          <w:szCs w:val="20"/>
          <w:color w:val="auto"/>
        </w:rPr>
      </w:pPr>
      <w:r>
        <w:rPr>
          <w:rFonts w:ascii="Times New Roman" w:cs="Times New Roman" w:eastAsia="Times New Roman" w:hAnsi="Times New Roman"/>
          <w:sz w:val="20"/>
          <w:szCs w:val="20"/>
          <w:color w:val="auto"/>
        </w:rPr>
        <w:t>Attention: Jim Tillis, VP - Human Resources</w:t>
      </w:r>
    </w:p>
    <w:p>
      <w:pPr>
        <w:ind w:left="1960"/>
        <w:spacing w:after="0"/>
        <w:rPr>
          <w:sz w:val="20"/>
          <w:szCs w:val="20"/>
          <w:color w:val="auto"/>
        </w:rPr>
      </w:pPr>
      <w:r>
        <w:rPr>
          <w:rFonts w:ascii="Times New Roman" w:cs="Times New Roman" w:eastAsia="Times New Roman" w:hAnsi="Times New Roman"/>
          <w:sz w:val="20"/>
          <w:szCs w:val="20"/>
          <w:color w:val="auto"/>
        </w:rPr>
        <w:t>Telephone:</w:t>
      </w:r>
    </w:p>
    <w:p>
      <w:pPr>
        <w:ind w:left="1960"/>
        <w:spacing w:after="0"/>
        <w:rPr>
          <w:sz w:val="20"/>
          <w:szCs w:val="20"/>
          <w:color w:val="auto"/>
        </w:rPr>
      </w:pPr>
      <w:r>
        <w:rPr>
          <w:rFonts w:ascii="Times New Roman" w:cs="Times New Roman" w:eastAsia="Times New Roman" w:hAnsi="Times New Roman"/>
          <w:sz w:val="20"/>
          <w:szCs w:val="20"/>
          <w:color w:val="auto"/>
        </w:rPr>
        <w:t>Facsimile:</w:t>
      </w:r>
    </w:p>
    <w:p>
      <w:pPr>
        <w:ind w:left="1960"/>
        <w:spacing w:after="0"/>
        <w:rPr>
          <w:sz w:val="20"/>
          <w:szCs w:val="20"/>
          <w:color w:val="auto"/>
        </w:rPr>
      </w:pPr>
      <w:r>
        <w:rPr>
          <w:rFonts w:ascii="Times New Roman" w:cs="Times New Roman" w:eastAsia="Times New Roman" w:hAnsi="Times New Roman"/>
          <w:sz w:val="20"/>
          <w:szCs w:val="20"/>
          <w:color w:val="auto"/>
        </w:rPr>
        <w:t>E-mail:</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Plains All American GP LLC</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333 Clay Street, Suite 1600</w:t>
      </w:r>
    </w:p>
    <w:p>
      <w:pPr>
        <w:ind w:left="1960"/>
        <w:spacing w:after="0"/>
        <w:rPr>
          <w:sz w:val="20"/>
          <w:szCs w:val="20"/>
          <w:color w:val="auto"/>
        </w:rPr>
      </w:pPr>
      <w:r>
        <w:rPr>
          <w:rFonts w:ascii="Times New Roman" w:cs="Times New Roman" w:eastAsia="Times New Roman" w:hAnsi="Times New Roman"/>
          <w:sz w:val="20"/>
          <w:szCs w:val="20"/>
          <w:color w:val="auto"/>
        </w:rPr>
        <w:t>Houston, Texas 77002</w:t>
      </w:r>
    </w:p>
    <w:p>
      <w:pPr>
        <w:ind w:left="1960"/>
        <w:spacing w:after="0"/>
        <w:rPr>
          <w:sz w:val="20"/>
          <w:szCs w:val="20"/>
          <w:color w:val="auto"/>
        </w:rPr>
      </w:pPr>
      <w:r>
        <w:rPr>
          <w:rFonts w:ascii="Times New Roman" w:cs="Times New Roman" w:eastAsia="Times New Roman" w:hAnsi="Times New Roman"/>
          <w:sz w:val="20"/>
          <w:szCs w:val="20"/>
          <w:color w:val="auto"/>
        </w:rPr>
        <w:t>Attention: Richard K. McGee, General Counsel</w:t>
      </w:r>
    </w:p>
    <w:p>
      <w:pPr>
        <w:ind w:left="1960"/>
        <w:spacing w:after="0"/>
        <w:rPr>
          <w:sz w:val="20"/>
          <w:szCs w:val="20"/>
          <w:color w:val="auto"/>
        </w:rPr>
      </w:pPr>
      <w:r>
        <w:rPr>
          <w:rFonts w:ascii="Times New Roman" w:cs="Times New Roman" w:eastAsia="Times New Roman" w:hAnsi="Times New Roman"/>
          <w:sz w:val="20"/>
          <w:szCs w:val="20"/>
          <w:color w:val="auto"/>
        </w:rPr>
        <w:t>Telephone:</w:t>
      </w:r>
    </w:p>
    <w:p>
      <w:pPr>
        <w:ind w:left="1960"/>
        <w:spacing w:after="0"/>
        <w:rPr>
          <w:sz w:val="20"/>
          <w:szCs w:val="20"/>
          <w:color w:val="auto"/>
        </w:rPr>
      </w:pPr>
      <w:r>
        <w:rPr>
          <w:rFonts w:ascii="Times New Roman" w:cs="Times New Roman" w:eastAsia="Times New Roman" w:hAnsi="Times New Roman"/>
          <w:sz w:val="20"/>
          <w:szCs w:val="20"/>
          <w:color w:val="auto"/>
        </w:rPr>
        <w:t>E-mail:</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Employee:</w:t>
      </w:r>
    </w:p>
    <w:p>
      <w:pPr>
        <w:spacing w:after="0" w:line="2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John vonBerg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20" w:hanging="912"/>
        <w:spacing w:after="0" w:line="271" w:lineRule="auto"/>
        <w:tabs>
          <w:tab w:leader="none" w:pos="9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begin on the following page.]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8"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2"/>
          <w:szCs w:val="22"/>
          <w:color w:val="auto"/>
        </w:rPr>
        <w:t>John von Berg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PLAINS ALL AMERICAN GP LLC</w:t>
      </w:r>
    </w:p>
    <w:p>
      <w:pPr>
        <w:spacing w:after="0" w:line="200" w:lineRule="exact"/>
        <w:rPr>
          <w:sz w:val="20"/>
          <w:szCs w:val="20"/>
          <w:color w:val="auto"/>
        </w:rPr>
      </w:pPr>
    </w:p>
    <w:p>
      <w:pPr>
        <w:spacing w:after="0" w:line="317" w:lineRule="exact"/>
        <w:rPr>
          <w:sz w:val="20"/>
          <w:szCs w:val="20"/>
          <w:color w:val="auto"/>
        </w:rPr>
      </w:pPr>
    </w:p>
    <w:p>
      <w:pPr>
        <w:ind w:left="3240"/>
        <w:spacing w:after="0"/>
        <w:tabs>
          <w:tab w:leader="none" w:pos="3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w:t>
      </w:r>
    </w:p>
    <w:p>
      <w:pPr>
        <w:spacing w:after="0" w:line="28"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22"/>
          <w:szCs w:val="22"/>
          <w:color w:val="auto"/>
        </w:rPr>
        <w:t>Harry N. Pefanis</w:t>
      </w:r>
    </w:p>
    <w:p>
      <w:pPr>
        <w:spacing w:after="0" w:line="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President and Chief Commercial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559"/>
          </w:cols>
          <w:pgMar w:left="900" w:top="625" w:right="1440"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All American Pipeline, L.P. (the “registrant”);</w:t>
      </w:r>
    </w:p>
    <w:p>
      <w:pPr>
        <w:spacing w:after="0" w:line="225" w:lineRule="exact"/>
        <w:rPr>
          <w:rFonts w:ascii="Times New Roman" w:cs="Times New Roman" w:eastAsia="Times New Roman" w:hAnsi="Times New Roman"/>
          <w:sz w:val="18"/>
          <w:szCs w:val="18"/>
          <w:color w:val="auto"/>
        </w:rPr>
      </w:pPr>
    </w:p>
    <w:p>
      <w:pPr>
        <w:ind w:right="60" w:firstLine="656"/>
        <w:spacing w:after="0" w:line="282" w:lineRule="auto"/>
        <w:tabs>
          <w:tab w:leader="none" w:pos="87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87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40" w:firstLine="656"/>
        <w:spacing w:after="0" w:line="266" w:lineRule="auto"/>
        <w:tabs>
          <w:tab w:leader="none" w:pos="134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20" w:firstLine="656"/>
        <w:spacing w:after="0" w:line="266" w:lineRule="auto"/>
        <w:tabs>
          <w:tab w:leader="none" w:pos="135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360" w:firstLine="656"/>
        <w:spacing w:after="0" w:line="282" w:lineRule="auto"/>
        <w:tabs>
          <w:tab w:leader="none" w:pos="134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320" w:firstLine="656"/>
        <w:spacing w:after="0" w:line="266" w:lineRule="auto"/>
        <w:tabs>
          <w:tab w:leader="none" w:pos="135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580" w:firstLine="656"/>
        <w:spacing w:after="0" w:line="282" w:lineRule="auto"/>
        <w:tabs>
          <w:tab w:leader="none" w:pos="134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60" w:firstLine="656"/>
        <w:spacing w:after="0" w:line="282" w:lineRule="auto"/>
        <w:tabs>
          <w:tab w:leader="none" w:pos="135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Willie Chiang</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All American Pipeline, L.P. (the “registrant”);</w:t>
      </w:r>
    </w:p>
    <w:p>
      <w:pPr>
        <w:spacing w:after="0" w:line="225" w:lineRule="exact"/>
        <w:rPr>
          <w:rFonts w:ascii="Times New Roman" w:cs="Times New Roman" w:eastAsia="Times New Roman" w:hAnsi="Times New Roman"/>
          <w:sz w:val="18"/>
          <w:szCs w:val="18"/>
          <w:color w:val="auto"/>
        </w:rPr>
      </w:pPr>
    </w:p>
    <w:p>
      <w:pPr>
        <w:ind w:right="60" w:firstLine="656"/>
        <w:spacing w:after="0" w:line="282" w:lineRule="auto"/>
        <w:tabs>
          <w:tab w:leader="none" w:pos="87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87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40" w:firstLine="656"/>
        <w:spacing w:after="0" w:line="266" w:lineRule="auto"/>
        <w:tabs>
          <w:tab w:leader="none" w:pos="134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20" w:firstLine="656"/>
        <w:spacing w:after="0" w:line="266" w:lineRule="auto"/>
        <w:tabs>
          <w:tab w:leader="none" w:pos="135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360" w:firstLine="656"/>
        <w:spacing w:after="0" w:line="282" w:lineRule="auto"/>
        <w:tabs>
          <w:tab w:leader="none" w:pos="134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320" w:firstLine="656"/>
        <w:spacing w:after="0" w:line="266" w:lineRule="auto"/>
        <w:tabs>
          <w:tab w:leader="none" w:pos="135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580" w:firstLine="656"/>
        <w:spacing w:after="0" w:line="282" w:lineRule="auto"/>
        <w:tabs>
          <w:tab w:leader="none" w:pos="134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60" w:firstLine="656"/>
        <w:spacing w:after="0" w:line="282" w:lineRule="auto"/>
        <w:tabs>
          <w:tab w:leader="none" w:pos="135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Chief Executive Officer of Plains All American Pipeline, L.P. (the “Company”), hereby certify that:</w:t>
      </w:r>
    </w:p>
    <w:p>
      <w:pPr>
        <w:spacing w:after="0" w:line="225" w:lineRule="exact"/>
        <w:rPr>
          <w:sz w:val="20"/>
          <w:szCs w:val="20"/>
          <w:color w:val="auto"/>
        </w:rPr>
      </w:pPr>
    </w:p>
    <w:p>
      <w:pPr>
        <w:jc w:val="both"/>
        <w:ind w:right="120" w:firstLine="656"/>
        <w:spacing w:after="0" w:line="266" w:lineRule="auto"/>
        <w:tabs>
          <w:tab w:leader="none" w:pos="135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September 30, 2018 and filed with the Securities and Exchange Commission on the date hereof (the “Report”) by the Company fully complies with the requirements of Section 13(a) or 15(d) of the Securities Exchange Act of 1934, as amended; and</w:t>
      </w:r>
    </w:p>
    <w:p>
      <w:pPr>
        <w:spacing w:after="0" w:line="176"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38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Willie Chiang</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 November 7, 2018</w:t>
      </w:r>
    </w:p>
    <w:p>
      <w:pPr>
        <w:sectPr>
          <w:pgSz w:w="11900" w:h="16838" w:orient="portrait"/>
          <w:cols w:equalWidth="0" w:num="1">
            <w:col w:w="11420"/>
          </w:cols>
          <w:pgMar w:left="240" w:top="576" w:right="2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Chief Financial Officer of Plains All American Pipeline, L.P. (the “Company”), hereby certify that:</w:t>
      </w:r>
    </w:p>
    <w:p>
      <w:pPr>
        <w:spacing w:after="0" w:line="225" w:lineRule="exact"/>
        <w:rPr>
          <w:sz w:val="20"/>
          <w:szCs w:val="20"/>
          <w:color w:val="auto"/>
        </w:rPr>
      </w:pPr>
    </w:p>
    <w:p>
      <w:pPr>
        <w:jc w:val="both"/>
        <w:ind w:right="120" w:firstLine="656"/>
        <w:spacing w:after="0" w:line="266" w:lineRule="auto"/>
        <w:tabs>
          <w:tab w:leader="none" w:pos="135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September 30, 2018 and filed with the Securities and Exchange Commission on the date hereof (the “Report”) by the Company fully complies with the requirements of Section 13(a) or 15(d) of the Securities Exchange Act of 1934, as amended; and</w:t>
      </w:r>
    </w:p>
    <w:p>
      <w:pPr>
        <w:spacing w:after="0" w:line="176"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38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 November 7, 2018</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o"/>
      <w:numFmt w:val="bullet"/>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1)"/>
      <w:numFmt w:val="decimal"/>
      <w:start w:val="1"/>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1)"/>
      <w:numFmt w:val="decimal"/>
      <w:start w:val="1"/>
    </w:lvl>
  </w:abstractNum>
  <w:abstractNum w:abstractNumId="7">
    <w:nsid w:val="579478FE"/>
    <w:multiLevelType w:val="hybridMultilevel"/>
    <w:lvl w:ilvl="0">
      <w:lvlJc w:val="left"/>
      <w:lvlText w:val="(%1)"/>
      <w:numFmt w:val="decimal"/>
      <w:start w:val="1"/>
    </w:lvl>
  </w:abstractNum>
  <w:abstractNum w:abstractNumId="8">
    <w:nsid w:val="749ABB43"/>
    <w:multiLevelType w:val="hybridMultilevel"/>
    <w:lvl w:ilvl="0">
      <w:lvlJc w:val="left"/>
      <w:lvlText w:val="(%1)"/>
      <w:numFmt w:val="decimal"/>
      <w:start w:val="1"/>
    </w:lvl>
  </w:abstractNum>
  <w:abstractNum w:abstractNumId="9">
    <w:nsid w:val="3DC240FB"/>
    <w:multiLevelType w:val="hybridMultilevel"/>
    <w:lvl w:ilvl="0">
      <w:lvlJc w:val="left"/>
      <w:lvlText w:val="(%1)"/>
      <w:numFmt w:val="decimal"/>
      <w:start w:val="1"/>
    </w:lvl>
  </w:abstractNum>
  <w:abstractNum w:abstractNumId="10">
    <w:nsid w:val="1BA026FA"/>
    <w:multiLevelType w:val="hybridMultilevel"/>
    <w:lvl w:ilvl="0">
      <w:lvlJc w:val="left"/>
      <w:lvlText w:val="(%1)"/>
      <w:numFmt w:val="decimal"/>
      <w:start w:val="1"/>
    </w:lvl>
  </w:abstractNum>
  <w:abstractNum w:abstractNumId="11">
    <w:nsid w:val="79A1DEAA"/>
    <w:multiLevelType w:val="hybridMultilevel"/>
    <w:lvl w:ilvl="0">
      <w:lvlJc w:val="left"/>
      <w:lvlText w:val="(%1)"/>
      <w:numFmt w:val="decimal"/>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1)"/>
      <w:numFmt w:val="decimal"/>
      <w:start w:val="1"/>
    </w:lvl>
  </w:abstractNum>
  <w:abstractNum w:abstractNumId="14">
    <w:nsid w:val="70C6A529"/>
    <w:multiLevelType w:val="hybridMultilevel"/>
    <w:lvl w:ilvl="0">
      <w:lvlJc w:val="left"/>
      <w:lvlText w:val="(%1)"/>
      <w:numFmt w:val="decimal"/>
      <w:start w:val="1"/>
    </w:lvl>
  </w:abstractNum>
  <w:abstractNum w:abstractNumId="15">
    <w:nsid w:val="520EEDD1"/>
    <w:multiLevelType w:val="hybridMultilevel"/>
    <w:lvl w:ilvl="0">
      <w:lvlJc w:val="left"/>
      <w:lvlText w:val="%1."/>
      <w:numFmt w:val="decimal"/>
      <w:start w:val="901"/>
    </w:lvl>
  </w:abstractNum>
  <w:abstractNum w:abstractNumId="16">
    <w:nsid w:val="374A3FE6"/>
    <w:multiLevelType w:val="hybridMultilevel"/>
    <w:lvl w:ilvl="0">
      <w:lvlJc w:val="left"/>
      <w:lvlText w:val="(%1)"/>
      <w:numFmt w:val="decimal"/>
      <w:start w:val="1"/>
    </w:lvl>
  </w:abstractNum>
  <w:abstractNum w:abstractNumId="17">
    <w:nsid w:val="4F4EF005"/>
    <w:multiLevelType w:val="hybridMultilevel"/>
    <w:lvl w:ilvl="0">
      <w:lvlJc w:val="left"/>
      <w:lvlText w:val="(%1)"/>
      <w:numFmt w:val="decimal"/>
      <w:start w:val="1"/>
    </w:lvl>
  </w:abstractNum>
  <w:abstractNum w:abstractNumId="18">
    <w:nsid w:val="23F9C13C"/>
    <w:multiLevelType w:val="hybridMultilevel"/>
    <w:lvl w:ilvl="0">
      <w:lvlJc w:val="left"/>
      <w:lvlText w:val="(%1)"/>
      <w:numFmt w:val="decimal"/>
      <w:start w:val="2"/>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1)"/>
      <w:numFmt w:val="decimal"/>
      <w:start w:val="1"/>
    </w:lvl>
  </w:abstractNum>
  <w:abstractNum w:abstractNumId="23">
    <w:nsid w:val="180115BE"/>
    <w:multiLevelType w:val="hybridMultilevel"/>
    <w:lvl w:ilvl="0">
      <w:lvlJc w:val="left"/>
      <w:lvlText w:val="(%1)"/>
      <w:numFmt w:val="decimal"/>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1)"/>
      <w:numFmt w:val="decimal"/>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1)"/>
      <w:numFmt w:val="decimal"/>
      <w:start w:val="1"/>
    </w:lvl>
  </w:abstractNum>
  <w:abstractNum w:abstractNumId="28">
    <w:nsid w:val="741226BB"/>
    <w:multiLevelType w:val="hybridMultilevel"/>
    <w:lvl w:ilvl="0">
      <w:lvlJc w:val="left"/>
      <w:lvlText w:val="(%1)"/>
      <w:numFmt w:val="decimal"/>
      <w:start w:val="9"/>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1)"/>
      <w:numFmt w:val="decimal"/>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1)"/>
      <w:numFmt w:val="decimal"/>
      <w:start w:val="4"/>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1)"/>
      <w:numFmt w:val="decimal"/>
      <w:start w:val="1"/>
    </w:lvl>
  </w:abstractNum>
  <w:abstractNum w:abstractNumId="39">
    <w:nsid w:val="25A70BF7"/>
    <w:multiLevelType w:val="hybridMultilevel"/>
    <w:lvl w:ilvl="0">
      <w:lvlJc w:val="left"/>
      <w:lvlText w:val="(%1)"/>
      <w:numFmt w:val="decimal"/>
      <w:start w:val="3"/>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1)"/>
      <w:numFmt w:val="decimal"/>
      <w:start w:val="1"/>
    </w:lvl>
  </w:abstractNum>
  <w:abstractNum w:abstractNumId="43">
    <w:nsid w:val="1381823A"/>
    <w:multiLevelType w:val="hybridMultilevel"/>
    <w:lvl w:ilvl="0">
      <w:lvlJc w:val="left"/>
      <w:lvlText w:val="(%1)"/>
      <w:numFmt w:val="decimal"/>
      <w:start w:val="1"/>
    </w:lvl>
  </w:abstractNum>
  <w:abstractNum w:abstractNumId="44">
    <w:nsid w:val="5DB70AE5"/>
    <w:multiLevelType w:val="hybridMultilevel"/>
    <w:lvl w:ilvl="0">
      <w:lvlJc w:val="left"/>
      <w:lvlText w:val="(%1)"/>
      <w:numFmt w:val="decimal"/>
      <w:start w:val="1"/>
    </w:lvl>
  </w:abstractNum>
  <w:abstractNum w:abstractNumId="45">
    <w:nsid w:val="100F8FCA"/>
    <w:multiLevelType w:val="hybridMultilevel"/>
    <w:lvl w:ilvl="0">
      <w:lvlJc w:val="left"/>
      <w:lvlText w:val="(%1)"/>
      <w:numFmt w:val="decimal"/>
      <w:start w:val="3"/>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1."/>
      <w:numFmt w:val="decimal"/>
      <w:start w:val="1"/>
    </w:lvl>
    <w:lvl w:ilvl="1">
      <w:lvlJc w:val="left"/>
      <w:lvlText w:val="(%2)"/>
      <w:numFmt w:val="lowerLetter"/>
      <w:start w:val="1"/>
    </w:lvl>
  </w:abstractNum>
  <w:abstractNum w:abstractNumId="55">
    <w:nsid w:val="661E3F1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6">
    <w:nsid w:val="5DC79EA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7">
    <w:nsid w:val="540A471C"/>
    <w:multiLevelType w:val="hybridMultilevel"/>
    <w:lvl w:ilvl="0">
      <w:lvlJc w:val="left"/>
      <w:lvlText w:val="%1"/>
      <w:numFmt w:val="decimal"/>
      <w:start w:val="1"/>
    </w:lvl>
    <w:lvl w:ilvl="1">
      <w:lvlJc w:val="left"/>
      <w:lvlText w:val="(%2)"/>
      <w:numFmt w:val="lowerLetter"/>
      <w:start w:val="3"/>
    </w:lvl>
  </w:abstractNum>
  <w:abstractNum w:abstractNumId="58">
    <w:nsid w:val="7BD3EE7B"/>
    <w:multiLevelType w:val="hybridMultilevel"/>
    <w:lvl w:ilvl="0">
      <w:lvlJc w:val="left"/>
      <w:lvlText w:val="%1."/>
      <w:numFmt w:val="decimal"/>
      <w:start w:val="4"/>
    </w:lvl>
    <w:lvl w:ilvl="1">
      <w:lvlJc w:val="left"/>
      <w:lvlText w:val="%2"/>
      <w:numFmt w:val="lowerLetter"/>
      <w:start w:val="1"/>
    </w:lvl>
  </w:abstractNum>
  <w:abstractNum w:abstractNumId="59">
    <w:nsid w:val="51D9C564"/>
    <w:multiLevelType w:val="hybridMultilevel"/>
    <w:lvl w:ilvl="0">
      <w:lvlJc w:val="left"/>
      <w:lvlText w:val="%1."/>
      <w:numFmt w:val="decimal"/>
      <w:start w:val="7"/>
    </w:lvl>
  </w:abstractNum>
  <w:abstractNum w:abstractNumId="60">
    <w:nsid w:val="613EFDC5"/>
    <w:multiLevelType w:val="hybridMultilevel"/>
    <w:lvl w:ilvl="0">
      <w:lvlJc w:val="left"/>
      <w:lvlText w:val="%1."/>
      <w:numFmt w:val="decimal"/>
      <w:start w:val="10"/>
    </w:lvl>
  </w:abstractNum>
  <w:abstractNum w:abstractNumId="61">
    <w:nsid w:val="BF72B14"/>
    <w:multiLevelType w:val="hybridMultilevel"/>
    <w:lvl w:ilvl="0">
      <w:lvlJc w:val="left"/>
      <w:lvlText w:val="%1."/>
      <w:numFmt w:val="decimal"/>
      <w:start w:val="13"/>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1)"/>
      <w:numFmt w:val="lowerLetter"/>
      <w:start w:val="2"/>
    </w:lvl>
  </w:abstractNum>
  <w:abstractNum w:abstractNumId="64">
    <w:nsid w:val="A0382C5"/>
    <w:multiLevelType w:val="hybridMultilevel"/>
    <w:lvl w:ilvl="0">
      <w:lvlJc w:val="left"/>
      <w:lvlText w:val="%1."/>
      <w:numFmt w:val="decimal"/>
      <w:start w:val="2"/>
    </w:lvl>
    <w:lvl w:ilvl="1">
      <w:lvlJc w:val="left"/>
      <w:lvlText w:val="%2."/>
      <w:numFmt w:val="lowerLetter"/>
      <w:start w:val="1"/>
    </w:lvl>
  </w:abstractNum>
  <w:abstractNum w:abstractNumId="65">
    <w:nsid w:val="8F2B15E"/>
    <w:multiLevelType w:val="hybridMultilevel"/>
    <w:lvl w:ilvl="0">
      <w:lvlJc w:val="left"/>
      <w:lvlText w:val="%1."/>
      <w:numFmt w:val="decimal"/>
      <w:start w:val="3"/>
    </w:lvl>
    <w:lvl w:ilvl="1">
      <w:lvlJc w:val="left"/>
      <w:lvlText w:val="%2."/>
      <w:numFmt w:val="lowerLetter"/>
      <w:start w:val="1"/>
    </w:lvl>
  </w:abstractNum>
  <w:abstractNum w:abstractNumId="66">
    <w:nsid w:val="1A32234B"/>
    <w:multiLevelType w:val="hybridMultilevel"/>
    <w:lvl w:ilvl="0">
      <w:lvlJc w:val="left"/>
      <w:lvlText w:val="%1"/>
      <w:numFmt w:val="decimal"/>
      <w:start w:val="1"/>
    </w:lvl>
    <w:lvl w:ilvl="1">
      <w:lvlJc w:val="left"/>
      <w:lvlText w:val="%2."/>
      <w:numFmt w:val="lowerLetter"/>
      <w:start w:val="3"/>
    </w:lvl>
  </w:abstractNum>
  <w:abstractNum w:abstractNumId="67">
    <w:nsid w:val="3B0FD379"/>
    <w:multiLevelType w:val="hybridMultilevel"/>
    <w:lvl w:ilvl="0">
      <w:lvlJc w:val="left"/>
      <w:lvlText w:val="%1."/>
      <w:numFmt w:val="decimal"/>
      <w:start w:val="11"/>
    </w:lvl>
    <w:lvl w:ilvl="1">
      <w:lvlJc w:val="left"/>
      <w:lvlText w:val="%2"/>
      <w:numFmt w:val="lowerLetter"/>
      <w:start w:val="1"/>
    </w:lvl>
  </w:abstractNum>
  <w:abstractNum w:abstractNumId="68">
    <w:nsid w:val="68EB2F63"/>
    <w:multiLevelType w:val="hybridMultilevel"/>
    <w:lvl w:ilvl="0">
      <w:lvlJc w:val="left"/>
      <w:lvlText w:val="%1."/>
      <w:numFmt w:val="decimal"/>
      <w:start w:val="2"/>
    </w:lvl>
  </w:abstractNum>
  <w:abstractNum w:abstractNumId="69">
    <w:nsid w:val="4962813B"/>
    <w:multiLevelType w:val="hybridMultilevel"/>
    <w:lvl w:ilvl="0">
      <w:lvlJc w:val="left"/>
      <w:lvlText w:val="%1."/>
      <w:numFmt w:val="decimal"/>
      <w:start w:val="3"/>
    </w:lvl>
  </w:abstractNum>
  <w:abstractNum w:abstractNumId="70">
    <w:nsid w:val="60B6DF70"/>
    <w:multiLevelType w:val="hybridMultilevel"/>
    <w:lvl w:ilvl="0">
      <w:lvlJc w:val="left"/>
      <w:lvlText w:val="%1."/>
      <w:numFmt w:val="decimal"/>
      <w:start w:val="7"/>
    </w:lvl>
  </w:abstractNum>
  <w:abstractNum w:abstractNumId="71">
    <w:nsid w:val="6A5EE64"/>
    <w:multiLevelType w:val="hybridMultilevel"/>
    <w:lvl w:ilvl="0">
      <w:lvlJc w:val="left"/>
      <w:lvlText w:val="(%1)"/>
      <w:numFmt w:val="lowerRoman"/>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1."/>
      <w:numFmt w:val="decimal"/>
      <w:start w:val="1"/>
    </w:lvl>
    <w:lvl w:ilvl="1">
      <w:lvlJc w:val="left"/>
      <w:lvlText w:val="(%2)"/>
      <w:numFmt w:val="lowerLetter"/>
      <w:start w:val="1"/>
    </w:lvl>
  </w:abstractNum>
  <w:abstractNum w:abstractNumId="74">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5">
    <w:nsid w:val="71EA110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76">
    <w:nsid w:val="100F59DC"/>
    <w:multiLevelType w:val="hybridMultilevel"/>
    <w:lvl w:ilvl="0">
      <w:lvlJc w:val="left"/>
      <w:lvlText w:val="%1."/>
      <w:numFmt w:val="decimal"/>
      <w:start w:val="5"/>
    </w:lvl>
    <w:lvl w:ilvl="1">
      <w:lvlJc w:val="left"/>
      <w:lvlText w:val="(%2)"/>
      <w:numFmt w:val="lowerLetter"/>
      <w:start w:val="1"/>
    </w:lvl>
  </w:abstractNum>
  <w:abstractNum w:abstractNumId="77">
    <w:nsid w:val="7FB7E0AA"/>
    <w:multiLevelType w:val="hybridMultilevel"/>
    <w:lvl w:ilvl="0">
      <w:lvlJc w:val="left"/>
      <w:lvlText w:val="%1"/>
      <w:numFmt w:val="decimal"/>
      <w:start w:val="1"/>
    </w:lvl>
    <w:lvl w:ilvl="1">
      <w:lvlJc w:val="left"/>
      <w:lvlText w:val="(%2)"/>
      <w:numFmt w:val="lowerLetter"/>
      <w:start w:val="3"/>
    </w:lvl>
  </w:abstractNum>
  <w:abstractNum w:abstractNumId="78">
    <w:nsid w:val="6EB5BD4"/>
    <w:multiLevelType w:val="hybridMultilevel"/>
    <w:lvl w:ilvl="0">
      <w:lvlJc w:val="left"/>
      <w:lvlText w:val="%1."/>
      <w:numFmt w:val="decimal"/>
      <w:start w:val="6"/>
    </w:lvl>
    <w:lvl w:ilvl="1">
      <w:lvlJc w:val="left"/>
      <w:lvlText w:val="%2"/>
      <w:numFmt w:val="lowerLetter"/>
      <w:start w:val="1"/>
    </w:lvl>
  </w:abstractNum>
  <w:abstractNum w:abstractNumId="79">
    <w:nsid w:val="6F6DD9AC"/>
    <w:multiLevelType w:val="hybridMultilevel"/>
    <w:lvl w:ilvl="0">
      <w:lvlJc w:val="left"/>
      <w:lvlText w:val="%1."/>
      <w:numFmt w:val="decimal"/>
      <w:start w:val="8"/>
    </w:lvl>
  </w:abstractNum>
  <w:abstractNum w:abstractNumId="80">
    <w:nsid w:val="94211F2"/>
    <w:multiLevelType w:val="hybridMultilevel"/>
    <w:lvl w:ilvl="0">
      <w:lvlJc w:val="left"/>
      <w:lvlText w:val="%1."/>
      <w:numFmt w:val="decimal"/>
      <w:start w:val="9"/>
    </w:lvl>
  </w:abstractNum>
  <w:abstractNum w:abstractNumId="81">
    <w:nsid w:val="885E1B"/>
    <w:multiLevelType w:val="hybridMultilevel"/>
    <w:lvl w:ilvl="0">
      <w:lvlJc w:val="left"/>
      <w:lvlText w:val="%1."/>
      <w:numFmt w:val="decimal"/>
      <w:start w:val="1"/>
    </w:lvl>
  </w:abstractNum>
  <w:abstractNum w:abstractNumId="82">
    <w:nsid w:val="76272110"/>
    <w:multiLevelType w:val="hybridMultilevel"/>
    <w:lvl w:ilvl="0">
      <w:lvlJc w:val="left"/>
      <w:lvlText w:val="(%1)"/>
      <w:numFmt w:val="lowerLetter"/>
      <w:start w:val="1"/>
    </w:lvl>
  </w:abstractNum>
  <w:abstractNum w:abstractNumId="83">
    <w:nsid w:val="4C04A8AF"/>
    <w:multiLevelType w:val="hybridMultilevel"/>
    <w:lvl w:ilvl="0">
      <w:lvlJc w:val="left"/>
      <w:lvlText w:val="%1."/>
      <w:numFmt w:val="decimal"/>
      <w:start w:val="5"/>
    </w:lvl>
  </w:abstractNum>
  <w:abstractNum w:abstractNumId="84">
    <w:nsid w:val="1716703B"/>
    <w:multiLevelType w:val="hybridMultilevel"/>
    <w:lvl w:ilvl="0">
      <w:lvlJc w:val="left"/>
      <w:lvlText w:val="(%1)"/>
      <w:numFmt w:val="lowerLetter"/>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lowerLetter"/>
      <w:start w:val="1"/>
    </w:lvl>
  </w:abstractNum>
  <w:abstractNum w:abstractNumId="87">
    <w:nsid w:val="74DE0EE3"/>
    <w:multiLevelType w:val="hybridMultilevel"/>
    <w:lvl w:ilvl="0">
      <w:lvlJc w:val="left"/>
      <w:lvlText w:val="%1."/>
      <w:numFmt w:val="decimal"/>
      <w:start w:val="5"/>
    </w:lvl>
  </w:abstractNum>
  <w:abstractNum w:abstractNumId="88">
    <w:nsid w:val="68EBC550"/>
    <w:multiLevelType w:val="hybridMultilevel"/>
    <w:lvl w:ilvl="0">
      <w:lvlJc w:val="left"/>
      <w:lvlText w:val="(%1)"/>
      <w:numFmt w:val="lowerLetter"/>
      <w:start w:val="1"/>
    </w:lvl>
  </w:abstractNum>
  <w:abstractNum w:abstractNumId="89">
    <w:nsid w:val="2DF6D648"/>
    <w:multiLevelType w:val="hybridMultilevel"/>
    <w:lvl w:ilvl="0">
      <w:lvlJc w:val="left"/>
      <w:lvlText w:val="(%1)"/>
      <w:numFmt w:val="lowerRoman"/>
      <w:start w:val="1"/>
    </w:lvl>
  </w:abstractNum>
  <w:abstractNum w:abstractNumId="90">
    <w:nsid w:val="46B7D44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80" Type="http://schemas.openxmlformats.org/officeDocument/2006/relationships/image" Target="media/image30.png"/><Relationship Id="rId81" Type="http://schemas.openxmlformats.org/officeDocument/2006/relationships/image" Target="media/image31.png"/><Relationship Id="rId82" Type="http://schemas.openxmlformats.org/officeDocument/2006/relationships/image" Target="media/image32.png"/><Relationship Id="rId83" Type="http://schemas.openxmlformats.org/officeDocument/2006/relationships/image" Target="media/image33.jpeg"/><Relationship Id="rId84" Type="http://schemas.openxmlformats.org/officeDocument/2006/relationships/image" Target="media/image34.png"/><Relationship Id="rId85" Type="http://schemas.openxmlformats.org/officeDocument/2006/relationships/image" Target="media/image35.png"/><Relationship Id="rId86" Type="http://schemas.openxmlformats.org/officeDocument/2006/relationships/image" Target="media/image36.png"/><Relationship Id="rId87" Type="http://schemas.openxmlformats.org/officeDocument/2006/relationships/image" Target="media/image37.png"/><Relationship Id="rId88" Type="http://schemas.openxmlformats.org/officeDocument/2006/relationships/image" Target="media/image38.png"/><Relationship Id="rId37" Type="http://schemas.openxmlformats.org/officeDocument/2006/relationships/hyperlink" Target="http://www.sec.gov/Archives/edgar/data/1070423/000110465917061889/a17-22685_5ex3d1.htm#Exhibit3_1_122228" TargetMode="External"/><Relationship Id="rId38" Type="http://schemas.openxmlformats.org/officeDocument/2006/relationships/hyperlink" Target="http://www.sec.gov/Archives/edgar/data/1070423/000104746904016502/a2135501zex-3_2.htm" TargetMode="External"/><Relationship Id="rId39" Type="http://schemas.openxmlformats.org/officeDocument/2006/relationships/hyperlink" Target="http://www.sec.gov/Archives/edgar/data/1070423/000110465911010359/a11-2319_1ex3d9.htm" TargetMode="External"/><Relationship Id="rId40" Type="http://schemas.openxmlformats.org/officeDocument/2006/relationships/hyperlink" Target="http://www.sec.gov/Archives/edgar/data/1070423/000110465911010359/a11-2319_1ex3d10.htm" TargetMode="External"/><Relationship Id="rId41" Type="http://schemas.openxmlformats.org/officeDocument/2006/relationships/hyperlink" Target="http://www.sec.gov/Archives/edgar/data/1070423/000110465914014322/a13-25941_1ex3d7.htm" TargetMode="External"/><Relationship Id="rId42" Type="http://schemas.openxmlformats.org/officeDocument/2006/relationships/hyperlink" Target="http://www.sec.gov/Archives/edgar/data/1070423/000110465914014322/a13-25941_1ex3d8.htm" TargetMode="External"/><Relationship Id="rId43" Type="http://schemas.openxmlformats.org/officeDocument/2006/relationships/hyperlink" Target="http://www.sec.gov/Archives/edgar/data/1070423/000104746904016502/a2135501zex-3_3.htm" TargetMode="External"/><Relationship Id="rId44" Type="http://schemas.openxmlformats.org/officeDocument/2006/relationships/hyperlink" Target="http://www.sec.gov/Archives/edgar/data/1070423/000110465914014322/a13-25941_1ex3d10.htm" TargetMode="External"/><Relationship Id="rId45" Type="http://schemas.openxmlformats.org/officeDocument/2006/relationships/hyperlink" Target="http://www.sec.gov/Archives/edgar/data/1070423/000110465916158355/a16-21841_1ex3d3.htm" TargetMode="External"/><Relationship Id="rId46" Type="http://schemas.openxmlformats.org/officeDocument/2006/relationships/hyperlink" Target="http://www.sec.gov/Archives/edgar/data/1070423/000110465916158355/a16-21841_1ex3d4.htm" TargetMode="External"/><Relationship Id="rId47" Type="http://schemas.openxmlformats.org/officeDocument/2006/relationships/hyperlink" Target="http://www.sec.gov/Archives/edgar/data/1070423/000110465918060011/a18-36196_1ex3d1.htm" TargetMode="External"/><Relationship Id="rId48" Type="http://schemas.openxmlformats.org/officeDocument/2006/relationships/hyperlink" Target="http://www.sec.gov/Archives/edgar/data/1070423/000095012907001096/h43224exv3w10.htm" TargetMode="External"/><Relationship Id="rId49" Type="http://schemas.openxmlformats.org/officeDocument/2006/relationships/hyperlink" Target="http://www.sec.gov/Archives/edgar/data/1070423/000095012907001096/h43224exv3w11.htm" TargetMode="External"/><Relationship Id="rId50" Type="http://schemas.openxmlformats.org/officeDocument/2006/relationships/hyperlink" Target="http://www.sec.gov/Archives/edgar/data/1070423/000095012908000071/h52770exv3w3.htm" TargetMode="External"/><Relationship Id="rId51" Type="http://schemas.openxmlformats.org/officeDocument/2006/relationships/hyperlink" Target="http://www.sec.gov/Archives/edgar/data/1581990/000104746913007875/a2216069zex-3_1.htm" TargetMode="External"/><Relationship Id="rId52" Type="http://schemas.openxmlformats.org/officeDocument/2006/relationships/hyperlink" Target="http://www.sec.gov/Archives/edgar/data/1581990/000110465916158356/a16-21845_1ex3d2.htm" TargetMode="External"/><Relationship Id="rId53" Type="http://schemas.openxmlformats.org/officeDocument/2006/relationships/hyperlink" Target="http://www.sec.gov/Archives/edgar/data/1581990/000104746913007875/a2216069zex-3_3.htm" TargetMode="External"/><Relationship Id="rId54" Type="http://schemas.openxmlformats.org/officeDocument/2006/relationships/hyperlink" Target="http://www.sec.gov/Archives/edgar/data/1070423/000110465917010601/a17-6891_1ex3d1.htm" TargetMode="External"/><Relationship Id="rId55" Type="http://schemas.openxmlformats.org/officeDocument/2006/relationships/hyperlink" Target="http://www.sec.gov/Archives/edgar/data/1070423/000110465918052848/a18-18381_3ex3d1.htm" TargetMode="External"/><Relationship Id="rId56" Type="http://schemas.openxmlformats.org/officeDocument/2006/relationships/hyperlink" Target="http://www.sec.gov/Archives/edgar/data/1070423/000089924302002834/dex41.txt" TargetMode="External"/><Relationship Id="rId57" Type="http://schemas.openxmlformats.org/officeDocument/2006/relationships/hyperlink" Target="http://www.sec.gov/Archives/edgar/data/1070423/000110465906034368/a06-11663_1ex4d1.htm" TargetMode="External"/><Relationship Id="rId58" Type="http://schemas.openxmlformats.org/officeDocument/2006/relationships/hyperlink" Target="http://www.sec.gov/Archives/edgar/data/1070423/000095012906009235/h40667exv4w2.htm" TargetMode="External"/><Relationship Id="rId59" Type="http://schemas.openxmlformats.org/officeDocument/2006/relationships/hyperlink" Target="http://www.sec.gov/Archives/edgar/data/1070423/000095012309041075/h67912exv4w1.htm" TargetMode="External"/><Relationship Id="rId60" Type="http://schemas.openxmlformats.org/officeDocument/2006/relationships/hyperlink" Target="http://www.sec.gov/Archives/edgar/data/1070423/000095012311002051/h78739exv4w1.htm" TargetMode="External"/><Relationship Id="rId61" Type="http://schemas.openxmlformats.org/officeDocument/2006/relationships/hyperlink" Target="http://www.sec.gov/Archives/edgar/data/1070423/000119312512132295/d321017dex41.htm" TargetMode="External"/><Relationship Id="rId62" Type="http://schemas.openxmlformats.org/officeDocument/2006/relationships/hyperlink" Target="http://www.sec.gov/Archives/edgar/data/1070423/000119312512132295/d321017dex43.htm" TargetMode="External"/><Relationship Id="rId63" Type="http://schemas.openxmlformats.org/officeDocument/2006/relationships/hyperlink" Target="http://www.sec.gov/Archives/edgar/data/1070423/000119312512499932/d453762dex41.htm" TargetMode="External"/><Relationship Id="rId64" Type="http://schemas.openxmlformats.org/officeDocument/2006/relationships/hyperlink" Target="http://www.sec.gov/Archives/edgar/data/1070423/000119312512499932/d453762dex43.htm" TargetMode="External"/><Relationship Id="rId65" Type="http://schemas.openxmlformats.org/officeDocument/2006/relationships/hyperlink" Target="http://www.sec.gov/Archives/edgar/data/1070423/000119312513336066/d581734dex41.htm" TargetMode="External"/><Relationship Id="rId66" Type="http://schemas.openxmlformats.org/officeDocument/2006/relationships/hyperlink" Target="http://www.sec.gov/Archives/edgar/data/1070423/000119312514164183/d713938dex41.htm" TargetMode="External"/><Relationship Id="rId67" Type="http://schemas.openxmlformats.org/officeDocument/2006/relationships/hyperlink" Target="http://www.sec.gov/Archives/edgar/data/1070423/000119312514338289/d787160dex41.htm" TargetMode="External"/><Relationship Id="rId68" Type="http://schemas.openxmlformats.org/officeDocument/2006/relationships/hyperlink" Target="http://www.sec.gov/Archives/edgar/data/1070423/000119312514440007/d833885dex41.htm" TargetMode="External"/><Relationship Id="rId69" Type="http://schemas.openxmlformats.org/officeDocument/2006/relationships/hyperlink" Target="http://www.sec.gov/Archives/edgar/data/1070423/000119312514440007/d833885dex43.htm" TargetMode="External"/><Relationship Id="rId70" Type="http://schemas.openxmlformats.org/officeDocument/2006/relationships/hyperlink" Target="http://www.sec.gov/Archives/edgar/data/1070423/000119312515302829/d45393dex41.htm" TargetMode="External"/><Relationship Id="rId71" Type="http://schemas.openxmlformats.org/officeDocument/2006/relationships/hyperlink" Target="http://www.sec.gov/Archives/edgar/data/1070423/000110465916159593/a16-22232_1ex4d1.htm" TargetMode="External"/><Relationship Id="rId72" Type="http://schemas.openxmlformats.org/officeDocument/2006/relationships/hyperlink" Target="http://www.sec.gov/Archives/edgar/data/1070423/000095012309050401/h68193exv4w1.htm" TargetMode="External"/><Relationship Id="rId73" Type="http://schemas.openxmlformats.org/officeDocument/2006/relationships/hyperlink" Target="http://www.sec.gov/Archives/edgar/data/1070423/000110465916093299/a16-3362_1ex4d1.htm" TargetMode="External"/><Relationship Id="rId74" Type="http://schemas.openxmlformats.org/officeDocument/2006/relationships/hyperlink" Target="http://www.sec.gov/Archives/edgar/data/1070423/000110465916158355/a16-21841_1ex10d4.htm" TargetMode="External"/><Relationship Id="rId75" Type="http://schemas.openxmlformats.org/officeDocument/2006/relationships/hyperlink" Target="http://www.sec.gov/Archives/edgar/data/1070423/000107042318000009/paaq12018exhibit101.htm" TargetMode="External"/><Relationship Id="rId76" Type="http://schemas.openxmlformats.org/officeDocument/2006/relationships/hyperlink" Target="http://www.sec.gov/Archives/edgar/data/1070423/000107042318000009/paaq12018exhibit102.htm" TargetMode="External"/><Relationship Id="rId77" Type="http://schemas.openxmlformats.org/officeDocument/2006/relationships/hyperlink" Target="http://www.sec.gov/Archives/edgar/data/1070423/000107042318000009/paaq12018exhibit103.htm" TargetMode="External"/><Relationship Id="rId78" Type="http://schemas.openxmlformats.org/officeDocument/2006/relationships/hyperlink" Target="http://www.sec.gov/Archives/edgar/data/1070423/000107042318000009/paaq12018exhibit104.htm" TargetMode="External"/><Relationship Id="rId79" Type="http://schemas.openxmlformats.org/officeDocument/2006/relationships/hyperlink" Target="http://www.sec.gov/Archives/edgar/data/1070423/000107042318000009/paaq12018exhibit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2020-01-10T22:21:50Z</dcterms:created>
  <dcterms:modified xsi:type="dcterms:W3CDTF">2020-01-10T22:21:50Z</dcterms:modified>
</cp:coreProperties>
</file>