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-234950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0"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80" w:type="dxa"/>
            <w:vAlign w:val="bottom"/>
            <w:vMerge w:val="restart"/>
          </w:tcPr>
          <w:p>
            <w:pPr>
              <w:jc w:val="center"/>
              <w:ind w:right="19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19050</wp:posOffset>
            </wp:positionV>
            <wp:extent cx="7047230" cy="4545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5453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Goebel Jeremy L.</w:t>
        </w:r>
      </w:hyperlink>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(Last)</w:t>
            </w:r>
          </w:p>
        </w:tc>
        <w:tc>
          <w:tcPr>
            <w:tcW w:w="1000" w:type="dxa"/>
            <w:vAlign w:val="bottom"/>
          </w:tcPr>
          <w:p>
            <w:pPr>
              <w:ind w:left="20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5"/>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333 CLAY STREET</w:t>
            </w:r>
          </w:p>
        </w:tc>
        <w:tc>
          <w:tcPr>
            <w:tcW w:w="1620" w:type="dxa"/>
            <w:vAlign w:val="bottom"/>
          </w:tcPr>
          <w:p>
            <w:pPr>
              <w:spacing w:after="0"/>
              <w:rPr>
                <w:sz w:val="23"/>
                <w:szCs w:val="23"/>
                <w:color w:val="auto"/>
              </w:rPr>
            </w:pPr>
          </w:p>
        </w:tc>
      </w:tr>
      <w:tr>
        <w:trPr>
          <w:trHeight w:val="255"/>
        </w:trPr>
        <w:tc>
          <w:tcPr>
            <w:tcW w:w="20" w:type="dxa"/>
            <w:vAlign w:val="bottom"/>
          </w:tcPr>
          <w:p>
            <w:pPr>
              <w:spacing w:after="0"/>
              <w:rPr>
                <w:sz w:val="22"/>
                <w:szCs w:val="22"/>
                <w:color w:val="auto"/>
              </w:rPr>
            </w:pPr>
          </w:p>
        </w:tc>
        <w:tc>
          <w:tcPr>
            <w:tcW w:w="1040" w:type="dxa"/>
            <w:vAlign w:val="bottom"/>
          </w:tcPr>
          <w:p>
            <w:pPr>
              <w:ind w:left="20"/>
              <w:spacing w:after="0"/>
              <w:rPr>
                <w:sz w:val="20"/>
                <w:szCs w:val="20"/>
                <w:color w:val="auto"/>
              </w:rPr>
            </w:pPr>
            <w:r>
              <w:rPr>
                <w:rFonts w:ascii="Arial" w:cs="Arial" w:eastAsia="Arial" w:hAnsi="Arial"/>
                <w:sz w:val="17"/>
                <w:szCs w:val="17"/>
                <w:color w:val="0000FF"/>
              </w:rPr>
              <w:t>SUITE 1600</w:t>
            </w:r>
          </w:p>
        </w:tc>
        <w:tc>
          <w:tcPr>
            <w:tcW w:w="10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148"/>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54"/>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26"/>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Arial" w:cs="Arial" w:eastAsia="Arial" w:hAnsi="Arial"/>
                <w:sz w:val="17"/>
                <w:szCs w:val="17"/>
                <w:color w:val="0000FF"/>
              </w:rPr>
              <w:t>HOUSTON</w:t>
            </w:r>
          </w:p>
        </w:tc>
        <w:tc>
          <w:tcPr>
            <w:tcW w:w="1000" w:type="dxa"/>
            <w:vAlign w:val="bottom"/>
          </w:tcPr>
          <w:p>
            <w:pPr>
              <w:ind w:left="200"/>
              <w:spacing w:after="0"/>
              <w:rPr>
                <w:sz w:val="20"/>
                <w:szCs w:val="20"/>
                <w:color w:val="auto"/>
              </w:rPr>
            </w:pPr>
            <w:r>
              <w:rPr>
                <w:rFonts w:ascii="Arial" w:cs="Arial" w:eastAsia="Arial" w:hAnsi="Arial"/>
                <w:sz w:val="17"/>
                <w:szCs w:val="17"/>
                <w:color w:val="0000FF"/>
              </w:rPr>
              <w:t>TX</w:t>
            </w:r>
          </w:p>
        </w:tc>
        <w:tc>
          <w:tcPr>
            <w:tcW w:w="1620" w:type="dxa"/>
            <w:vAlign w:val="bottom"/>
          </w:tcPr>
          <w:p>
            <w:pPr>
              <w:ind w:left="420"/>
              <w:spacing w:after="0"/>
              <w:rPr>
                <w:sz w:val="20"/>
                <w:szCs w:val="20"/>
                <w:color w:val="auto"/>
              </w:rPr>
            </w:pPr>
            <w:r>
              <w:rPr>
                <w:rFonts w:ascii="Arial" w:cs="Arial" w:eastAsia="Arial" w:hAnsi="Arial"/>
                <w:sz w:val="17"/>
                <w:szCs w:val="17"/>
                <w:color w:val="0000FF"/>
              </w:rPr>
              <w:t>77002</w:t>
            </w:r>
          </w:p>
        </w:tc>
      </w:tr>
      <w:tr>
        <w:trPr>
          <w:trHeight w:val="148"/>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0"/>
        </w:trPr>
        <w:tc>
          <w:tcPr>
            <w:tcW w:w="3840" w:type="dxa"/>
            <w:vAlign w:val="bottom"/>
            <w:gridSpan w:val="3"/>
          </w:tcPr>
          <w:p>
            <w:pPr>
              <w:ind w:left="80"/>
              <w:spacing w:after="0" w:line="200" w:lineRule="exact"/>
              <w:rPr>
                <w:rFonts w:ascii="Arial" w:cs="Arial" w:eastAsia="Arial" w:hAnsi="Arial"/>
                <w:sz w:val="20"/>
                <w:szCs w:val="20"/>
                <w:color w:val="0000EE"/>
              </w:rPr>
            </w:pPr>
            <w:hyperlink r:id="rId13">
              <w:r>
                <w:rPr>
                  <w:rFonts w:ascii="Arial" w:cs="Arial" w:eastAsia="Arial" w:hAnsi="Arial"/>
                  <w:sz w:val="20"/>
                  <w:szCs w:val="20"/>
                  <w:color w:val="0000EE"/>
                </w:rPr>
                <w:t xml:space="preserve">PLAINS ALL AMERICAN PIPELINE LP </w:t>
              </w:r>
            </w:hyperlink>
            <w:r>
              <w:rPr>
                <w:rFonts w:ascii="Arial" w:cs="Arial" w:eastAsia="Arial" w:hAnsi="Arial"/>
                <w:sz w:val="20"/>
                <w:szCs w:val="20"/>
                <w:color w:val="000000"/>
              </w:rPr>
              <w:t>[</w:t>
            </w:r>
          </w:p>
        </w:tc>
        <w:tc>
          <w:tcPr>
            <w:tcW w:w="21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80" w:type="dxa"/>
            <w:vAlign w:val="bottom"/>
          </w:tcPr>
          <w:p>
            <w:pPr>
              <w:spacing w:after="0"/>
              <w:rPr>
                <w:sz w:val="2"/>
                <w:szCs w:val="2"/>
                <w:color w:val="auto"/>
              </w:rPr>
            </w:pPr>
          </w:p>
        </w:tc>
        <w:tc>
          <w:tcPr>
            <w:tcW w:w="352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6"/>
        </w:trPr>
        <w:tc>
          <w:tcPr>
            <w:tcW w:w="3840" w:type="dxa"/>
            <w:vAlign w:val="bottom"/>
            <w:gridSpan w:val="3"/>
            <w:vMerge w:val="restart"/>
          </w:tcPr>
          <w:p>
            <w:pPr>
              <w:ind w:left="80"/>
              <w:spacing w:after="0"/>
              <w:rPr>
                <w:sz w:val="20"/>
                <w:szCs w:val="20"/>
                <w:color w:val="auto"/>
              </w:rPr>
            </w:pPr>
            <w:r>
              <w:rPr>
                <w:rFonts w:ascii="Arial" w:cs="Arial" w:eastAsia="Arial" w:hAnsi="Arial"/>
                <w:sz w:val="17"/>
                <w:szCs w:val="17"/>
                <w:color w:val="0000FF"/>
              </w:rPr>
              <w:t xml:space="preserve">PAA </w:t>
            </w:r>
            <w:r>
              <w:rPr>
                <w:rFonts w:ascii="Arial" w:cs="Arial" w:eastAsia="Arial" w:hAnsi="Arial"/>
                <w:sz w:val="20"/>
                <w:szCs w:val="20"/>
                <w:color w:val="000000"/>
              </w:rPr>
              <w:t>]</w:t>
            </w:r>
          </w:p>
        </w:tc>
        <w:tc>
          <w:tcPr>
            <w:tcW w:w="48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840" w:type="dxa"/>
            <w:vAlign w:val="bottom"/>
            <w:gridSpan w:val="3"/>
            <w:vMerge w:val="continue"/>
          </w:tcPr>
          <w:p>
            <w:pPr>
              <w:spacing w:after="0"/>
              <w:rPr>
                <w:sz w:val="11"/>
                <w:szCs w:val="11"/>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0"/>
        </w:trPr>
        <w:tc>
          <w:tcPr>
            <w:tcW w:w="80" w:type="dxa"/>
            <w:vAlign w:val="bottom"/>
            <w:tcBorders>
              <w:bottom w:val="single" w:sz="8" w:color="808080"/>
            </w:tcBorders>
          </w:tcPr>
          <w:p>
            <w:pPr>
              <w:spacing w:after="0"/>
              <w:rPr>
                <w:sz w:val="4"/>
                <w:szCs w:val="4"/>
                <w:color w:val="auto"/>
              </w:rPr>
            </w:pPr>
          </w:p>
        </w:tc>
        <w:tc>
          <w:tcPr>
            <w:tcW w:w="35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480" w:type="dxa"/>
            <w:vAlign w:val="bottom"/>
            <w:vMerge w:val="continue"/>
          </w:tcPr>
          <w:p>
            <w:pPr>
              <w:spacing w:after="0"/>
              <w:rPr>
                <w:sz w:val="4"/>
                <w:szCs w:val="4"/>
                <w:color w:val="auto"/>
              </w:rPr>
            </w:pPr>
          </w:p>
        </w:tc>
        <w:tc>
          <w:tcPr>
            <w:tcW w:w="164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38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vMerge w:val="continue"/>
          </w:tcPr>
          <w:p>
            <w:pPr>
              <w:spacing w:after="0"/>
              <w:rPr>
                <w:sz w:val="5"/>
                <w:szCs w:val="5"/>
                <w:color w:val="auto"/>
              </w:rPr>
            </w:pPr>
          </w:p>
        </w:tc>
        <w:tc>
          <w:tcPr>
            <w:tcW w:w="1640" w:type="dxa"/>
            <w:vAlign w:val="bottom"/>
            <w:vMerge w:val="restart"/>
          </w:tcPr>
          <w:p>
            <w:pPr>
              <w:ind w:left="100"/>
              <w:spacing w:after="0" w:line="120" w:lineRule="exact"/>
              <w:rPr>
                <w:sz w:val="20"/>
                <w:szCs w:val="20"/>
                <w:color w:val="auto"/>
              </w:rPr>
            </w:pPr>
            <w:r>
              <w:rPr>
                <w:rFonts w:ascii="Arial" w:cs="Arial" w:eastAsia="Arial" w:hAnsi="Arial"/>
                <w:sz w:val="13"/>
                <w:szCs w:val="13"/>
                <w:color w:val="auto"/>
              </w:rPr>
              <w:t>below)</w:t>
            </w:r>
          </w:p>
        </w:tc>
        <w:tc>
          <w:tcPr>
            <w:tcW w:w="1160" w:type="dxa"/>
            <w:vAlign w:val="bottom"/>
            <w:vMerge w:val="restart"/>
          </w:tcPr>
          <w:p>
            <w:pPr>
              <w:ind w:left="4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3840" w:type="dxa"/>
            <w:vAlign w:val="bottom"/>
            <w:gridSpan w:val="3"/>
            <w:vMerge w:val="continue"/>
          </w:tcPr>
          <w:p>
            <w:pPr>
              <w:spacing w:after="0"/>
              <w:rPr>
                <w:sz w:val="4"/>
                <w:szCs w:val="4"/>
                <w:color w:val="auto"/>
              </w:rPr>
            </w:pPr>
          </w:p>
        </w:tc>
        <w:tc>
          <w:tcPr>
            <w:tcW w:w="4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3840" w:type="dxa"/>
            <w:vAlign w:val="bottom"/>
            <w:gridSpan w:val="3"/>
            <w:vMerge w:val="continue"/>
          </w:tcPr>
          <w:p>
            <w:pPr>
              <w:spacing w:after="0"/>
              <w:rPr>
                <w:sz w:val="4"/>
                <w:szCs w:val="4"/>
                <w:color w:val="auto"/>
              </w:rPr>
            </w:pPr>
          </w:p>
        </w:tc>
        <w:tc>
          <w:tcPr>
            <w:tcW w:w="480" w:type="dxa"/>
            <w:vAlign w:val="bottom"/>
          </w:tcPr>
          <w:p>
            <w:pPr>
              <w:spacing w:after="0"/>
              <w:rPr>
                <w:sz w:val="4"/>
                <w:szCs w:val="4"/>
                <w:color w:val="auto"/>
              </w:rPr>
            </w:pPr>
          </w:p>
        </w:tc>
        <w:tc>
          <w:tcPr>
            <w:tcW w:w="1640" w:type="dxa"/>
            <w:vAlign w:val="bottom"/>
            <w:vMerge w:val="restart"/>
          </w:tcPr>
          <w:p>
            <w:pPr>
              <w:ind w:left="740"/>
              <w:spacing w:after="0"/>
              <w:rPr>
                <w:sz w:val="20"/>
                <w:szCs w:val="20"/>
                <w:color w:val="auto"/>
              </w:rPr>
            </w:pPr>
            <w:r>
              <w:rPr>
                <w:rFonts w:ascii="Arial" w:cs="Arial" w:eastAsia="Arial" w:hAnsi="Arial"/>
                <w:sz w:val="17"/>
                <w:szCs w:val="17"/>
                <w:color w:val="0000FF"/>
                <w:w w:val="94"/>
              </w:rPr>
              <w:t>EVP &amp; CCO</w:t>
            </w: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3600" w:type="dxa"/>
            <w:vAlign w:val="bottom"/>
            <w:gridSpan w:val="2"/>
          </w:tcPr>
          <w:p>
            <w:pPr>
              <w:ind w:left="80"/>
              <w:spacing w:after="0"/>
              <w:rPr>
                <w:sz w:val="20"/>
                <w:szCs w:val="20"/>
                <w:color w:val="auto"/>
              </w:rPr>
            </w:pPr>
            <w:r>
              <w:rPr>
                <w:rFonts w:ascii="Arial" w:cs="Arial" w:eastAsia="Arial" w:hAnsi="Arial"/>
                <w:sz w:val="17"/>
                <w:szCs w:val="17"/>
                <w:color w:val="0000FF"/>
              </w:rPr>
              <w:t>08/17/2023</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
        </w:trPr>
        <w:tc>
          <w:tcPr>
            <w:tcW w:w="80" w:type="dxa"/>
            <w:vAlign w:val="bottom"/>
            <w:tcBorders>
              <w:bottom w:val="single" w:sz="8" w:color="2C2C2C"/>
            </w:tcBorders>
          </w:tcPr>
          <w:p>
            <w:pPr>
              <w:spacing w:after="0"/>
              <w:rPr>
                <w:sz w:val="6"/>
                <w:szCs w:val="6"/>
                <w:color w:val="auto"/>
              </w:rPr>
            </w:pPr>
          </w:p>
        </w:tc>
        <w:tc>
          <w:tcPr>
            <w:tcW w:w="35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8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840" w:type="dxa"/>
            <w:vAlign w:val="bottom"/>
            <w:gridSpan w:val="3"/>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3"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0"/>
          <w:szCs w:val="20"/>
          <w:color w:val="auto"/>
        </w:rPr>
        <w:t>Rule 10b5-1(c) Transaction Indication</w:t>
      </w:r>
    </w:p>
    <w:p>
      <w:pPr>
        <w:spacing w:after="0" w:line="213" w:lineRule="exact"/>
        <w:rPr>
          <w:sz w:val="24"/>
          <w:szCs w:val="24"/>
          <w:color w:val="auto"/>
        </w:rPr>
      </w:pPr>
    </w:p>
    <w:p>
      <w:pPr>
        <w:ind w:left="320" w:right="380"/>
        <w:spacing w:after="0" w:line="27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1" w:lineRule="exact"/>
        <w:rPr>
          <w:sz w:val="24"/>
          <w:szCs w:val="24"/>
          <w:color w:val="auto"/>
        </w:rPr>
      </w:pPr>
    </w:p>
    <w:p>
      <w:pPr>
        <w:sectPr>
          <w:pgSz w:w="11900" w:h="16838" w:orient="portrait"/>
          <w:cols w:equalWidth="0" w:num="2">
            <w:col w:w="3760" w:space="80"/>
            <w:col w:w="724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2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vMerge w:val="continue"/>
          </w:tcPr>
          <w:p>
            <w:pPr>
              <w:spacing w:after="0"/>
              <w:rPr>
                <w:sz w:val="11"/>
                <w:szCs w:val="11"/>
                <w:color w:val="auto"/>
              </w:rPr>
            </w:pP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vMerge w:val="continue"/>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Arial" w:cs="Arial" w:eastAsia="Arial" w:hAnsi="Arial"/>
                <w:sz w:val="13"/>
                <w:szCs w:val="13"/>
                <w:color w:val="0000FF"/>
              </w:rPr>
              <w:t>Phantom</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080" w:type="dxa"/>
            <w:vAlign w:val="bottom"/>
            <w:vMerge w:val="restart"/>
          </w:tcPr>
          <w:p>
            <w:pPr>
              <w:jc w:val="right"/>
              <w:ind w:right="181"/>
              <w:spacing w:after="0"/>
              <w:rPr>
                <w:sz w:val="20"/>
                <w:szCs w:val="20"/>
                <w:color w:val="auto"/>
              </w:rPr>
            </w:pPr>
            <w:r>
              <w:rPr>
                <w:rFonts w:ascii="Arial" w:cs="Arial" w:eastAsia="Arial" w:hAnsi="Arial"/>
                <w:sz w:val="13"/>
                <w:szCs w:val="13"/>
                <w:color w:val="0000FF"/>
              </w:rPr>
              <w:t>08/17/2023</w:t>
            </w:r>
          </w:p>
        </w:tc>
        <w:tc>
          <w:tcPr>
            <w:tcW w:w="1060" w:type="dxa"/>
            <w:vAlign w:val="bottom"/>
          </w:tcPr>
          <w:p>
            <w:pPr>
              <w:spacing w:after="0"/>
              <w:rPr>
                <w:sz w:val="15"/>
                <w:szCs w:val="15"/>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rPr>
              <w:t>131,650</w:t>
            </w:r>
          </w:p>
        </w:tc>
        <w:tc>
          <w:tcPr>
            <w:tcW w:w="220" w:type="dxa"/>
            <w:vAlign w:val="bottom"/>
          </w:tcPr>
          <w:p>
            <w:pPr>
              <w:spacing w:after="0"/>
              <w:rPr>
                <w:sz w:val="15"/>
                <w:szCs w:val="15"/>
                <w:color w:val="auto"/>
              </w:rPr>
            </w:pPr>
          </w:p>
        </w:tc>
        <w:tc>
          <w:tcPr>
            <w:tcW w:w="780" w:type="dxa"/>
            <w:vAlign w:val="bottom"/>
            <w:vMerge w:val="restart"/>
          </w:tcPr>
          <w:p>
            <w:pPr>
              <w:ind w:left="220"/>
              <w:spacing w:after="0"/>
              <w:rPr>
                <w:sz w:val="20"/>
                <w:szCs w:val="20"/>
                <w:color w:val="auto"/>
              </w:rPr>
            </w:pPr>
            <w:r>
              <w:rPr>
                <w:rFonts w:ascii="Arial" w:cs="Arial" w:eastAsia="Arial" w:hAnsi="Arial"/>
                <w:sz w:val="11"/>
                <w:szCs w:val="11"/>
                <w:color w:val="008000"/>
              </w:rPr>
              <w:t>(3)(4)(5)</w:t>
            </w:r>
          </w:p>
        </w:tc>
        <w:tc>
          <w:tcPr>
            <w:tcW w:w="700" w:type="dxa"/>
            <w:vAlign w:val="bottom"/>
            <w:vMerge w:val="restart"/>
          </w:tcPr>
          <w:p>
            <w:pPr>
              <w:jc w:val="right"/>
              <w:ind w:right="104"/>
              <w:spacing w:after="0"/>
              <w:rPr>
                <w:sz w:val="20"/>
                <w:szCs w:val="20"/>
                <w:color w:val="auto"/>
              </w:rPr>
            </w:pPr>
            <w:r>
              <w:rPr>
                <w:rFonts w:ascii="Arial" w:cs="Arial" w:eastAsia="Arial" w:hAnsi="Arial"/>
                <w:sz w:val="11"/>
                <w:szCs w:val="11"/>
                <w:color w:val="008000"/>
              </w:rPr>
              <w:t>(3)(4)(5)</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620" w:type="dxa"/>
            <w:vAlign w:val="bottom"/>
            <w:vMerge w:val="restart"/>
          </w:tcPr>
          <w:p>
            <w:pPr>
              <w:spacing w:after="0"/>
              <w:rPr>
                <w:sz w:val="20"/>
                <w:szCs w:val="20"/>
                <w:color w:val="auto"/>
              </w:rPr>
            </w:pPr>
            <w:r>
              <w:rPr>
                <w:rFonts w:ascii="Arial" w:cs="Arial" w:eastAsia="Arial" w:hAnsi="Arial"/>
                <w:sz w:val="17"/>
                <w:szCs w:val="17"/>
                <w:color w:val="0000FF"/>
                <w:w w:val="97"/>
              </w:rPr>
              <w:t>131,650</w:t>
            </w: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vMerge w:val="restart"/>
          </w:tcPr>
          <w:p>
            <w:pPr>
              <w:ind w:left="260"/>
              <w:spacing w:after="0"/>
              <w:rPr>
                <w:sz w:val="20"/>
                <w:szCs w:val="20"/>
                <w:color w:val="auto"/>
              </w:rPr>
            </w:pPr>
            <w:r>
              <w:rPr>
                <w:rFonts w:ascii="Arial" w:cs="Arial" w:eastAsia="Arial" w:hAnsi="Arial"/>
                <w:sz w:val="13"/>
                <w:szCs w:val="13"/>
                <w:color w:val="0000FF"/>
              </w:rPr>
              <w:t>131,650</w:t>
            </w:r>
          </w:p>
        </w:tc>
        <w:tc>
          <w:tcPr>
            <w:tcW w:w="72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tcPr>
          <w:p>
            <w:pPr>
              <w:ind w:left="60"/>
              <w:spacing w:after="0" w:line="64" w:lineRule="exact"/>
              <w:rPr>
                <w:sz w:val="20"/>
                <w:szCs w:val="20"/>
                <w:color w:val="auto"/>
              </w:rPr>
            </w:pPr>
            <w:r>
              <w:rPr>
                <w:rFonts w:ascii="Arial" w:cs="Arial" w:eastAsia="Arial" w:hAnsi="Arial"/>
                <w:sz w:val="6"/>
                <w:szCs w:val="6"/>
                <w:color w:val="0000FF"/>
              </w:rPr>
              <w:t>Units</w:t>
            </w:r>
            <w:r>
              <w:rPr>
                <w:rFonts w:ascii="Arial" w:cs="Arial" w:eastAsia="Arial" w:hAnsi="Arial"/>
                <w:sz w:val="7"/>
                <w:szCs w:val="7"/>
                <w:color w:val="008000"/>
                <w:vertAlign w:val="superscript"/>
              </w:rPr>
              <w:t>(1)</w:t>
            </w:r>
          </w:p>
        </w:tc>
        <w:tc>
          <w:tcPr>
            <w:tcW w:w="7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tcPr>
          <w:p>
            <w:pPr>
              <w:ind w:left="180"/>
              <w:spacing w:after="0" w:line="64" w:lineRule="exact"/>
              <w:rPr>
                <w:sz w:val="20"/>
                <w:szCs w:val="20"/>
                <w:color w:val="auto"/>
              </w:rPr>
            </w:pPr>
            <w:r>
              <w:rPr>
                <w:rFonts w:ascii="Arial" w:cs="Arial" w:eastAsia="Arial" w:hAnsi="Arial"/>
                <w:sz w:val="7"/>
                <w:szCs w:val="7"/>
                <w:color w:val="0000FF"/>
              </w:rPr>
              <w:t>Units</w:t>
            </w:r>
          </w:p>
        </w:tc>
        <w:tc>
          <w:tcPr>
            <w:tcW w:w="6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7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 of Phantom Units under Long-Term Incentive Plan (includes distribution equivalent rights payable in cash).</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One common unit is deliverable, upon vesting, for each Phantom Unit that vests.</w:t>
      </w:r>
    </w:p>
    <w:p>
      <w:pPr>
        <w:spacing w:after="0" w:line="41" w:lineRule="exact"/>
        <w:rPr>
          <w:rFonts w:ascii="Arial" w:cs="Arial" w:eastAsia="Arial" w:hAnsi="Arial"/>
          <w:sz w:val="13"/>
          <w:szCs w:val="13"/>
          <w:color w:val="008000"/>
        </w:rPr>
      </w:pPr>
    </w:p>
    <w:p>
      <w:pPr>
        <w:ind w:left="40" w:right="280"/>
        <w:spacing w:after="0" w:line="233"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phantom units will vest as follows: (a) Tranche 1, consisting of 65,825 phantom units, will vest on the August 2026 distribution date assuming continued service through such date; (b) Tranche 2, consisting of 32,912 phantom units (assuming 100% payout at target), will potentially vest on the August 2026 distribution date at a scaled payout range of between 0% to 200% based on PAA's total shareholder return (TSR) over the three-year period ending June 30, 2026 compared to the TSR of a selected peer group (payout based on numeric rank with 100% earned at median and interpolation between ranks, and with payout being subject to reduction by up to 25 basis points, but not below 100%, if actual TSR is negative); and</w:t>
      </w:r>
    </w:p>
    <w:p>
      <w:pPr>
        <w:spacing w:after="0" w:line="30" w:lineRule="exact"/>
        <w:rPr>
          <w:rFonts w:ascii="Arial" w:cs="Arial" w:eastAsia="Arial" w:hAnsi="Arial"/>
          <w:sz w:val="13"/>
          <w:szCs w:val="13"/>
          <w:color w:val="008000"/>
        </w:rPr>
      </w:pPr>
    </w:p>
    <w:p>
      <w:pPr>
        <w:ind w:left="40" w:right="220"/>
        <w:spacing w:after="0" w:line="253" w:lineRule="auto"/>
        <w:tabs>
          <w:tab w:leader="none" w:pos="16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 Tranche 3, consisting of 32,913 phantom units (assuming 100% payout at target), will potentially vest on the August 2026 distribution date at a scaled payout range of between 0% and 200% based on PAA achieving cumulative distributable cash flow (DCF) per common unit equivalent (CUE) of $7.45 over the three-year period ending June 30, 2026 (with payout equaling 100% at cumulative DCF/CUE over such period of $7.45 and being equal to 0% for cumulative DCF/CUE over such period of $6.705 or lower and 200% for cumulative DCF/CUE over such period of $8.38125 or higher, with interpolation between such points, and with payout being subject to reduction by 25 basis points if PAA's leverage ratio (long term debt/adjusted EBITDA) as of June 30, 2026 is greater than the leverage ratio that equals the upper end of our then applicable guidance range (e.g., 3.5x is the upper end of PAA's current public guidance range of 3.0x to 3.5x)).</w:t>
      </w:r>
    </w:p>
    <w:p>
      <w:pPr>
        <w:spacing w:after="0" w:line="23" w:lineRule="exact"/>
        <w:rPr>
          <w:rFonts w:ascii="Arial" w:cs="Arial" w:eastAsia="Arial" w:hAnsi="Arial"/>
          <w:sz w:val="12"/>
          <w:szCs w:val="12"/>
          <w:color w:val="008000"/>
        </w:rPr>
      </w:pPr>
    </w:p>
    <w:p>
      <w:pPr>
        <w:ind w:left="40" w:right="220"/>
        <w:spacing w:after="0" w:line="233"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DERs associated with Tranche 1 will accrue for the first year and be paid in cash in a lump sum on the August 2024 distribution date; beginning in November 2024, DERs associated with Tranche 1 will be paid quarterly until the phantom units vest or terminate. DERs associated with Tranches 2 and 3 will accrue during the three-year vesting period and be paid in cash in a lump sum on the August 2026 distribution date with respect to each phantom unit that vests, if any, on such date. Any Tranche 2 or Tranche 3 phantom units that are determined to not have vested as of the August 2026 distribution date shall expire as of such date.</w:t>
      </w:r>
    </w:p>
    <w:p>
      <w:pPr>
        <w:spacing w:after="0" w:line="15"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7"/>
              </w:rPr>
              <w:t>/s/ Ann F. Gullion, as attorney-</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08/21/2023</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Arial" w:cs="Arial" w:eastAsia="Arial" w:hAnsi="Arial"/>
                <w:sz w:val="17"/>
                <w:szCs w:val="17"/>
                <w:color w:val="0000FF"/>
              </w:rPr>
              <w:t>in-fact for Jeremy L. Goebel</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1880" w:type="dxa"/>
            <w:vAlign w:val="bottom"/>
            <w:tcBorders>
              <w:top w:val="single" w:sz="8" w:color="auto"/>
            </w:tcBorders>
          </w:tcPr>
          <w:p>
            <w:pPr>
              <w:spacing w:after="0"/>
              <w:rPr>
                <w:sz w:val="20"/>
                <w:szCs w:val="20"/>
                <w:color w:val="auto"/>
              </w:rPr>
            </w:pPr>
            <w:r>
              <w:rPr>
                <w:rFonts w:ascii="Arial" w:cs="Arial" w:eastAsia="Arial" w:hAnsi="Arial"/>
                <w:sz w:val="13"/>
                <w:szCs w:val="13"/>
                <w:color w:val="auto"/>
                <w:w w:val="98"/>
              </w:rPr>
              <w:t>** Signature of Reporting Person</w:t>
            </w:r>
          </w:p>
        </w:tc>
        <w:tc>
          <w:tcPr>
            <w:tcW w:w="320" w:type="dxa"/>
            <w:vAlign w:val="bottom"/>
            <w:gridSpan w:val="2"/>
          </w:tcPr>
          <w:p>
            <w:pPr>
              <w:spacing w:after="0"/>
              <w:rPr>
                <w:sz w:val="19"/>
                <w:szCs w:val="19"/>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28"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69336"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2023-08-21T18:14:30Z</dcterms:created>
  <dcterms:modified xsi:type="dcterms:W3CDTF">2023-08-21T18:14:30Z</dcterms:modified>
</cp:coreProperties>
</file>