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163830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 February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2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1-14569</w:t>
            </w: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76-0582150</w:t>
            </w:r>
          </w:p>
        </w:tc>
      </w:tr>
      <w:tr>
        <w:trPr>
          <w:trHeight w:val="216"/>
        </w:trPr>
        <w:tc>
          <w:tcPr>
            <w:tcW w:w="2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(Commission</w:t>
            </w: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incorporation)</w:t>
            </w:r>
          </w:p>
        </w:tc>
        <w:tc>
          <w:tcPr>
            <w:tcW w:w="5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File Number)</w:t>
            </w: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340" w:type="dxa"/>
            <w:vAlign w:val="bottom"/>
          </w:tcPr>
          <w:p>
            <w:pPr>
              <w:spacing w:after="0"/>
              <w:rPr>
                <w:sz w:val="24"/>
                <w:szCs w:val="24"/>
                <w:color w:val="auto"/>
              </w:rPr>
            </w:pPr>
          </w:p>
        </w:tc>
        <w:tc>
          <w:tcPr>
            <w:tcW w:w="5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333 Clay Street, Suite 1600, Houston, Texas 77002</w:t>
            </w:r>
          </w:p>
        </w:tc>
        <w:tc>
          <w:tcPr>
            <w:tcW w:w="1780" w:type="dxa"/>
            <w:vAlign w:val="bottom"/>
          </w:tcPr>
          <w:p>
            <w:pPr>
              <w:spacing w:after="0"/>
              <w:rPr>
                <w:sz w:val="24"/>
                <w:szCs w:val="24"/>
                <w:color w:val="auto"/>
              </w:rPr>
            </w:pPr>
          </w:p>
        </w:tc>
      </w:tr>
      <w:tr>
        <w:trPr>
          <w:trHeight w:val="234"/>
        </w:trPr>
        <w:tc>
          <w:tcPr>
            <w:tcW w:w="2340" w:type="dxa"/>
            <w:vAlign w:val="bottom"/>
          </w:tcPr>
          <w:p>
            <w:pPr>
              <w:spacing w:after="0"/>
              <w:rPr>
                <w:sz w:val="20"/>
                <w:szCs w:val="20"/>
                <w:color w:val="auto"/>
              </w:rPr>
            </w:pPr>
          </w:p>
        </w:tc>
        <w:tc>
          <w:tcPr>
            <w:tcW w:w="5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80" w:type="dxa"/>
            <w:vAlign w:val="bottom"/>
          </w:tcPr>
          <w:p>
            <w:pPr>
              <w:spacing w:after="0"/>
              <w:rPr>
                <w:sz w:val="20"/>
                <w:szCs w:val="20"/>
                <w:color w:val="auto"/>
              </w:rPr>
            </w:pPr>
          </w:p>
        </w:tc>
      </w:tr>
      <w:tr>
        <w:trPr>
          <w:trHeight w:val="414"/>
        </w:trPr>
        <w:tc>
          <w:tcPr>
            <w:tcW w:w="2340" w:type="dxa"/>
            <w:vAlign w:val="bottom"/>
          </w:tcPr>
          <w:p>
            <w:pPr>
              <w:spacing w:after="0"/>
              <w:rPr>
                <w:sz w:val="24"/>
                <w:szCs w:val="24"/>
                <w:color w:val="auto"/>
              </w:rPr>
            </w:pPr>
          </w:p>
        </w:tc>
        <w:tc>
          <w:tcPr>
            <w:tcW w:w="5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713-646-4100</w:t>
            </w:r>
          </w:p>
        </w:tc>
        <w:tc>
          <w:tcPr>
            <w:tcW w:w="1780" w:type="dxa"/>
            <w:vAlign w:val="bottom"/>
          </w:tcPr>
          <w:p>
            <w:pPr>
              <w:spacing w:after="0"/>
              <w:rPr>
                <w:sz w:val="24"/>
                <w:szCs w:val="24"/>
                <w:color w:val="auto"/>
              </w:rPr>
            </w:pPr>
          </w:p>
        </w:tc>
      </w:tr>
      <w:tr>
        <w:trPr>
          <w:trHeight w:val="234"/>
        </w:trPr>
        <w:tc>
          <w:tcPr>
            <w:tcW w:w="2340" w:type="dxa"/>
            <w:vAlign w:val="bottom"/>
          </w:tcPr>
          <w:p>
            <w:pPr>
              <w:spacing w:after="0"/>
              <w:rPr>
                <w:sz w:val="20"/>
                <w:szCs w:val="20"/>
                <w:color w:val="auto"/>
              </w:rPr>
            </w:pPr>
          </w:p>
        </w:tc>
        <w:tc>
          <w:tcPr>
            <w:tcW w:w="51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80" w:type="dxa"/>
            <w:vAlign w:val="bottom"/>
          </w:tcPr>
          <w:p>
            <w:pPr>
              <w:spacing w:after="0"/>
              <w:rPr>
                <w:sz w:val="20"/>
                <w:szCs w:val="20"/>
                <w:color w:val="auto"/>
              </w:rPr>
            </w:pPr>
          </w:p>
        </w:tc>
      </w:tr>
      <w:tr>
        <w:trPr>
          <w:trHeight w:val="432"/>
        </w:trPr>
        <w:tc>
          <w:tcPr>
            <w:tcW w:w="2340" w:type="dxa"/>
            <w:vAlign w:val="bottom"/>
          </w:tcPr>
          <w:p>
            <w:pPr>
              <w:spacing w:after="0"/>
              <w:rPr>
                <w:sz w:val="24"/>
                <w:szCs w:val="24"/>
                <w:color w:val="auto"/>
              </w:rPr>
            </w:pPr>
          </w:p>
        </w:tc>
        <w:tc>
          <w:tcPr>
            <w:tcW w:w="5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0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contained in Item 2.03 regarding the Amendments, as defined below, is incorporated by reference into this Item 1.01.</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February 26, 2026, Plains All American Pipeline, L.P. (“PAA”) and certain of its subsidiaries entered into (i) a Third Amendment to Credit Agreement (the “Revolver Third Amendment”) with Bank of America, N.A., as administrative agent, and the lenders party thereto, which amends that certain Credit Agreement dated as of August 20, 2021 (as previously amended, the “Revolver”), and (ii) a Third Amendment to Fourth Amended and Restated Credit Agreement (the “Hedged Inventory Third Amendment,” and together with the Revolver Third Amendment, the “Amendments”) with Bank of America, N.A., as administrative agent, and the lenders party thereto, which amends that certain Fourth Amended and Restated Credit Agreement dated as of August 20, 2021 (as previously amended, the “Hedged Inventory Facility”).</w:t>
      </w:r>
    </w:p>
    <w:p>
      <w:pPr>
        <w:spacing w:after="0" w:line="18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Among other things, each Amendment replaces Plains Midstream Canada ULC (“PMCULC”) with Plains Canada Liquid Pipelines ULC (“PCLPULC”) as a borrower under the applicable facility. In connection with such replacement, (a) all commitments to extend credit to PMCULC under the applicable facility were terminated, (b) PMCULC was released from its obligations under the applicable loan documents, and, with respect to the Hedged Inventory Facility, any liens on collateral granted by PMCULC under the related collateral documents were released, and (c) PCLPULC agreed to be bound by the terms of the applicable credit agreement as if originally a borrower thereunder and, with respect to the Hedged Inventory Facility, joined the security documents and granted a security interest in the collateral described therein.</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Amendments also include customary conditions to effectiveness. The Amendments further include customary representations and warranties and ratifications by PAA and the other parties, including confirmation that PAA’s guaranty of borrower obligations under the Hedged Inventory Facility remains in full force and effect.</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than as described above, the Amendments did not change the aggregate lender commitments, maturity dates, pricing, covenants or other material economic terms of the Revolver or the Hedged Inventory Facility.</w:t>
      </w:r>
    </w:p>
    <w:p>
      <w:pPr>
        <w:spacing w:after="0" w:line="162"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Revolver Third Amendment and the Hedged Inventory Third Amendment do not purport to be complete and are qualified in their entirety by reference to the full text of such documents, copies of which are filed as Exhibits 10.1 and 10.2 to this Current Report on Form 8-K and are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1100" w:hanging="768"/>
        <w:spacing w:after="0"/>
        <w:tabs>
          <w:tab w:leader="none" w:pos="11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8"/>
        </w:trPr>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520" w:type="dxa"/>
            <w:vAlign w:val="bottom"/>
          </w:tcPr>
          <w:p>
            <w:pPr>
              <w:spacing w:after="0"/>
              <w:rPr>
                <w:sz w:val="20"/>
                <w:szCs w:val="20"/>
                <w:color w:val="auto"/>
              </w:rPr>
            </w:pPr>
          </w:p>
        </w:tc>
        <w:tc>
          <w:tcPr>
            <w:tcW w:w="8580" w:type="dxa"/>
            <w:vAlign w:val="bottom"/>
            <w:gridSpan w:val="5"/>
          </w:tcPr>
          <w:p>
            <w:pPr>
              <w:ind w:left="3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4"/>
                <w:szCs w:val="14"/>
                <w:color w:val="auto"/>
              </w:rPr>
            </w:pPr>
          </w:p>
        </w:tc>
        <w:tc>
          <w:tcPr>
            <w:tcW w:w="10100" w:type="dxa"/>
            <w:vAlign w:val="bottom"/>
            <w:tcBorders>
              <w:top w:val="single" w:sz="8" w:color="auto"/>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EE"/>
              </w:rPr>
              <w:t>Third Amendment to Credit Agreement, dated as of February 26, 2026, by and among Plains All American Pipeline, L.P., Plains Canada</w:t>
            </w:r>
          </w:p>
        </w:tc>
      </w:tr>
      <w:tr>
        <w:trPr>
          <w:trHeight w:val="196"/>
        </w:trPr>
        <w:tc>
          <w:tcPr>
            <w:tcW w:w="32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Liquid Pipelines ULC, Bank of America, N.A., as Administrative Agent, and the lenders party thereto.</w:t>
            </w:r>
          </w:p>
        </w:tc>
        <w:tc>
          <w:tcPr>
            <w:tcW w:w="2440" w:type="dxa"/>
            <w:vAlign w:val="bottom"/>
            <w:tcBorders>
              <w:top w:val="single" w:sz="8" w:color="0000EE"/>
            </w:tcBorders>
            <w:gridSpan w:val="3"/>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120" w:type="dxa"/>
            <w:vAlign w:val="bottom"/>
          </w:tcPr>
          <w:p>
            <w:pPr>
              <w:spacing w:after="0"/>
              <w:rPr>
                <w:sz w:val="17"/>
                <w:szCs w:val="17"/>
                <w:color w:val="auto"/>
              </w:rPr>
            </w:pPr>
          </w:p>
        </w:tc>
        <w:tc>
          <w:tcPr>
            <w:tcW w:w="10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Third Amendment to Fourth Amended and Restated Credit Agreement, dated as of February 26, 2026, by and among Plains Marketing,</w:t>
            </w:r>
          </w:p>
        </w:tc>
      </w:tr>
      <w:tr>
        <w:trPr>
          <w:trHeight w:val="20"/>
        </w:trPr>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L.P., Plains Canada Liquid Pipelines ULC, Plains All American Pipeline, L.P., Bank of America, N.A., as Administrative Agent, and the</w:t>
            </w: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lenders party thereto.</w:t>
            </w:r>
          </w:p>
        </w:tc>
        <w:tc>
          <w:tcPr>
            <w:tcW w:w="280" w:type="dxa"/>
            <w:vAlign w:val="bottom"/>
            <w:gridSpan w:val="2"/>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580" w:type="dxa"/>
            <w:vAlign w:val="bottom"/>
            <w:gridSpan w:val="5"/>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March 3, 2026</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AMENDMENT TO CREDIT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THIRD AMENDMENT TO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the 26th day of February, 2026, is by and among PLAINS ALL AMERICAN PIPELINE, L.P.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PLAINS MIDSTREAM CANADA ULC, a British Columbia unlimited liability company (“</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PLAINS CANADA LIQUID PIPELINES ULC, a British Columbia unlimited liability company (“</w:t>
      </w:r>
      <w:r>
        <w:rPr>
          <w:rFonts w:ascii="Times New Roman" w:cs="Times New Roman" w:eastAsia="Times New Roman" w:hAnsi="Times New Roman"/>
          <w:sz w:val="18"/>
          <w:szCs w:val="18"/>
          <w:u w:val="single" w:color="auto"/>
          <w:color w:val="auto"/>
        </w:rPr>
        <w:t>PCLPULC</w:t>
      </w:r>
      <w:r>
        <w:rPr>
          <w:rFonts w:ascii="Times New Roman" w:cs="Times New Roman" w:eastAsia="Times New Roman" w:hAnsi="Times New Roman"/>
          <w:sz w:val="18"/>
          <w:szCs w:val="18"/>
          <w:color w:val="auto"/>
        </w:rPr>
        <w:t>”), BANK OF AMERICA, N.A., as Administrative Agent, and the Lenders party hereto.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Borrowers, Administrative Agent and the L/C Issuers and Lenders party thereto entered into that certain Credit Agreement dated as of August 20, 2021 (as amended by the First Amendment to Credit Agreement dated as of August 22, 2022 and Second Amendment to Credit Agreement dated as of August 19, 2024,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for the purposes and consideration therein expressed;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Borrowers, PCLPULC, Administrative Agent and the Lenders party hereto desire to amend the Original Agreement to replace PMCULC as a Borrower under the Credit Agreement (as defined below) with PCLPULC and release PMCULC from all Obligations under the Loan Documents;</w:t>
      </w:r>
    </w:p>
    <w:p>
      <w:pPr>
        <w:spacing w:after="0" w:line="176"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 — </w:t>
      </w:r>
      <w:r>
        <w:rPr>
          <w:rFonts w:ascii="Times New Roman" w:cs="Times New Roman" w:eastAsia="Times New Roman" w:hAnsi="Times New Roman"/>
          <w:sz w:val="18"/>
          <w:szCs w:val="18"/>
          <w:u w:val="single" w:color="auto"/>
          <w:color w:val="auto"/>
        </w:rPr>
        <w:t>Definitions and References</w:t>
      </w:r>
    </w:p>
    <w:p>
      <w:pPr>
        <w:spacing w:after="0" w:line="225" w:lineRule="exact"/>
        <w:rPr>
          <w:sz w:val="20"/>
          <w:szCs w:val="20"/>
          <w:color w:val="auto"/>
        </w:rPr>
      </w:pPr>
    </w:p>
    <w:p>
      <w:pPr>
        <w:ind w:firstLine="656"/>
        <w:spacing w:after="0" w:line="282" w:lineRule="auto"/>
        <w:tabs>
          <w:tab w:leader="none" w:pos="7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Terms Defined in the Original Agreement</w:t>
      </w:r>
      <w:r>
        <w:rPr>
          <w:rFonts w:ascii="Times New Roman" w:cs="Times New Roman" w:eastAsia="Times New Roman" w:hAnsi="Times New Roman"/>
          <w:sz w:val="18"/>
          <w:szCs w:val="18"/>
          <w:color w:val="auto"/>
        </w:rPr>
        <w:t>. Unless the context otherwise requires or unless otherwise expressly defined herein, the terms defined in the Credit Agreement shall have the same meanings whenever used in this Amendment.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7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Other Defined Terms</w:t>
      </w:r>
      <w:r>
        <w:rPr>
          <w:rFonts w:ascii="Times New Roman" w:cs="Times New Roman" w:eastAsia="Times New Roman" w:hAnsi="Times New Roman"/>
          <w:sz w:val="18"/>
          <w:szCs w:val="18"/>
          <w:color w:val="auto"/>
        </w:rPr>
        <w:t xml:space="preserve">. Unless the context otherwise requires, the following terms when used in this Amendment shall have the meanings assigned to them in this </w:t>
      </w:r>
      <w:r>
        <w:rPr>
          <w:rFonts w:ascii="Times New Roman" w:cs="Times New Roman" w:eastAsia="Times New Roman" w:hAnsi="Times New Roman"/>
          <w:sz w:val="18"/>
          <w:szCs w:val="18"/>
          <w:u w:val="single" w:color="auto"/>
          <w:color w:val="auto"/>
        </w:rPr>
        <w:t>§ 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means this Third Amendment to Credit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 3.1</w:t>
      </w:r>
      <w:r>
        <w:rPr>
          <w:rFonts w:ascii="Times New Roman" w:cs="Times New Roman" w:eastAsia="Times New Roman" w:hAnsi="Times New Roman"/>
          <w:sz w:val="18"/>
          <w:szCs w:val="18"/>
          <w:color w:val="auto"/>
        </w:rPr>
        <w:t xml:space="preserve"> of this Amendment.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means the Original Agreement as amended hereby.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II. — </w:t>
      </w:r>
      <w:r>
        <w:rPr>
          <w:rFonts w:ascii="Times New Roman" w:cs="Times New Roman" w:eastAsia="Times New Roman" w:hAnsi="Times New Roman"/>
          <w:sz w:val="18"/>
          <w:szCs w:val="18"/>
          <w:u w:val="single" w:color="auto"/>
          <w:color w:val="auto"/>
        </w:rPr>
        <w:t>Amendments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2.1.     </w:t>
      </w:r>
      <w:r>
        <w:rPr>
          <w:rFonts w:ascii="Times New Roman" w:cs="Times New Roman" w:eastAsia="Times New Roman" w:hAnsi="Times New Roman"/>
          <w:sz w:val="18"/>
          <w:szCs w:val="18"/>
          <w:u w:val="single" w:color="auto"/>
          <w:color w:val="auto"/>
        </w:rPr>
        <w:t>  Replacement of PMCULC with PCLPULC; Release of PMCULC</w:t>
      </w:r>
      <w:r>
        <w:rPr>
          <w:rFonts w:ascii="Times New Roman" w:cs="Times New Roman" w:eastAsia="Times New Roman" w:hAnsi="Times New Roman"/>
          <w:sz w:val="18"/>
          <w:szCs w:val="18"/>
          <w:color w:val="auto"/>
        </w:rPr>
        <w:t>. The Original Agreement is hereby amended as follows: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The reference to “PLAINS MIDSTREAM CANADA ULC” on the cover page of the Original Agreement shall refer instead to “PLAINS CANADA LIQUID PIPELINES ULC”, the reference to “PLAINS MIDSTREAM CANADA ULC, a British Columbia unlimited liability company (“</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set forth in the preamble of the Original Agreement shall refer instead to “PLAINS CANADA LIQUID PIPELINES ULC, a British Columbia unlimited liability company”, the definition of PMCULC set forth in Section 1.01 of the Original Agreement shall be replaced with the definition of “PCLPULC” set forth in the preamble hereof, and all references to PMCULC in the Original Agreement shall be amended to refer instead to PCLPULC (other than references to PMCULC set forth in the final sentence of the preamble, in the definition of “Existing Credit Agreement” and in Section 4.01 of the Original Agreement, which are retained for historical reference only);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PCLPULC shall constitute a Borrower for purposes of the Credit Agreement as if originally a party thereto and shall be entitled to request extensions of credit thereunder, and each Lender and each L/C Issuer agrees to extend credit to PCLPULC on the terms and conditions set forth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PCLPULC agrees to be bound by the provisions of the Credit Agreement previously applicable to PMCULC as a Borrower thereunder, and the Company acknowledges and agrees that all payment Obligations of PCLPULC are and shall be guaranteed by the Company pursuant to the Company Guaranty, which is hereby ratified and confirmed in all respects;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All commitments of the Lenders to make Loans or otherwise extend credit to PMCULC under the Credit Agreement shall be terminated and PMCULC shall be released from any Obligations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the avoidance of doubt, such release shall not release the Company from its guarantee of the payment Obligations of PMCULC pursuant to the Company Guaranty.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In furtherance of the foregoing, Administrative Agent and Lenders agree to deliver, at the Company’s expense, such additional documentation as the Company may reasonably request to effectuate the release of PMCULC set forth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 2.1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III. — </w:t>
      </w:r>
      <w:r>
        <w:rPr>
          <w:rFonts w:ascii="Times New Roman" w:cs="Times New Roman" w:eastAsia="Times New Roman" w:hAnsi="Times New Roman"/>
          <w:sz w:val="18"/>
          <w:szCs w:val="18"/>
          <w:u w:val="single" w:color="auto"/>
          <w:color w:val="auto"/>
        </w:rPr>
        <w:t>Conditions of Effectiveness</w:t>
      </w:r>
    </w:p>
    <w:p>
      <w:pPr>
        <w:spacing w:after="0" w:line="225" w:lineRule="exact"/>
        <w:rPr>
          <w:sz w:val="20"/>
          <w:szCs w:val="20"/>
          <w:color w:val="auto"/>
        </w:rPr>
      </w:pPr>
    </w:p>
    <w:p>
      <w:pPr>
        <w:ind w:firstLine="656"/>
        <w:spacing w:after="0" w:line="282" w:lineRule="auto"/>
        <w:tabs>
          <w:tab w:leader="none" w:pos="7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Amendment Effective Date</w:t>
      </w:r>
      <w:r>
        <w:rPr>
          <w:rFonts w:ascii="Times New Roman" w:cs="Times New Roman" w:eastAsia="Times New Roman" w:hAnsi="Times New Roman"/>
          <w:sz w:val="18"/>
          <w:szCs w:val="18"/>
          <w:color w:val="auto"/>
        </w:rPr>
        <w:t>. This Amendment shall become effective as of the date first written above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upon the satisfaction of the following conditions precedent: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The Administrative Agent’s receipt of the following, each of which shall be originals, telecopies or other electronic copies (followed promptly by originals) unless otherwise specified, each properly executed by a Responsible Officer of the signing Loan Party, as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w:t>
      </w:r>
    </w:p>
    <w:p>
      <w:pPr>
        <w:spacing w:after="0" w:line="18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executed counterparts of this Amendment from each Borrower, PCLPULC, Administrative Agent and Lenders, sufficient in number for distribution to the Administrative Agent, each Lender and the Company;</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            if so requested at least three Business Days prior to the Amendment Effective Date, a Swing Line Note executed by PCLPULC in favor of the Swing Line Lender and a Committed Loan Note executed by PCLPULC in favor of each requesting Lender;</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(iii)          such certificates of resolutions or other action, incumbency certificates and/or other certificates of Responsible Officers of PCLPULC as the Administrative Agent may reasonably require evidencing the identity, authority and capacity of each Responsible Officer thereof authorized to act as a Responsible Officer in connection with this Amendment, the Credit Agreement and the other Loan Documents to which PCLPULC is a party;</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(iv)          such documents and certifications as the Administrative Agent may reasonably require to evidence that PCLPULC is duly organized or formed, and that PCLPULC is validly existing and in good standing in its jurisdiction of organization, issued by the appropriate authorities of such jurisdiction;</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           favorable opinions of (A) Richard McGee, Esq., General Counsel for the Company and PCLPULC, (B) Vinson &amp; Elkins LLP, special Texas and New York counsel to the Company and PCLPULC, and (C) Cox Taylor, special Canadian counsel to PCLPULC, addressed to the Administrative Agent and each Lender;</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(vi)          a certificate signed by a Responsible Officer of the Company certifying (A) that the conditions specified in Section 4.02(a) and</w:t>
      </w:r>
    </w:p>
    <w:p>
      <w:pPr>
        <w:spacing w:after="0" w:line="27" w:lineRule="exact"/>
        <w:rPr>
          <w:sz w:val="20"/>
          <w:szCs w:val="20"/>
          <w:color w:val="auto"/>
        </w:rPr>
      </w:pPr>
    </w:p>
    <w:p>
      <w:pPr>
        <w:ind w:left="660" w:hanging="4"/>
        <w:spacing w:after="0" w:line="260"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Credit Agreement have been satisfied, (B) that PCLPULC is a wholly-owned Subsidiary of the Company and (C) PCLPULC’s true and correct Canadian corporate access number and jurisdiction of organization; and</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         such other assurances, certificates, documents, consents or opinions as the Administrative Agent may reasonably require.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All consents, licenses and approvals required in connection with the execution, delivery and performance by each Loan Party and the validity against each Loan Party of this Amendment and each of the other Loan Documents to which it is a party shall have been obtained and shall be in full force and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Company shall have paid all reasonable fees, charges and disbursements of counsel to the Administrative Agent to the extent invoiced prior to the Amendment Effective Date.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(i) Upon the reasonable request of any Lender made at least five days prior to the Amendment Effective Date, the Company shall have provided to such Lender with respect to PCLPULC, and such Lender shall be reasonably satisfied with, the documentation and other information so requested with respect to PCLPULC in connection with applicable “know your customer” and anti-money-laundering rules and regulations, including, without limitation, the PATRIOT Act, in each case at least three days prior to the Amendment Effective Date, and (ii) if PCLPULC qualifies as a “legal entity customer” under the Beneficial Ownership Regulation, PCLPULC shall have delivered, to each Lender that so requests, a Beneficial Ownership Certification in relation to it.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All outstanding Loans and other Obligations owing by PMCULC to Administrative Agent and/or Lenders shall have been paid in full.</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the conditions specified in this </w:t>
      </w:r>
      <w:r>
        <w:rPr>
          <w:rFonts w:ascii="Times New Roman" w:cs="Times New Roman" w:eastAsia="Times New Roman" w:hAnsi="Times New Roman"/>
          <w:sz w:val="18"/>
          <w:szCs w:val="18"/>
          <w:u w:val="single" w:color="auto"/>
          <w:color w:val="auto"/>
        </w:rPr>
        <w:t>§ 3.1</w:t>
      </w:r>
      <w:r>
        <w:rPr>
          <w:rFonts w:ascii="Times New Roman" w:cs="Times New Roman" w:eastAsia="Times New Roman" w:hAnsi="Times New Roman"/>
          <w:sz w:val="18"/>
          <w:szCs w:val="18"/>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the Company with a copy of any such notice received by the Administrative Agent.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IV. — </w:t>
      </w: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right="20" w:firstLine="656"/>
        <w:spacing w:after="0" w:line="282" w:lineRule="auto"/>
        <w:tabs>
          <w:tab w:leader="none" w:pos="7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Representations and Warranties of the Company</w:t>
      </w:r>
      <w:r>
        <w:rPr>
          <w:rFonts w:ascii="Times New Roman" w:cs="Times New Roman" w:eastAsia="Times New Roman" w:hAnsi="Times New Roman"/>
          <w:sz w:val="18"/>
          <w:szCs w:val="18"/>
          <w:color w:val="auto"/>
        </w:rPr>
        <w:t>. In order to induce Administrative Agent, L/C Issuers and Lenders to enter into this Amendment, the Company represents and warrants to Administrative Agent, L/C Issuers and each Lender that: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The representations and warranties of (i) the Company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Credit Agreement and (ii) each Loan Party in any other Loan Document are true and correct in all material respects on and as of the Amendment Effective Date,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Times New Roman" w:cs="Times New Roman" w:eastAsia="Times New Roman" w:hAnsi="Times New Roman"/>
          <w:sz w:val="18"/>
          <w:szCs w:val="18"/>
          <w:u w:val="single" w:color="auto"/>
          <w:color w:val="auto"/>
        </w:rPr>
        <w:t>subsections (a) and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of the Credit Agreement shall be deemed to refer to the most recent statements furnished pursuant to clauses (a)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Credit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No Default has occurred and is continuing as of the Amendment Effective Date or would immediately result from the effectiveness hereof.</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V. — </w:t>
      </w: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656"/>
        <w:spacing w:after="0" w:line="254" w:lineRule="auto"/>
        <w:tabs>
          <w:tab w:leader="none" w:pos="8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Ratification of Agreements</w:t>
      </w:r>
      <w:r>
        <w:rPr>
          <w:rFonts w:ascii="Times New Roman" w:cs="Times New Roman" w:eastAsia="Times New Roman" w:hAnsi="Times New Roman"/>
          <w:sz w:val="18"/>
          <w:szCs w:val="18"/>
          <w:color w:val="auto"/>
        </w:rPr>
        <w:t>. The Original Agreement, as hereby amended, is hereby ratified and confirmed in all respects. The Loan Documents, as they may be amended or affected by this Amendment, are hereby ratified and confirmed in all respects by each Borrower. Any reference to the Original Agreement in any Loan Document shall be deemed to refer to the Credit Agreement. Upon and after the effectiveness hereof,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amended hereby. The execution, delivery and effectiveness of this Amendment shall not, except as expressly provided herein, operate as a waiver of any right, power or remedy of Administrative Agent, any L/C Issuer or any Lender under the Credit Agreement or any other Loan Document nor constitute a waiver of any provision of the Credit Agreement or any other Loan Document.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7"/>
          <w:szCs w:val="17"/>
          <w:color w:val="auto"/>
        </w:rPr>
        <w:t>§ 5.2.     </w:t>
      </w:r>
      <w:r>
        <w:rPr>
          <w:rFonts w:ascii="Times New Roman" w:cs="Times New Roman" w:eastAsia="Times New Roman" w:hAnsi="Times New Roman"/>
          <w:sz w:val="17"/>
          <w:szCs w:val="17"/>
          <w:u w:val="single" w:color="auto"/>
          <w:color w:val="auto"/>
        </w:rPr>
        <w:t>  Loan Documents</w:t>
      </w:r>
      <w:r>
        <w:rPr>
          <w:rFonts w:ascii="Times New Roman" w:cs="Times New Roman" w:eastAsia="Times New Roman" w:hAnsi="Times New Roman"/>
          <w:sz w:val="17"/>
          <w:szCs w:val="17"/>
          <w:color w:val="auto"/>
        </w:rPr>
        <w:t>. This Amendment is a Loan Document, and all provisions in the Credit Agreement pertaining to Loan Documents apply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3" w:lineRule="exact"/>
        <w:rPr>
          <w:sz w:val="20"/>
          <w:szCs w:val="20"/>
          <w:color w:val="auto"/>
        </w:rPr>
      </w:pPr>
    </w:p>
    <w:p>
      <w:pPr>
        <w:ind w:right="20" w:firstLine="656"/>
        <w:spacing w:after="0" w:line="286" w:lineRule="auto"/>
        <w:tabs>
          <w:tab w:leader="none" w:pos="783"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5.3.      GOVERNING LAW.</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THIS AMENDMENT SHALL BE GOVERNED BY, AND CONSTRUED IN ACCORDANCE WITH, THE LAWS OF THE STATE OF NEW YORK</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jc w:val="both"/>
        <w:ind w:firstLine="656"/>
        <w:spacing w:after="0" w:line="263" w:lineRule="auto"/>
        <w:tabs>
          <w:tab w:leader="none" w:pos="7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399" w:lineRule="exact"/>
        <w:rPr>
          <w:rFonts w:ascii="Times New Roman" w:cs="Times New Roman" w:eastAsia="Times New Roman" w:hAnsi="Times New Roman"/>
          <w:sz w:val="18"/>
          <w:szCs w:val="18"/>
          <w:color w:val="auto"/>
        </w:rPr>
      </w:pPr>
    </w:p>
    <w:p>
      <w:pPr>
        <w:jc w:val="both"/>
        <w:ind w:firstLine="656"/>
        <w:spacing w:after="0" w:line="266" w:lineRule="auto"/>
        <w:tabs>
          <w:tab w:leader="none" w:pos="7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IN WITNESS WHEREOF, this Amendment is executed as of the date first above written.</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PLAINS ALL AMERICAN GP LLC,</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Senior Vice President and Treasurer</w:t>
      </w:r>
    </w:p>
    <w:p>
      <w:pPr>
        <w:spacing w:after="0" w:line="2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PLAINS MIDSTREAM CANADA ULC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Senior Vice President and Treasurer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PLAINS CANADA LIQUID PIPELINES ULC</w:t>
      </w: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Senior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451485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8" w:name="page9"/>
    <w:bookmarkEnd w:id="8"/>
    <w:p>
      <w:pPr>
        <w:ind w:left="452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Melanie Brichan</w:t>
      </w:r>
      <w:r>
        <w:rPr>
          <w:rFonts w:ascii="Times New Roman" w:cs="Times New Roman" w:eastAsia="Times New Roman" w:hAnsi="Times New Roman"/>
          <w:sz w:val="18"/>
          <w:szCs w:val="18"/>
          <w:u w:val="single" w:color="auto"/>
          <w:color w:val="auto"/>
        </w:rPr>
        <w: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Melanie Brichant</w:t>
      </w:r>
    </w:p>
    <w:p>
      <w:pPr>
        <w:spacing w:after="0" w:line="23"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AVP</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Lender, an L/C Issuer and Swing Line Lender</w:t>
      </w:r>
    </w:p>
    <w:p>
      <w:pPr>
        <w:spacing w:after="0" w:line="218"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Megan Baqui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Megan Baqui</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9" w:name="page10"/>
    <w:bookmarkEnd w:id="9"/>
    <w:p>
      <w:pPr>
        <w:ind w:left="4520"/>
        <w:spacing w:after="0"/>
        <w:rPr>
          <w:sz w:val="20"/>
          <w:szCs w:val="20"/>
          <w:color w:val="auto"/>
        </w:rPr>
      </w:pPr>
      <w:r>
        <w:rPr>
          <w:rFonts w:ascii="Times New Roman" w:cs="Times New Roman" w:eastAsia="Times New Roman" w:hAnsi="Times New Roman"/>
          <w:sz w:val="17"/>
          <w:szCs w:val="17"/>
          <w:b w:val="1"/>
          <w:bCs w:val="1"/>
          <w:color w:val="auto"/>
        </w:rPr>
        <w:t>CITIBANK, N.A.</w:t>
      </w:r>
      <w:r>
        <w:rPr>
          <w:rFonts w:ascii="Times New Roman" w:cs="Times New Roman" w:eastAsia="Times New Roman" w:hAnsi="Times New Roman"/>
          <w:sz w:val="17"/>
          <w:szCs w:val="17"/>
          <w:color w:val="auto"/>
        </w:rPr>
        <w:t>, as a Lender and an L/C Issuer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Gabriel Juarez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Gabriel Juarez</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 w:name="page11"/>
    <w:bookmarkEnd w:id="10"/>
    <w:p>
      <w:pPr>
        <w:ind w:left="45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 and an L/C Issuer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Anca Loghin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Anca Loghin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 w:name="page12"/>
    <w:bookmarkEnd w:id="11"/>
    <w:p>
      <w:pPr>
        <w:ind w:left="4520"/>
        <w:spacing w:after="0"/>
        <w:rPr>
          <w:sz w:val="20"/>
          <w:szCs w:val="20"/>
          <w:color w:val="auto"/>
        </w:rPr>
      </w:pPr>
      <w:r>
        <w:rPr>
          <w:rFonts w:ascii="Times New Roman" w:cs="Times New Roman" w:eastAsia="Times New Roman" w:hAnsi="Times New Roman"/>
          <w:sz w:val="17"/>
          <w:szCs w:val="17"/>
          <w:b w:val="1"/>
          <w:bCs w:val="1"/>
          <w:color w:val="auto"/>
        </w:rPr>
        <w:t>WELLS FARGO BANK,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 and an L/C Issuer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Emily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Emily Board</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 w:name="page13"/>
    <w:bookmarkEnd w:id="12"/>
    <w:p>
      <w:pPr>
        <w:ind w:left="4520"/>
        <w:spacing w:after="0"/>
        <w:rPr>
          <w:sz w:val="20"/>
          <w:szCs w:val="20"/>
          <w:color w:val="auto"/>
        </w:rPr>
      </w:pPr>
      <w:r>
        <w:rPr>
          <w:rFonts w:ascii="Times New Roman" w:cs="Times New Roman" w:eastAsia="Times New Roman" w:hAnsi="Times New Roman"/>
          <w:sz w:val="17"/>
          <w:szCs w:val="17"/>
          <w:b w:val="1"/>
          <w:bCs w:val="1"/>
          <w:color w:val="auto"/>
        </w:rPr>
        <w:t>BANCO BILBAO VIZCAYA ARGENTARIA, S.A.</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NEW YORK BRANCH</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Cara Younger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3" w:name="page14"/>
    <w:bookmarkEnd w:id="13"/>
    <w:p>
      <w:pPr>
        <w:ind w:left="4520"/>
        <w:spacing w:after="0"/>
        <w:rPr>
          <w:sz w:val="20"/>
          <w:szCs w:val="20"/>
          <w:color w:val="auto"/>
        </w:rPr>
      </w:pPr>
      <w:r>
        <w:rPr>
          <w:rFonts w:ascii="Times New Roman" w:cs="Times New Roman" w:eastAsia="Times New Roman" w:hAnsi="Times New Roman"/>
          <w:sz w:val="18"/>
          <w:szCs w:val="18"/>
          <w:b w:val="1"/>
          <w:bCs w:val="1"/>
          <w:color w:val="auto"/>
        </w:rPr>
        <w:t xml:space="preserve">BANK OF MONTREAL, </w:t>
      </w:r>
      <w:r>
        <w:rPr>
          <w:rFonts w:ascii="Times New Roman" w:cs="Times New Roman" w:eastAsia="Times New Roman" w:hAnsi="Times New Roman"/>
          <w:sz w:val="18"/>
          <w:szCs w:val="18"/>
          <w:color w:val="auto"/>
        </w:rPr>
        <w:t>as a Lender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Patrick Johnston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 on behalf of its Chicago Branch</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4" w:name="page15"/>
    <w:bookmarkEnd w:id="14"/>
    <w:p>
      <w:pPr>
        <w:ind w:left="4520"/>
        <w:spacing w:after="0"/>
        <w:rPr>
          <w:sz w:val="20"/>
          <w:szCs w:val="20"/>
          <w:color w:val="auto"/>
        </w:rPr>
      </w:pPr>
      <w:r>
        <w:rPr>
          <w:rFonts w:ascii="Times New Roman" w:cs="Times New Roman" w:eastAsia="Times New Roman" w:hAnsi="Times New Roman"/>
          <w:sz w:val="17"/>
          <w:szCs w:val="17"/>
          <w:b w:val="1"/>
          <w:bCs w:val="1"/>
          <w:color w:val="auto"/>
        </w:rPr>
        <w:t>BANK OF NOVA SCOTIA, HOUSTON BRANCH,</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Priyanka MacRae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Priyanka MacRae</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5" w:name="page16"/>
    <w:bookmarkEnd w:id="15"/>
    <w:p>
      <w:pPr>
        <w:ind w:left="5640"/>
        <w:spacing w:after="0"/>
        <w:rPr>
          <w:sz w:val="20"/>
          <w:szCs w:val="20"/>
          <w:color w:val="auto"/>
        </w:rPr>
      </w:pPr>
      <w:r>
        <w:rPr>
          <w:rFonts w:ascii="Times New Roman" w:cs="Times New Roman" w:eastAsia="Times New Roman" w:hAnsi="Times New Roman"/>
          <w:sz w:val="18"/>
          <w:szCs w:val="18"/>
          <w:b w:val="1"/>
          <w:bCs w:val="1"/>
          <w:color w:val="auto"/>
        </w:rPr>
        <w:t>BARCLAYS BANK PLC</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Sydney G. Dennis</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Sydney G. Dennis</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75"/>
        </w:trPr>
        <w:tc>
          <w:tcPr>
            <w:tcW w:w="6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9</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6" w:name="page17"/>
    <w:bookmarkEnd w:id="16"/>
    <w:p>
      <w:pPr>
        <w:ind w:left="5640"/>
        <w:spacing w:after="0"/>
        <w:rPr>
          <w:sz w:val="20"/>
          <w:szCs w:val="20"/>
          <w:color w:val="auto"/>
        </w:rPr>
      </w:pPr>
      <w:r>
        <w:rPr>
          <w:rFonts w:ascii="Times New Roman" w:cs="Times New Roman" w:eastAsia="Times New Roman" w:hAnsi="Times New Roman"/>
          <w:sz w:val="18"/>
          <w:szCs w:val="18"/>
          <w:b w:val="1"/>
          <w:bCs w:val="1"/>
          <w:color w:val="auto"/>
        </w:rPr>
        <w:t>CANADIAN IMPERIAL BANK OF COMMERCE, NEW YORK</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BRANCH</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W. Danvers</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W. Danvers</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Donovan C. Broussard</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Donovan C. Broussard</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75"/>
        </w:trPr>
        <w:tc>
          <w:tcPr>
            <w:tcW w:w="620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7" w:name="page18"/>
    <w:bookmarkEnd w:id="17"/>
    <w:p>
      <w:pPr>
        <w:ind w:left="4520"/>
        <w:spacing w:after="0"/>
        <w:rPr>
          <w:sz w:val="20"/>
          <w:szCs w:val="20"/>
          <w:color w:val="auto"/>
        </w:rPr>
      </w:pPr>
      <w:r>
        <w:rPr>
          <w:rFonts w:ascii="Times New Roman" w:cs="Times New Roman" w:eastAsia="Times New Roman" w:hAnsi="Times New Roman"/>
          <w:sz w:val="18"/>
          <w:szCs w:val="18"/>
          <w:b w:val="1"/>
          <w:bCs w:val="1"/>
          <w:color w:val="auto"/>
        </w:rPr>
        <w:t>COBANK ACB</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Connor Schrotel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Connor Schrotel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8" w:name="page19"/>
    <w:bookmarkEnd w:id="18"/>
    <w:p>
      <w:pPr>
        <w:ind w:left="4520"/>
        <w:spacing w:after="0"/>
        <w:rPr>
          <w:sz w:val="20"/>
          <w:szCs w:val="20"/>
          <w:color w:val="auto"/>
        </w:rPr>
      </w:pPr>
      <w:r>
        <w:rPr>
          <w:rFonts w:ascii="Times New Roman" w:cs="Times New Roman" w:eastAsia="Times New Roman" w:hAnsi="Times New Roman"/>
          <w:sz w:val="17"/>
          <w:szCs w:val="17"/>
          <w:b w:val="1"/>
          <w:bCs w:val="1"/>
          <w:color w:val="auto"/>
        </w:rPr>
        <w:t>ING CAPITAL LLC</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Subha Pasumarti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Subha Pasumarti</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Anthony Rivera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9" w:name="page20"/>
    <w:bookmarkEnd w:id="19"/>
    <w:p>
      <w:pPr>
        <w:ind w:left="4520"/>
        <w:spacing w:after="0"/>
        <w:rPr>
          <w:sz w:val="20"/>
          <w:szCs w:val="20"/>
          <w:color w:val="auto"/>
        </w:rPr>
      </w:pPr>
      <w:r>
        <w:rPr>
          <w:rFonts w:ascii="Times New Roman" w:cs="Times New Roman" w:eastAsia="Times New Roman" w:hAnsi="Times New Roman"/>
          <w:sz w:val="17"/>
          <w:szCs w:val="17"/>
          <w:b w:val="1"/>
          <w:bCs w:val="1"/>
          <w:color w:val="auto"/>
        </w:rPr>
        <w:t>MIZUHO BANK, LTD.</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Edward Sacks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20" w:name="page21"/>
    <w:bookmarkEnd w:id="20"/>
    <w:p>
      <w:pPr>
        <w:ind w:left="4520"/>
        <w:spacing w:after="0"/>
        <w:rPr>
          <w:sz w:val="20"/>
          <w:szCs w:val="20"/>
          <w:color w:val="auto"/>
        </w:rPr>
      </w:pPr>
      <w:r>
        <w:rPr>
          <w:rFonts w:ascii="Times New Roman" w:cs="Times New Roman" w:eastAsia="Times New Roman" w:hAnsi="Times New Roman"/>
          <w:sz w:val="17"/>
          <w:szCs w:val="17"/>
          <w:b w:val="1"/>
          <w:bCs w:val="1"/>
          <w:color w:val="auto"/>
        </w:rPr>
        <w:t>MUFG BANK, LTD.</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Vidhya Rajasekar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Vidhya Rajasekar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21" w:name="page22"/>
    <w:bookmarkEnd w:id="21"/>
    <w:p>
      <w:pPr>
        <w:ind w:left="4520"/>
        <w:spacing w:after="0"/>
        <w:rPr>
          <w:sz w:val="20"/>
          <w:szCs w:val="20"/>
          <w:color w:val="auto"/>
        </w:rPr>
      </w:pPr>
      <w:r>
        <w:rPr>
          <w:rFonts w:ascii="Times New Roman" w:cs="Times New Roman" w:eastAsia="Times New Roman" w:hAnsi="Times New Roman"/>
          <w:sz w:val="17"/>
          <w:szCs w:val="17"/>
          <w:b w:val="1"/>
          <w:bCs w:val="1"/>
          <w:color w:val="auto"/>
        </w:rPr>
        <w:t>PNC BANK, NATIONAL ASSOCIATION,</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Danielle Bernicky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Danielle Bernicky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PNC BANK CANADA BRANCH,</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Cameron Ruff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Cameron Ruff</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22" w:name="page23"/>
    <w:bookmarkEnd w:id="22"/>
    <w:p>
      <w:pPr>
        <w:ind w:left="4520"/>
        <w:spacing w:after="0"/>
        <w:rPr>
          <w:sz w:val="20"/>
          <w:szCs w:val="20"/>
          <w:color w:val="auto"/>
        </w:rPr>
      </w:pPr>
      <w:r>
        <w:rPr>
          <w:rFonts w:ascii="Times New Roman" w:cs="Times New Roman" w:eastAsia="Times New Roman" w:hAnsi="Times New Roman"/>
          <w:sz w:val="18"/>
          <w:szCs w:val="18"/>
          <w:b w:val="1"/>
          <w:bCs w:val="1"/>
          <w:color w:val="auto"/>
        </w:rPr>
        <w:t>REGIONS BANK</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David Valentine</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23" w:name="page24"/>
    <w:bookmarkEnd w:id="23"/>
    <w:p>
      <w:pPr>
        <w:ind w:left="4520"/>
        <w:spacing w:after="0"/>
        <w:rPr>
          <w:sz w:val="20"/>
          <w:szCs w:val="20"/>
          <w:color w:val="auto"/>
        </w:rPr>
      </w:pPr>
      <w:r>
        <w:rPr>
          <w:rFonts w:ascii="Times New Roman" w:cs="Times New Roman" w:eastAsia="Times New Roman" w:hAnsi="Times New Roman"/>
          <w:sz w:val="17"/>
          <w:szCs w:val="17"/>
          <w:b w:val="1"/>
          <w:bCs w:val="1"/>
          <w:color w:val="auto"/>
        </w:rPr>
        <w:t>ROYAL BANK OF CANADA</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Emilee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Emilee Scott</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24" w:name="page25"/>
    <w:bookmarkEnd w:id="24"/>
    <w:p>
      <w:pPr>
        <w:ind w:left="4520"/>
        <w:spacing w:after="0"/>
        <w:rPr>
          <w:sz w:val="20"/>
          <w:szCs w:val="20"/>
          <w:color w:val="auto"/>
        </w:rPr>
      </w:pPr>
      <w:r>
        <w:rPr>
          <w:rFonts w:ascii="Times New Roman" w:cs="Times New Roman" w:eastAsia="Times New Roman" w:hAnsi="Times New Roman"/>
          <w:sz w:val="17"/>
          <w:szCs w:val="17"/>
          <w:b w:val="1"/>
          <w:bCs w:val="1"/>
          <w:color w:val="auto"/>
        </w:rPr>
        <w:t>SUMITOMO MITSUI BANKING CORPORATION</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Irlen 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Irlen Mak</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0" w:lineRule="exact"/>
        <w:rPr>
          <w:sz w:val="20"/>
          <w:szCs w:val="20"/>
          <w:color w:val="auto"/>
        </w:rPr>
      </w:pPr>
    </w:p>
    <w:p>
      <w:pPr>
        <w:spacing w:after="0" w:line="25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80"/>
          </w:cols>
          <w:pgMar w:left="1440" w:top="927" w:right="979" w:bottom="1440" w:gutter="0" w:footer="0" w:header="0"/>
        </w:sectPr>
      </w:pPr>
    </w:p>
    <w:bookmarkStart w:id="25" w:name="page26"/>
    <w:bookmarkEnd w:id="25"/>
    <w:p>
      <w:pPr>
        <w:ind w:left="4520"/>
        <w:spacing w:after="0"/>
        <w:rPr>
          <w:sz w:val="20"/>
          <w:szCs w:val="20"/>
          <w:color w:val="auto"/>
        </w:rPr>
      </w:pPr>
      <w:r>
        <w:rPr>
          <w:rFonts w:ascii="Times New Roman" w:cs="Times New Roman" w:eastAsia="Times New Roman" w:hAnsi="Times New Roman"/>
          <w:sz w:val="17"/>
          <w:szCs w:val="17"/>
          <w:b w:val="1"/>
          <w:bCs w:val="1"/>
          <w:color w:val="auto"/>
        </w:rPr>
        <w:t>THE TORONTO-DOMINION BANK,</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NEW YORK BRANCH</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Jonathan Schwartz</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26" w:name="page27"/>
    <w:bookmarkEnd w:id="26"/>
    <w:p>
      <w:pPr>
        <w:ind w:left="4520"/>
        <w:spacing w:after="0"/>
        <w:rPr>
          <w:sz w:val="20"/>
          <w:szCs w:val="20"/>
          <w:color w:val="auto"/>
        </w:rPr>
      </w:pPr>
      <w:r>
        <w:rPr>
          <w:rFonts w:ascii="Times New Roman" w:cs="Times New Roman" w:eastAsia="Times New Roman" w:hAnsi="Times New Roman"/>
          <w:sz w:val="18"/>
          <w:szCs w:val="18"/>
          <w:b w:val="1"/>
          <w:bCs w:val="1"/>
          <w:color w:val="auto"/>
        </w:rPr>
        <w:t>TRUIST BANK</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Lincoln LaCour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27" w:name="page28"/>
    <w:bookmarkEnd w:id="27"/>
    <w:p>
      <w:pPr>
        <w:ind w:left="4520"/>
        <w:spacing w:after="0"/>
        <w:rPr>
          <w:sz w:val="20"/>
          <w:szCs w:val="20"/>
          <w:color w:val="auto"/>
        </w:rPr>
      </w:pPr>
      <w:r>
        <w:rPr>
          <w:rFonts w:ascii="Times New Roman" w:cs="Times New Roman" w:eastAsia="Times New Roman" w:hAnsi="Times New Roman"/>
          <w:sz w:val="17"/>
          <w:szCs w:val="17"/>
          <w:b w:val="1"/>
          <w:bCs w:val="1"/>
          <w:color w:val="auto"/>
        </w:rPr>
        <w:t>U.S. BANK NATIONAL ASSOCIATION,</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David Lawrence</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28" w:name="page29"/>
    <w:bookmarkEnd w:id="28"/>
    <w:p>
      <w:pPr>
        <w:ind w:left="4520"/>
        <w:spacing w:after="0"/>
        <w:rPr>
          <w:sz w:val="20"/>
          <w:szCs w:val="20"/>
          <w:color w:val="auto"/>
        </w:rPr>
      </w:pPr>
      <w:r>
        <w:rPr>
          <w:rFonts w:ascii="Times New Roman" w:cs="Times New Roman" w:eastAsia="Times New Roman" w:hAnsi="Times New Roman"/>
          <w:sz w:val="17"/>
          <w:szCs w:val="17"/>
          <w:b w:val="1"/>
          <w:bCs w:val="1"/>
          <w:color w:val="auto"/>
        </w:rPr>
        <w:t>ZIONS BANCORPORATION, N.A. DBA AMEGY BANK</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Cameron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Cameron Burns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5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40"/>
          </w:cols>
          <w:pgMar w:left="1440" w:top="927" w:right="519" w:bottom="1440" w:gutter="0" w:footer="0" w:header="0"/>
        </w:sectPr>
      </w:pPr>
    </w:p>
    <w:bookmarkStart w:id="29" w:name="page30"/>
    <w:bookmarkEnd w:id="29"/>
    <w:p>
      <w:pPr>
        <w:ind w:left="4520"/>
        <w:spacing w:after="0"/>
        <w:rPr>
          <w:sz w:val="20"/>
          <w:szCs w:val="20"/>
          <w:color w:val="auto"/>
        </w:rPr>
      </w:pPr>
      <w:r>
        <w:rPr>
          <w:rFonts w:ascii="Times New Roman" w:cs="Times New Roman" w:eastAsia="Times New Roman" w:hAnsi="Times New Roman"/>
          <w:sz w:val="17"/>
          <w:szCs w:val="17"/>
          <w:b w:val="1"/>
          <w:bCs w:val="1"/>
          <w:color w:val="auto"/>
        </w:rPr>
        <w:t>MORGAN STANLEY BANK, N.A.</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Karina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Karina Rodriguez</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30" w:name="page31"/>
    <w:bookmarkEnd w:id="30"/>
    <w:p>
      <w:pPr>
        <w:ind w:left="4520"/>
        <w:spacing w:after="0"/>
        <w:rPr>
          <w:sz w:val="20"/>
          <w:szCs w:val="20"/>
          <w:color w:val="auto"/>
        </w:rPr>
      </w:pPr>
      <w:r>
        <w:rPr>
          <w:rFonts w:ascii="Times New Roman" w:cs="Times New Roman" w:eastAsia="Times New Roman" w:hAnsi="Times New Roman"/>
          <w:sz w:val="18"/>
          <w:szCs w:val="18"/>
          <w:b w:val="1"/>
          <w:bCs w:val="1"/>
          <w:color w:val="auto"/>
        </w:rPr>
        <w:t>AGRICULTURAL BANK OF CHINA LIMITED</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Nelson Chou</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&amp; Head of Corporate Banking Department</w:t>
      </w:r>
    </w:p>
    <w:p>
      <w:pPr>
        <w:spacing w:after="0" w:line="200" w:lineRule="exact"/>
        <w:rPr>
          <w:sz w:val="20"/>
          <w:szCs w:val="20"/>
          <w:color w:val="auto"/>
        </w:rPr>
      </w:pPr>
    </w:p>
    <w:p>
      <w:pPr>
        <w:spacing w:after="0" w:line="25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27" w:right="71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AMENDMENT TO FOURTH AMENDED AND RESTATED CREDIT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THIRD AMENDMENT TO FOURTH AMENDED AND RESTATED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the 26th day of February, 2026 is by and among PLAINS MARKETING, L.P., a Texas limited partnership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PLAINS MIDSTREAM CANADA ULC, a British Columbia unlimited liability company (“</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PLAINS CANADA LIQUID PIPELINES ULC, a British Columbia unlimited liability company (“PCLPULC”), PLAINS ALL AMERICAN PIPELINE, L.P., a Delaware limited partnership (“</w:t>
      </w:r>
      <w:r>
        <w:rPr>
          <w:rFonts w:ascii="Times New Roman" w:cs="Times New Roman" w:eastAsia="Times New Roman" w:hAnsi="Times New Roman"/>
          <w:sz w:val="18"/>
          <w:szCs w:val="18"/>
          <w:u w:val="single" w:color="auto"/>
          <w:color w:val="auto"/>
        </w:rPr>
        <w:t>PAA</w:t>
      </w:r>
      <w:r>
        <w:rPr>
          <w:rFonts w:ascii="Times New Roman" w:cs="Times New Roman" w:eastAsia="Times New Roman" w:hAnsi="Times New Roman"/>
          <w:sz w:val="18"/>
          <w:szCs w:val="18"/>
          <w:color w:val="auto"/>
        </w:rPr>
        <w:t>”), as guarantor, BANK OF AMERICA, N.A., as Administrative Agent, and the Lenders party hereto.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Borrowers, PAA, Administrative Agent and the L/C Issuers and Lenders party thereto entered into that certain Fourth Amended and Restated Credit Agreement dated as of August 20, 2021 (as amended by the First Amendment to Fourth Amended and Restated Credit Agreement dated as of August 22, 2022 and Second Amendment to Fourth Amended and Restated Credit Agreement dated as of August 19, 2024,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for the purposes and consideration therein expressed;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Borrowers, PCLPULC, PAA, Administrative Agent, and the Lenders party hereto desire to amend the Original Agreement to replace PMCULC as a Borrower under the Credit Agreement (as defined below) with PCLPULC, release PMCULC from all Obligations under the Loan Documents and release all PMCULC Collateral (as defined below);</w:t>
      </w:r>
    </w:p>
    <w:p>
      <w:pPr>
        <w:spacing w:after="0" w:line="176"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 — </w:t>
      </w:r>
      <w:r>
        <w:rPr>
          <w:rFonts w:ascii="Times New Roman" w:cs="Times New Roman" w:eastAsia="Times New Roman" w:hAnsi="Times New Roman"/>
          <w:sz w:val="18"/>
          <w:szCs w:val="18"/>
          <w:u w:val="single" w:color="auto"/>
          <w:color w:val="auto"/>
        </w:rPr>
        <w:t>Definitions and References</w:t>
      </w:r>
    </w:p>
    <w:p>
      <w:pPr>
        <w:spacing w:after="0" w:line="225" w:lineRule="exact"/>
        <w:rPr>
          <w:sz w:val="20"/>
          <w:szCs w:val="20"/>
          <w:color w:val="auto"/>
        </w:rPr>
      </w:pPr>
    </w:p>
    <w:p>
      <w:pPr>
        <w:ind w:right="20" w:firstLine="656"/>
        <w:spacing w:after="0" w:line="282" w:lineRule="auto"/>
        <w:tabs>
          <w:tab w:leader="none" w:pos="7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Terms Defined in the Original Agreement</w:t>
      </w:r>
      <w:r>
        <w:rPr>
          <w:rFonts w:ascii="Times New Roman" w:cs="Times New Roman" w:eastAsia="Times New Roman" w:hAnsi="Times New Roman"/>
          <w:sz w:val="18"/>
          <w:szCs w:val="18"/>
          <w:color w:val="auto"/>
        </w:rPr>
        <w:t>. Unless the context otherwise requires or unless otherwise expressly defined herein, the terms defined in the Credit Agreement shall have the same meanings whenever used in this Amendment.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7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Other Defined Terms</w:t>
      </w:r>
      <w:r>
        <w:rPr>
          <w:rFonts w:ascii="Times New Roman" w:cs="Times New Roman" w:eastAsia="Times New Roman" w:hAnsi="Times New Roman"/>
          <w:sz w:val="18"/>
          <w:szCs w:val="18"/>
          <w:color w:val="auto"/>
        </w:rPr>
        <w:t xml:space="preserve">. Unless the context otherwise requires, the following terms when used in this Amendment shall have the meanings assigned to them in this </w:t>
      </w:r>
      <w:r>
        <w:rPr>
          <w:rFonts w:ascii="Times New Roman" w:cs="Times New Roman" w:eastAsia="Times New Roman" w:hAnsi="Times New Roman"/>
          <w:sz w:val="18"/>
          <w:szCs w:val="18"/>
          <w:u w:val="single" w:color="auto"/>
          <w:color w:val="auto"/>
        </w:rPr>
        <w:t>§ 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means this Third Amendment to Fourth Amended and Restated Credit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 3.1</w:t>
      </w:r>
      <w:r>
        <w:rPr>
          <w:rFonts w:ascii="Times New Roman" w:cs="Times New Roman" w:eastAsia="Times New Roman" w:hAnsi="Times New Roman"/>
          <w:sz w:val="18"/>
          <w:szCs w:val="18"/>
          <w:color w:val="auto"/>
        </w:rPr>
        <w:t xml:space="preserve"> of this Amendment.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means the Original Agreement as amended hereby.</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PMCULC Collateral</w:t>
      </w:r>
      <w:r>
        <w:rPr>
          <w:rFonts w:ascii="Times New Roman" w:cs="Times New Roman" w:eastAsia="Times New Roman" w:hAnsi="Times New Roman"/>
          <w:sz w:val="18"/>
          <w:szCs w:val="18"/>
          <w:color w:val="auto"/>
        </w:rPr>
        <w:t>” means any and all Collateral owned by PMCULC and subject to a Lien granted by PMCULC in favor of Administrative Agent pursuant to the Collateral Documents.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II. — </w:t>
      </w:r>
      <w:r>
        <w:rPr>
          <w:rFonts w:ascii="Times New Roman" w:cs="Times New Roman" w:eastAsia="Times New Roman" w:hAnsi="Times New Roman"/>
          <w:sz w:val="18"/>
          <w:szCs w:val="18"/>
          <w:u w:val="single" w:color="auto"/>
          <w:color w:val="auto"/>
        </w:rPr>
        <w:t>Amendments</w:t>
      </w:r>
    </w:p>
    <w:p>
      <w:pPr>
        <w:spacing w:after="0" w:line="225" w:lineRule="exact"/>
        <w:rPr>
          <w:sz w:val="20"/>
          <w:szCs w:val="20"/>
          <w:color w:val="auto"/>
        </w:rPr>
      </w:pPr>
    </w:p>
    <w:p>
      <w:pPr>
        <w:ind w:right="20" w:firstLine="656"/>
        <w:spacing w:after="0" w:line="282" w:lineRule="auto"/>
        <w:tabs>
          <w:tab w:leader="none" w:pos="7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Replacement of PMCULC with PCLPULC; Release of PMCULC and Release of PMCULC Collateral</w:t>
      </w:r>
      <w:r>
        <w:rPr>
          <w:rFonts w:ascii="Times New Roman" w:cs="Times New Roman" w:eastAsia="Times New Roman" w:hAnsi="Times New Roman"/>
          <w:sz w:val="18"/>
          <w:szCs w:val="18"/>
          <w:color w:val="auto"/>
        </w:rPr>
        <w:t>. The Original Agreement is hereby amended as follows: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The reference to “PLAINS MIDSTREAM CANADA ULC” on the cover page of the Original Agreement shall refer instead to “PLAINS CANADA LIQUID PIPELINES ULC”, the reference to “PLAINS MIDSTREAM CANADA ULC, a British Columbia unlimited liability company (“</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set forth in the preamble of the Original Agreement shall refer instead to “PLAINS CANADA LIQUID PIPELINES ULC, a British Columbia unlimited liability company (“</w:t>
      </w:r>
      <w:r>
        <w:rPr>
          <w:rFonts w:ascii="Times New Roman" w:cs="Times New Roman" w:eastAsia="Times New Roman" w:hAnsi="Times New Roman"/>
          <w:sz w:val="18"/>
          <w:szCs w:val="18"/>
          <w:u w:val="single" w:color="auto"/>
          <w:color w:val="auto"/>
        </w:rPr>
        <w:t>PCLPULC</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definition of PMCULC set forth in Section 1.01 of the Original Agreement shall be replaced with the definition of “PCLPULC” set forth in the preamble hereof, and all references to PMCULC in the Original Agreement shall be amended to refer instead to PCLPULC (other than references to PMCULC set forth in the definition of “Existing Credit Agreement” and in Section 4.01 of the Original Agreement, which are retained for historical reference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2" w:name="page33"/>
    <w:bookmarkEnd w:id="3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PCLPULC shall constitute a Borrower for purposes of the Credit Agreement as if originally a party thereto and shall be entitled to request extensions of credit thereunder, and each Lender and each L/C Issuer agrees to extend credit to PCLPULC on the terms and conditions set forth in the Credit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PCLPULC agrees to be bound by the provisions of the Credit Agreement previously applicable to PMCULC as a Borrower thereunder, and PAA acknowledges and agrees that all payment Obligations of PCLPULC are and shall be guaranteed by PAA pursuant to the PAA Guaranty, which is hereby ratified and confirmed in all respects;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(h)            All commitments of the Lenders to make Loans or otherwise extend credit to PMCULC under the Credit Agreement shall be terminated and PMCULC shall be released from any Obligations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the avoidance of doubt, such release shall not release PAA from its guarantee of the payment Obligations of PMCULC pursuant to the PAA Guaranty; and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             PMCULC shall be released in full from any Obligations under the Collateral Documents and the other Loan Documents (except for any Obligations which shall expressly survive pursuant to the terms hereof or thereof), all Liens on PMCULC Collateral shall be released and terminated, and all PMCULC Collateral shall be released;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Company acknowledges and agrees that the foregoing release relates solely to PMCULC and PMCULC Collateral and shall in no way release, affect or impair any and all rights, titles, interests and Liens under the Security Agreement or other Collateral Documents against or with respect to the Company or any other Collateral.</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In furtherance of the foregoing, Administrative Agent and Lenders agree to deliver, at the Company’s expense, such additional documentation as the Company may reasonably request to effectuate the release of PMCULC and the PMCULC Collateral set forth in </w:t>
      </w:r>
      <w:r>
        <w:rPr>
          <w:rFonts w:ascii="Times New Roman" w:cs="Times New Roman" w:eastAsia="Times New Roman" w:hAnsi="Times New Roman"/>
          <w:sz w:val="18"/>
          <w:szCs w:val="18"/>
          <w:u w:val="single" w:color="auto"/>
          <w:color w:val="auto"/>
        </w:rPr>
        <w:t>clauses (d) and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 2.1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III. — </w:t>
      </w:r>
      <w:r>
        <w:rPr>
          <w:rFonts w:ascii="Times New Roman" w:cs="Times New Roman" w:eastAsia="Times New Roman" w:hAnsi="Times New Roman"/>
          <w:sz w:val="18"/>
          <w:szCs w:val="18"/>
          <w:u w:val="single" w:color="auto"/>
          <w:color w:val="auto"/>
        </w:rPr>
        <w:t>Conditions of Effectiveness</w:t>
      </w:r>
    </w:p>
    <w:p>
      <w:pPr>
        <w:spacing w:after="0" w:line="225" w:lineRule="exact"/>
        <w:rPr>
          <w:sz w:val="20"/>
          <w:szCs w:val="20"/>
          <w:color w:val="auto"/>
        </w:rPr>
      </w:pPr>
    </w:p>
    <w:p>
      <w:pPr>
        <w:ind w:right="20" w:firstLine="656"/>
        <w:spacing w:after="0" w:line="282" w:lineRule="auto"/>
        <w:tabs>
          <w:tab w:leader="none" w:pos="7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Amendment Effective Date</w:t>
      </w:r>
      <w:r>
        <w:rPr>
          <w:rFonts w:ascii="Times New Roman" w:cs="Times New Roman" w:eastAsia="Times New Roman" w:hAnsi="Times New Roman"/>
          <w:sz w:val="18"/>
          <w:szCs w:val="18"/>
          <w:color w:val="auto"/>
        </w:rPr>
        <w:t>. This Amendment shall become effective as of the date first written above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upon the satisfaction of the following conditions precedent: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The Administrative Agent’s receipt of the following, each of which shall be originals, telecopies or other electronic copies (followed promptly by originals) unless otherwise specified, each properly executed by a Responsible Officer of the signing Loan Party, as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(viii)         executed counterparts of this Amendment from each Borrower, PCLPULC, PAA, Administrative Agent and all Lenders, sufficient in number for distribution to the Administrative Agent, each Lender and the Company;</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(ix)            executed counterparts of a joinder to the Security Agreement executed by PCLPULC pursuant to which PCLPULC joins the Security Agreement as a debtor thereunder and grants a security interest in the Collateral described therein in favor of Administrative Agent to secure its obligations and indebtedness under the Credit Agreement, together with financing statements that the Administrative Agent, in its reasonable opinion, may deem necessary to perfect the Liens created under the Security Agreement thereby, covering the Collateral described in the Security Agreement, recent financing statement searches in its jurisdiction of organization that name PCLPULC as debtor, and such other Collateral Documents as the Administrative Agent, in its reasonable opinion, may deem necessary to perfect the Liens created thereby;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(x)              if so requested at least three Business Days prior to the Amendment Effective Date, a Swing Line Note executed by PCLPULC in favor of the Swing Line Lender and a Committed Loan Note executed by PCLPULC in favor of each requesting Lender;</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(xi)            such certificates of resolutions or other action, incumbency certificates and/or other certificates of Responsible Officers of PCLPULC as the Administrative Agent may reasonably require evidencing the identity, authority and capacity of each Responsible Officer thereof authorized to act as a Responsible Officer in connection with this Amendment, the Credit Agreement, the Security Agreement and the other Loan Documents to which PCLPULC is a party;</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(xii)           such documents and certifications as the Administrative Agent may reasonably require to evidence that PCLPULC is duly organized or formed, and that PCLPULC is validly existing and in good standing in its jurisdiction of organization, issued by the appropriate authorities of such jurisdiction;</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(xiii)           favorable opinions of (A) Richard McGee, Esq., General Counsel for the Company, PCLPULC and PAA, (B) Vinson &amp; Elkins LLP, special Texas and New York counsel to the Company, PCLPULC and PAA, and (C) Cox Taylor, special Canadian counsel to PCLPULC, addressed to the Administrative Agent and each Lender;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(xiv)          a certificate signed by a Responsible Officer of the Company certifying (A) that the conditions specified in Section 4.02(a) and</w:t>
      </w:r>
    </w:p>
    <w:p>
      <w:pPr>
        <w:spacing w:after="0" w:line="27" w:lineRule="exact"/>
        <w:rPr>
          <w:sz w:val="20"/>
          <w:szCs w:val="20"/>
          <w:color w:val="auto"/>
        </w:rPr>
      </w:pPr>
    </w:p>
    <w:p>
      <w:pPr>
        <w:ind w:left="660" w:hanging="4"/>
        <w:spacing w:after="0" w:line="260" w:lineRule="auto"/>
        <w:tabs>
          <w:tab w:leader="none" w:pos="9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Credit Agreement have been satisfied, (B) that PCLPULC is a wholly-owned Subsidiary of PAA and (C) PCLPULC’s true and correct Canadian corporate access number and jurisdiction of organization; and</w:t>
      </w:r>
    </w:p>
    <w:p>
      <w:pPr>
        <w:spacing w:after="0" w:line="18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(xv)           such other assurances, certificates, documents, consents or opinions as the Administrative Agent may reasonably require.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All consents, licenses and approvals required in connection with the execution, delivery and performance by each Loan Party and the validity against each Loan Party of this Amendment and each of the other Loan Documents to which it is a party shall have been obtained and shall be in full force and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The Company shall have paid all reasonable fees, charges and disbursements of counsel to the Administrative Agent to the extent invoiced prior to the Amendment Effective Date.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            (i) Upon the reasonable request of any Lender made at least five days prior to the Amendment Effective Date, the Company shall have provided to such Lender with respect to PCLPULC, and such Lender shall be reasonably satisfied with, the documentation and other information so requested with respect to PCLPULC in connection with applicable “know your customer” and anti-money-laundering rules and regulations, including, without limitation, the PATRIOT Act, in each case at least three days prior to the Amendment Effective Date, and (ii) if PCLPULC qualifies as a “legal entity customer” under the Beneficial Ownership Regulation, PCLPULC shall have delivered, to each Lender that so requests, a Beneficial Ownership Certification in relation to it.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All outstanding Loans and other Obligations owing by PMCULC to Administrative Agent and/or Lenders shall have been paid in full.</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the conditions specified in this </w:t>
      </w:r>
      <w:r>
        <w:rPr>
          <w:rFonts w:ascii="Times New Roman" w:cs="Times New Roman" w:eastAsia="Times New Roman" w:hAnsi="Times New Roman"/>
          <w:sz w:val="18"/>
          <w:szCs w:val="18"/>
          <w:u w:val="single" w:color="auto"/>
          <w:color w:val="auto"/>
        </w:rPr>
        <w:t>§ 3.1</w:t>
      </w:r>
      <w:r>
        <w:rPr>
          <w:rFonts w:ascii="Times New Roman" w:cs="Times New Roman" w:eastAsia="Times New Roman" w:hAnsi="Times New Roman"/>
          <w:sz w:val="18"/>
          <w:szCs w:val="18"/>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the Company with a copy of any such notice received by the Administrative Agent.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 xml:space="preserve">ARTICLE IV. — </w:t>
      </w: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jc w:val="both"/>
        <w:ind w:firstLine="656"/>
        <w:spacing w:after="0" w:line="266" w:lineRule="auto"/>
        <w:tabs>
          <w:tab w:leader="none" w:pos="7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Representations and Warranties of the Company, PMCULC and PCLPULC</w:t>
      </w:r>
      <w:r>
        <w:rPr>
          <w:rFonts w:ascii="Times New Roman" w:cs="Times New Roman" w:eastAsia="Times New Roman" w:hAnsi="Times New Roman"/>
          <w:sz w:val="18"/>
          <w:szCs w:val="18"/>
          <w:color w:val="auto"/>
        </w:rPr>
        <w:t>. In order to induce Administrative Agent, L/C Issuers and Lenders to enter into this Amendment, the Company (and each of PMCULC and PCLPULC, solely as to itself) represents and warrants to Administrative Agent, L/C Issuers and each Lender that: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The representations and warranties of (i) the Company (and each of PMCULC and PCLPULC, solely as to itself)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Credit Agreement and (ii) each Loan Party in any other Loan Document are true and correct in all material respects on and as of the Amendment Effective Date,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Times New Roman" w:cs="Times New Roman" w:eastAsia="Times New Roman" w:hAnsi="Times New Roman"/>
          <w:sz w:val="18"/>
          <w:szCs w:val="18"/>
          <w:u w:val="single" w:color="auto"/>
          <w:color w:val="auto"/>
        </w:rPr>
        <w:t>subsections (a) and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of the Credit Agreement shall be deemed to refer to the most recent statements furnished pursuant to clauses (a)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Credit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No Default has occurred and is continuing as of the Amendment Effective Date or would immediately result from the effectiveness hereof.</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V. — </w:t>
      </w: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656"/>
        <w:spacing w:after="0" w:line="254" w:lineRule="auto"/>
        <w:tabs>
          <w:tab w:leader="none" w:pos="8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Ratification of Agreements</w:t>
      </w:r>
      <w:r>
        <w:rPr>
          <w:rFonts w:ascii="Times New Roman" w:cs="Times New Roman" w:eastAsia="Times New Roman" w:hAnsi="Times New Roman"/>
          <w:sz w:val="18"/>
          <w:szCs w:val="18"/>
          <w:color w:val="auto"/>
        </w:rPr>
        <w:t>. The Original Agreement, as hereby amended, is hereby ratified and confirmed in all respects. The Loan Documents, as they may be amended or affected by this Amendment, are hereby ratified and confirmed in all respects by each Borrower and PAA. Any reference to the Original Agreement in any Loan Document shall be deemed to refer to the Credit Agreement. Upon and after the effectiveness hereof,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amended hereby. The execution, delivery and effectiveness of this Amendment shall not, except as expressly provided herein, operate as a waiver of any right, power or remedy of Administrative Agent, any L/C Issuer or any Lender under the Credit Agreement or any other Loan Document nor constitute a waiver of any provision of the Credit Agreement or any other Loan Document.</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7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Ratification of PAA Guaranty and Collateral Documents</w:t>
      </w:r>
      <w:r>
        <w:rPr>
          <w:rFonts w:ascii="Times New Roman" w:cs="Times New Roman" w:eastAsia="Times New Roman" w:hAnsi="Times New Roman"/>
          <w:sz w:val="18"/>
          <w:szCs w:val="18"/>
          <w:color w:val="auto"/>
        </w:rPr>
        <w:t>. PAA, by its signature hereto, represents and warrants that PAA has no defense to the enforcement of the PAA Guaranty, and that according to its terms the PAA Guaranty will continue in full force and effect to guaranty each Borrower’s Obligations and the other amounts described in the PAA Guaranty following execution of this Amendment. The Company, PCLPULC, Administrative Agent, L/C Issuers and Lenders each acknowledges and agrees that any and all Obligations of each of the Company and PCLPULC are secured indebtedness under, and are secured by, each and every Collateral Document with respect to the Collateral pledged thereunder by the Company and PCLPULC, respectively. The Company and PCLPULC each hereby re-pledges, re-grants and re-assigns a security interest in and lien on every asset owned thereby described as Collateral in any Collateral Document.</w:t>
      </w:r>
    </w:p>
    <w:p>
      <w:pPr>
        <w:spacing w:after="0" w:line="188"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Loan Documents</w:t>
      </w:r>
      <w:r>
        <w:rPr>
          <w:rFonts w:ascii="Times New Roman" w:cs="Times New Roman" w:eastAsia="Times New Roman" w:hAnsi="Times New Roman"/>
          <w:sz w:val="18"/>
          <w:szCs w:val="18"/>
          <w:color w:val="auto"/>
        </w:rPr>
        <w:t>. This Amendment is a Loan Document, and all provisions in the Credit Agreement pertaining to Loan Documents apply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w:t>
      </w:r>
    </w:p>
    <w:p>
      <w:pPr>
        <w:spacing w:after="0" w:line="202" w:lineRule="exact"/>
        <w:rPr>
          <w:rFonts w:ascii="Times New Roman" w:cs="Times New Roman" w:eastAsia="Times New Roman" w:hAnsi="Times New Roman"/>
          <w:sz w:val="18"/>
          <w:szCs w:val="18"/>
          <w:color w:val="auto"/>
        </w:rPr>
      </w:pPr>
    </w:p>
    <w:p>
      <w:pPr>
        <w:ind w:right="20" w:firstLine="656"/>
        <w:spacing w:after="0" w:line="286" w:lineRule="auto"/>
        <w:tabs>
          <w:tab w:leader="none" w:pos="783"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5.4.      GOVERNING LAW.</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THIS AMENDMENT SHALL BE GOVERNED BY, AND CONSTRUED IN ACCORDANCE WITH, THE LAWS OF THE STATE OF NEW YORK</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jc w:val="both"/>
        <w:ind w:firstLine="656"/>
        <w:spacing w:after="0" w:line="263" w:lineRule="auto"/>
        <w:tabs>
          <w:tab w:leader="none" w:pos="7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399" w:lineRule="exact"/>
        <w:rPr>
          <w:rFonts w:ascii="Times New Roman" w:cs="Times New Roman" w:eastAsia="Times New Roman" w:hAnsi="Times New Roman"/>
          <w:sz w:val="18"/>
          <w:szCs w:val="18"/>
          <w:color w:val="auto"/>
        </w:rPr>
      </w:pPr>
    </w:p>
    <w:p>
      <w:pPr>
        <w:jc w:val="both"/>
        <w:ind w:firstLine="656"/>
        <w:spacing w:after="0" w:line="266" w:lineRule="auto"/>
        <w:tabs>
          <w:tab w:leader="none" w:pos="7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IN WITNESS WHEREOF, this Amendment is executed as of the date first above written.</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PLAINS MARKETING, L.P.</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color w:val="auto"/>
        </w:rPr>
        <w:t>By: PLAINS GP LLC,</w:t>
      </w:r>
    </w:p>
    <w:p>
      <w:pPr>
        <w:spacing w:after="0" w:line="27"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Senior Vice President and Treasurer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PLAINS MIDSTREAM CANADA ULC</w:t>
      </w:r>
      <w:r>
        <w:rPr>
          <w:rFonts w:ascii="Times New Roman" w:cs="Times New Roman" w:eastAsia="Times New Roman" w:hAnsi="Times New Roman"/>
          <w:sz w:val="18"/>
          <w:szCs w:val="18"/>
          <w:color w:val="auto"/>
        </w:rPr>
        <w:t>, as a Borrower</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Senior Vice President and Treasurer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PLAINS ALL AMERICAN GP LLC,</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Senior Vice President and Treasurer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PLAINS CANADA LIQUID PIPELINES ULC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Senior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36" w:name="page37"/>
    <w:bookmarkEnd w:id="36"/>
    <w:p>
      <w:pPr>
        <w:ind w:left="4520"/>
        <w:spacing w:after="0"/>
        <w:rPr>
          <w:sz w:val="20"/>
          <w:szCs w:val="20"/>
          <w:color w:val="auto"/>
        </w:rPr>
      </w:pPr>
      <w:r>
        <w:rPr>
          <w:rFonts w:ascii="Times New Roman" w:cs="Times New Roman" w:eastAsia="Times New Roman" w:hAnsi="Times New Roman"/>
          <w:sz w:val="17"/>
          <w:szCs w:val="17"/>
          <w:b w:val="1"/>
          <w:bCs w:val="1"/>
          <w:color w:val="auto"/>
        </w:rPr>
        <w:t>BANK OF AMERICA, N.A.,</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Melanie Brichant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Melanie Brichant</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AVP</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7" w:name="page38"/>
    <w:bookmarkEnd w:id="37"/>
    <w:p>
      <w:pPr>
        <w:ind w:left="452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Lender, an L/C Issuer and Swing Line Lender</w:t>
      </w:r>
    </w:p>
    <w:p>
      <w:pPr>
        <w:spacing w:after="0" w:line="218"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Megan Baqui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Megan Baqui</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38" w:name="page39"/>
    <w:bookmarkEnd w:id="38"/>
    <w:p>
      <w:pPr>
        <w:ind w:left="4520"/>
        <w:spacing w:after="0"/>
        <w:rPr>
          <w:sz w:val="20"/>
          <w:szCs w:val="20"/>
          <w:color w:val="auto"/>
        </w:rPr>
      </w:pPr>
      <w:r>
        <w:rPr>
          <w:rFonts w:ascii="Times New Roman" w:cs="Times New Roman" w:eastAsia="Times New Roman" w:hAnsi="Times New Roman"/>
          <w:sz w:val="17"/>
          <w:szCs w:val="17"/>
          <w:b w:val="1"/>
          <w:bCs w:val="1"/>
          <w:color w:val="auto"/>
        </w:rPr>
        <w:t>CITIBANK, N.A</w:t>
      </w:r>
      <w:r>
        <w:rPr>
          <w:rFonts w:ascii="Times New Roman" w:cs="Times New Roman" w:eastAsia="Times New Roman" w:hAnsi="Times New Roman"/>
          <w:sz w:val="17"/>
          <w:szCs w:val="17"/>
          <w:color w:val="auto"/>
        </w:rPr>
        <w:t>., as a Lender and an L/C Issuer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Gabriel Juarez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Gabriel Juarez</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39" w:name="page40"/>
    <w:bookmarkEnd w:id="39"/>
    <w:p>
      <w:pPr>
        <w:ind w:left="45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 and an L/C Issuer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Anca Loghin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Anca Loghin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40" w:name="page41"/>
    <w:bookmarkEnd w:id="40"/>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 as a Lender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L/C Issuer</w:t>
      </w:r>
    </w:p>
    <w:p>
      <w:pPr>
        <w:spacing w:after="0" w:line="15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Emily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Emily Board</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5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60"/>
          </w:cols>
          <w:pgMar w:left="1440" w:top="927" w:right="499" w:bottom="1440" w:gutter="0" w:footer="0" w:header="0"/>
        </w:sectPr>
      </w:pPr>
    </w:p>
    <w:bookmarkStart w:id="41" w:name="page42"/>
    <w:bookmarkEnd w:id="41"/>
    <w:p>
      <w:pPr>
        <w:ind w:left="4520"/>
        <w:spacing w:after="0"/>
        <w:rPr>
          <w:sz w:val="20"/>
          <w:szCs w:val="20"/>
          <w:color w:val="auto"/>
        </w:rPr>
      </w:pPr>
      <w:r>
        <w:rPr>
          <w:rFonts w:ascii="Times New Roman" w:cs="Times New Roman" w:eastAsia="Times New Roman" w:hAnsi="Times New Roman"/>
          <w:sz w:val="17"/>
          <w:szCs w:val="17"/>
          <w:b w:val="1"/>
          <w:bCs w:val="1"/>
          <w:color w:val="auto"/>
        </w:rPr>
        <w:t>BANCO BILBAO VIZCAYA ARGENTARIA, S.A.</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NEW YORK BRANCH</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Cara Younger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42" w:name="page43"/>
    <w:bookmarkEnd w:id="42"/>
    <w:p>
      <w:pPr>
        <w:ind w:left="4520"/>
        <w:spacing w:after="0"/>
        <w:rPr>
          <w:sz w:val="20"/>
          <w:szCs w:val="20"/>
          <w:color w:val="auto"/>
        </w:rPr>
      </w:pPr>
      <w:r>
        <w:rPr>
          <w:rFonts w:ascii="Times New Roman" w:cs="Times New Roman" w:eastAsia="Times New Roman" w:hAnsi="Times New Roman"/>
          <w:sz w:val="18"/>
          <w:szCs w:val="18"/>
          <w:b w:val="1"/>
          <w:bCs w:val="1"/>
          <w:color w:val="auto"/>
        </w:rPr>
        <w:t>BANK OF MONTREAL</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Patrick Johnston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 on behalf of its Chicago Branch</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43" w:name="page44"/>
    <w:bookmarkEnd w:id="43"/>
    <w:p>
      <w:pPr>
        <w:ind w:left="4520"/>
        <w:spacing w:after="0"/>
        <w:rPr>
          <w:sz w:val="20"/>
          <w:szCs w:val="20"/>
          <w:color w:val="auto"/>
        </w:rPr>
      </w:pPr>
      <w:r>
        <w:rPr>
          <w:rFonts w:ascii="Times New Roman" w:cs="Times New Roman" w:eastAsia="Times New Roman" w:hAnsi="Times New Roman"/>
          <w:sz w:val="17"/>
          <w:szCs w:val="17"/>
          <w:b w:val="1"/>
          <w:bCs w:val="1"/>
          <w:color w:val="auto"/>
        </w:rPr>
        <w:t>BANK OF NOVA SCOTIA, HOUSTON BRANCH,</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Priyanka MacRae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Priyanka MacRae</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44" w:name="page45"/>
    <w:bookmarkEnd w:id="44"/>
    <w:p>
      <w:pPr>
        <w:ind w:left="5640"/>
        <w:spacing w:after="0"/>
        <w:rPr>
          <w:sz w:val="20"/>
          <w:szCs w:val="20"/>
          <w:color w:val="auto"/>
        </w:rPr>
      </w:pPr>
      <w:r>
        <w:rPr>
          <w:rFonts w:ascii="Times New Roman" w:cs="Times New Roman" w:eastAsia="Times New Roman" w:hAnsi="Times New Roman"/>
          <w:sz w:val="18"/>
          <w:szCs w:val="18"/>
          <w:b w:val="1"/>
          <w:bCs w:val="1"/>
          <w:color w:val="auto"/>
        </w:rPr>
        <w:t>BARCLAYS BANK PLC</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Sydney G. Dennis</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Sydney G. Dennis</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75"/>
        </w:trPr>
        <w:tc>
          <w:tcPr>
            <w:tcW w:w="6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10</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45" w:name="page46"/>
    <w:bookmarkEnd w:id="45"/>
    <w:p>
      <w:pPr>
        <w:ind w:left="5640"/>
        <w:spacing w:after="0"/>
        <w:rPr>
          <w:sz w:val="20"/>
          <w:szCs w:val="20"/>
          <w:color w:val="auto"/>
        </w:rPr>
      </w:pPr>
      <w:r>
        <w:rPr>
          <w:rFonts w:ascii="Times New Roman" w:cs="Times New Roman" w:eastAsia="Times New Roman" w:hAnsi="Times New Roman"/>
          <w:sz w:val="18"/>
          <w:szCs w:val="18"/>
          <w:b w:val="1"/>
          <w:bCs w:val="1"/>
          <w:color w:val="auto"/>
        </w:rPr>
        <w:t>CANADIAN IMPERIAL BANK OF COMMERCE, NEW YORK</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BRANCH</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W. Danvers</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W. Danvers</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Donovan C. Broussard</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Donovan C. Broussard</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75"/>
        </w:trPr>
        <w:tc>
          <w:tcPr>
            <w:tcW w:w="620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46" w:name="page47"/>
    <w:bookmarkEnd w:id="46"/>
    <w:p>
      <w:pPr>
        <w:ind w:left="4520"/>
        <w:spacing w:after="0"/>
        <w:rPr>
          <w:sz w:val="20"/>
          <w:szCs w:val="20"/>
          <w:color w:val="auto"/>
        </w:rPr>
      </w:pPr>
      <w:r>
        <w:rPr>
          <w:rFonts w:ascii="Times New Roman" w:cs="Times New Roman" w:eastAsia="Times New Roman" w:hAnsi="Times New Roman"/>
          <w:sz w:val="18"/>
          <w:szCs w:val="18"/>
          <w:b w:val="1"/>
          <w:bCs w:val="1"/>
          <w:color w:val="auto"/>
        </w:rPr>
        <w:t>COBANK ACB</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Connor Schrotel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Connor Schrotel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47" w:name="page48"/>
    <w:bookmarkEnd w:id="47"/>
    <w:p>
      <w:pPr>
        <w:ind w:left="4520"/>
        <w:spacing w:after="0"/>
        <w:rPr>
          <w:sz w:val="20"/>
          <w:szCs w:val="20"/>
          <w:color w:val="auto"/>
        </w:rPr>
      </w:pPr>
      <w:r>
        <w:rPr>
          <w:rFonts w:ascii="Times New Roman" w:cs="Times New Roman" w:eastAsia="Times New Roman" w:hAnsi="Times New Roman"/>
          <w:sz w:val="17"/>
          <w:szCs w:val="17"/>
          <w:b w:val="1"/>
          <w:bCs w:val="1"/>
          <w:color w:val="auto"/>
        </w:rPr>
        <w:t>ING CAPITAL LLC</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Subha Pasumarti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Subha Pasumarti</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Anthony Rivera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48" w:name="page49"/>
    <w:bookmarkEnd w:id="48"/>
    <w:p>
      <w:pPr>
        <w:ind w:left="4520"/>
        <w:spacing w:after="0"/>
        <w:rPr>
          <w:sz w:val="20"/>
          <w:szCs w:val="20"/>
          <w:color w:val="auto"/>
        </w:rPr>
      </w:pPr>
      <w:r>
        <w:rPr>
          <w:rFonts w:ascii="Times New Roman" w:cs="Times New Roman" w:eastAsia="Times New Roman" w:hAnsi="Times New Roman"/>
          <w:sz w:val="17"/>
          <w:szCs w:val="17"/>
          <w:b w:val="1"/>
          <w:bCs w:val="1"/>
          <w:color w:val="auto"/>
        </w:rPr>
        <w:t>MIZUHO BANK, LTD</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Edward Sacks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49" w:name="page50"/>
    <w:bookmarkEnd w:id="49"/>
    <w:p>
      <w:pPr>
        <w:ind w:left="4520"/>
        <w:spacing w:after="0"/>
        <w:rPr>
          <w:sz w:val="20"/>
          <w:szCs w:val="20"/>
          <w:color w:val="auto"/>
        </w:rPr>
      </w:pPr>
      <w:r>
        <w:rPr>
          <w:rFonts w:ascii="Times New Roman" w:cs="Times New Roman" w:eastAsia="Times New Roman" w:hAnsi="Times New Roman"/>
          <w:sz w:val="17"/>
          <w:szCs w:val="17"/>
          <w:b w:val="1"/>
          <w:bCs w:val="1"/>
          <w:color w:val="auto"/>
        </w:rPr>
        <w:t>MUFG BANK, LTD.</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Vidhya Rajasekar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Vidhya Rajasekar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50" w:name="page51"/>
    <w:bookmarkEnd w:id="50"/>
    <w:p>
      <w:pPr>
        <w:ind w:left="4520"/>
        <w:spacing w:after="0"/>
        <w:rPr>
          <w:sz w:val="20"/>
          <w:szCs w:val="20"/>
          <w:color w:val="auto"/>
        </w:rPr>
      </w:pPr>
      <w:r>
        <w:rPr>
          <w:rFonts w:ascii="Times New Roman" w:cs="Times New Roman" w:eastAsia="Times New Roman" w:hAnsi="Times New Roman"/>
          <w:sz w:val="17"/>
          <w:szCs w:val="17"/>
          <w:b w:val="1"/>
          <w:bCs w:val="1"/>
          <w:color w:val="auto"/>
        </w:rPr>
        <w:t>PNC BANK, NATIONAL ASSOCIATION,</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Danielle Bericky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Danielle Bericky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PNC BANK CANADA BRANCH,</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Cameron Ruff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Cameron Ruff</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51" w:name="page52"/>
    <w:bookmarkEnd w:id="51"/>
    <w:p>
      <w:pPr>
        <w:ind w:left="4520"/>
        <w:spacing w:after="0"/>
        <w:rPr>
          <w:sz w:val="20"/>
          <w:szCs w:val="20"/>
          <w:color w:val="auto"/>
        </w:rPr>
      </w:pPr>
      <w:r>
        <w:rPr>
          <w:rFonts w:ascii="Times New Roman" w:cs="Times New Roman" w:eastAsia="Times New Roman" w:hAnsi="Times New Roman"/>
          <w:sz w:val="18"/>
          <w:szCs w:val="18"/>
          <w:b w:val="1"/>
          <w:bCs w:val="1"/>
          <w:color w:val="auto"/>
        </w:rPr>
        <w:t>REGIONS BANK</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David Valentine</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52" w:name="page53"/>
    <w:bookmarkEnd w:id="52"/>
    <w:p>
      <w:pPr>
        <w:ind w:left="4520"/>
        <w:spacing w:after="0"/>
        <w:rPr>
          <w:sz w:val="20"/>
          <w:szCs w:val="20"/>
          <w:color w:val="auto"/>
        </w:rPr>
      </w:pPr>
      <w:r>
        <w:rPr>
          <w:rFonts w:ascii="Times New Roman" w:cs="Times New Roman" w:eastAsia="Times New Roman" w:hAnsi="Times New Roman"/>
          <w:sz w:val="17"/>
          <w:szCs w:val="17"/>
          <w:b w:val="1"/>
          <w:bCs w:val="1"/>
          <w:color w:val="auto"/>
        </w:rPr>
        <w:t>ROYAL BANK OF CANADA</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Emilee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Emilee Scott</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53" w:name="page54"/>
    <w:bookmarkEnd w:id="53"/>
    <w:p>
      <w:pPr>
        <w:ind w:left="4520"/>
        <w:spacing w:after="0"/>
        <w:rPr>
          <w:sz w:val="20"/>
          <w:szCs w:val="20"/>
          <w:color w:val="auto"/>
        </w:rPr>
      </w:pPr>
      <w:r>
        <w:rPr>
          <w:rFonts w:ascii="Times New Roman" w:cs="Times New Roman" w:eastAsia="Times New Roman" w:hAnsi="Times New Roman"/>
          <w:sz w:val="17"/>
          <w:szCs w:val="17"/>
          <w:b w:val="1"/>
          <w:bCs w:val="1"/>
          <w:color w:val="auto"/>
        </w:rPr>
        <w:t>SUMITOMO MITSUI BANKING CORPORATION</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Irlen 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Irlen Mak</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0" w:lineRule="exact"/>
        <w:rPr>
          <w:sz w:val="20"/>
          <w:szCs w:val="20"/>
          <w:color w:val="auto"/>
        </w:rPr>
      </w:pPr>
    </w:p>
    <w:p>
      <w:pPr>
        <w:spacing w:after="0" w:line="25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80"/>
          </w:cols>
          <w:pgMar w:left="1440" w:top="927" w:right="979" w:bottom="1440" w:gutter="0" w:footer="0" w:header="0"/>
        </w:sectPr>
      </w:pPr>
    </w:p>
    <w:bookmarkStart w:id="54" w:name="page55"/>
    <w:bookmarkEnd w:id="54"/>
    <w:p>
      <w:pPr>
        <w:ind w:left="4520"/>
        <w:spacing w:after="0"/>
        <w:rPr>
          <w:sz w:val="20"/>
          <w:szCs w:val="20"/>
          <w:color w:val="auto"/>
        </w:rPr>
      </w:pPr>
      <w:r>
        <w:rPr>
          <w:rFonts w:ascii="Times New Roman" w:cs="Times New Roman" w:eastAsia="Times New Roman" w:hAnsi="Times New Roman"/>
          <w:sz w:val="17"/>
          <w:szCs w:val="17"/>
          <w:b w:val="1"/>
          <w:bCs w:val="1"/>
          <w:color w:val="auto"/>
        </w:rPr>
        <w:t>THE TORONTO-DOMINION BANK,</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NEW YORK BRANCH</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Jonathan Schwartz</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55" w:name="page56"/>
    <w:bookmarkEnd w:id="55"/>
    <w:p>
      <w:pPr>
        <w:ind w:left="4520"/>
        <w:spacing w:after="0"/>
        <w:rPr>
          <w:sz w:val="20"/>
          <w:szCs w:val="20"/>
          <w:color w:val="auto"/>
        </w:rPr>
      </w:pPr>
      <w:r>
        <w:rPr>
          <w:rFonts w:ascii="Times New Roman" w:cs="Times New Roman" w:eastAsia="Times New Roman" w:hAnsi="Times New Roman"/>
          <w:sz w:val="18"/>
          <w:szCs w:val="18"/>
          <w:b w:val="1"/>
          <w:bCs w:val="1"/>
          <w:color w:val="auto"/>
        </w:rPr>
        <w:t>TRUIST BANK</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Lincoln LaCour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56" w:name="page57"/>
    <w:bookmarkEnd w:id="56"/>
    <w:p>
      <w:pPr>
        <w:ind w:left="4520"/>
        <w:spacing w:after="0"/>
        <w:rPr>
          <w:sz w:val="20"/>
          <w:szCs w:val="20"/>
          <w:color w:val="auto"/>
        </w:rPr>
      </w:pPr>
      <w:r>
        <w:rPr>
          <w:rFonts w:ascii="Times New Roman" w:cs="Times New Roman" w:eastAsia="Times New Roman" w:hAnsi="Times New Roman"/>
          <w:sz w:val="17"/>
          <w:szCs w:val="17"/>
          <w:b w:val="1"/>
          <w:bCs w:val="1"/>
          <w:color w:val="auto"/>
        </w:rPr>
        <w:t>U.S. BANK NATIONAL ASSOCIATION,</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David Lawrence</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57" w:name="page58"/>
    <w:bookmarkEnd w:id="57"/>
    <w:p>
      <w:pPr>
        <w:ind w:left="4520"/>
        <w:spacing w:after="0"/>
        <w:rPr>
          <w:sz w:val="20"/>
          <w:szCs w:val="20"/>
          <w:color w:val="auto"/>
        </w:rPr>
      </w:pPr>
      <w:r>
        <w:rPr>
          <w:rFonts w:ascii="Times New Roman" w:cs="Times New Roman" w:eastAsia="Times New Roman" w:hAnsi="Times New Roman"/>
          <w:sz w:val="17"/>
          <w:szCs w:val="17"/>
          <w:b w:val="1"/>
          <w:bCs w:val="1"/>
          <w:color w:val="auto"/>
        </w:rPr>
        <w:t>ZIONS BANCORPORATION, N.A. DBA AMEGY BANK</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Cameron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Cameron Burns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5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40"/>
          </w:cols>
          <w:pgMar w:left="1440" w:top="927" w:right="519" w:bottom="1440" w:gutter="0" w:footer="0" w:header="0"/>
        </w:sectPr>
      </w:pPr>
    </w:p>
    <w:bookmarkStart w:id="58" w:name="page59"/>
    <w:bookmarkEnd w:id="58"/>
    <w:p>
      <w:pPr>
        <w:ind w:left="4520"/>
        <w:spacing w:after="0"/>
        <w:rPr>
          <w:sz w:val="20"/>
          <w:szCs w:val="20"/>
          <w:color w:val="auto"/>
        </w:rPr>
      </w:pPr>
      <w:r>
        <w:rPr>
          <w:rFonts w:ascii="Times New Roman" w:cs="Times New Roman" w:eastAsia="Times New Roman" w:hAnsi="Times New Roman"/>
          <w:sz w:val="17"/>
          <w:szCs w:val="17"/>
          <w:b w:val="1"/>
          <w:bCs w:val="1"/>
          <w:color w:val="auto"/>
        </w:rPr>
        <w:t>MORGAN STANLEY BANK, N.A.</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Karina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Karina Rodriguez</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59" w:name="page60"/>
    <w:bookmarkEnd w:id="59"/>
    <w:p>
      <w:pPr>
        <w:ind w:left="4520"/>
        <w:spacing w:after="0"/>
        <w:rPr>
          <w:sz w:val="20"/>
          <w:szCs w:val="20"/>
          <w:color w:val="auto"/>
        </w:rPr>
      </w:pPr>
      <w:r>
        <w:rPr>
          <w:rFonts w:ascii="Times New Roman" w:cs="Times New Roman" w:eastAsia="Times New Roman" w:hAnsi="Times New Roman"/>
          <w:sz w:val="18"/>
          <w:szCs w:val="18"/>
          <w:b w:val="1"/>
          <w:bCs w:val="1"/>
          <w:color w:val="auto"/>
        </w:rPr>
        <w:t>AGRICULTURAL BANK OF CHINA LIMITED</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Nelson Chou</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&amp; Head of Corporate Banking Department</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740"/>
      </w:cols>
      <w:pgMar w:left="1440" w:top="92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Letter"/>
      <w:start w:val="2"/>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2026-03-03T15:14:46Z</dcterms:created>
  <dcterms:modified xsi:type="dcterms:W3CDTF">2026-03-03T15:14:46Z</dcterms:modified>
</cp:coreProperties>
</file>