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mc:AlternateContent>
          <mc:Choice Requires="wps">
            <w:drawing>
              <wp:anchor simplePos="0" relativeHeight="251657728" behindDoc="1" locked="0" layoutInCell="0" allowOverlap="1">
                <wp:simplePos x="0" y="0"/>
                <wp:positionH relativeFrom="page">
                  <wp:posOffset>223520</wp:posOffset>
                </wp:positionH>
                <wp:positionV relativeFrom="page">
                  <wp:posOffset>627380</wp:posOffset>
                </wp:positionV>
                <wp:extent cx="709612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6125" cy="4763"/>
                        </a:xfrm>
                        <a:prstGeom prst="line">
                          <a:avLst/>
                        </a:prstGeom>
                        <a:solidFill>
                          <a:srgbClr val="FFFFFF"/>
                        </a:solidFill>
                        <a:ln w="24637">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pt,49.4pt" to="576.35pt,49.4pt" o:allowincell="f" strokecolor="#000000" strokeweight="1.9399pt">
                <w10:wrap anchorx="page" anchory="page"/>
              </v:line>
            </w:pict>
          </mc:Fallback>
        </mc:AlternateContent>
        <mc:AlternateContent>
          <mc:Choice Requires="wps">
            <w:drawing>
              <wp:anchor simplePos="0" relativeHeight="251657728" behindDoc="1" locked="0" layoutInCell="0" allowOverlap="1">
                <wp:simplePos x="0" y="0"/>
                <wp:positionH relativeFrom="page">
                  <wp:posOffset>223520</wp:posOffset>
                </wp:positionH>
                <wp:positionV relativeFrom="page">
                  <wp:posOffset>673735</wp:posOffset>
                </wp:positionV>
                <wp:extent cx="709612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6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6pt,53.05pt" to="576.35pt,53.05pt" o:allowincell="f" strokecolor="#000000" strokeweight="1pt">
                <w10:wrap anchorx="page" anchory="page"/>
              </v:line>
            </w:pict>
          </mc:Fallback>
        </mc:AlternateContent>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6" w:lineRule="exact"/>
        <w:rPr>
          <w:sz w:val="24"/>
          <w:szCs w:val="24"/>
          <w:color w:val="auto"/>
        </w:rPr>
      </w:pPr>
    </w:p>
    <w:p>
      <w:pPr>
        <w:jc w:val="center"/>
        <w:ind w:left="3400" w:right="640" w:hanging="3398"/>
        <w:spacing w:after="0" w:line="278" w:lineRule="auto"/>
        <w:tabs>
          <w:tab w:leader="none" w:pos="342" w:val="left"/>
        </w:tabs>
        <w:numPr>
          <w:ilvl w:val="0"/>
          <w:numId w:val="1"/>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ANNUAL REPORT PURSUANT TO SECTION 13 OR 15(d) OF THE SECURITIES EXCHANGE ACT OF 1934 For the fiscal year ended December 31, 2024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OR</w:t>
      </w:r>
    </w:p>
    <w:p>
      <w:pPr>
        <w:spacing w:after="0" w:line="110" w:lineRule="exact"/>
        <w:rPr>
          <w:sz w:val="24"/>
          <w:szCs w:val="24"/>
          <w:color w:val="auto"/>
        </w:rPr>
      </w:pPr>
    </w:p>
    <w:p>
      <w:pPr>
        <w:ind w:left="360" w:hanging="358"/>
        <w:spacing w:after="0"/>
        <w:tabs>
          <w:tab w:leader="none" w:pos="360" w:val="left"/>
        </w:tabs>
        <w:numPr>
          <w:ilvl w:val="0"/>
          <w:numId w:val="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1-36132</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PLAINS GP HOLDINGS, L.P.</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70"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4800" w:type="dxa"/>
            <w:vAlign w:val="bottom"/>
          </w:tcPr>
          <w:p>
            <w:pPr>
              <w:jc w:val="center"/>
              <w:ind w:right="1002"/>
              <w:spacing w:after="0"/>
              <w:rPr>
                <w:sz w:val="20"/>
                <w:szCs w:val="20"/>
                <w:color w:val="auto"/>
              </w:rPr>
            </w:pPr>
            <w:r>
              <w:rPr>
                <w:rFonts w:ascii="Arial" w:cs="Arial" w:eastAsia="Arial" w:hAnsi="Arial"/>
                <w:sz w:val="16"/>
                <w:szCs w:val="16"/>
                <w:b w:val="1"/>
                <w:bCs w:val="1"/>
                <w:color w:val="auto"/>
                <w:w w:val="91"/>
              </w:rPr>
              <w:t>Delaware</w:t>
            </w:r>
          </w:p>
        </w:tc>
        <w:tc>
          <w:tcPr>
            <w:tcW w:w="3340" w:type="dxa"/>
            <w:vAlign w:val="bottom"/>
          </w:tcPr>
          <w:p>
            <w:pPr>
              <w:jc w:val="right"/>
              <w:ind w:right="682"/>
              <w:spacing w:after="0"/>
              <w:rPr>
                <w:sz w:val="20"/>
                <w:szCs w:val="20"/>
                <w:color w:val="auto"/>
              </w:rPr>
            </w:pPr>
            <w:r>
              <w:rPr>
                <w:rFonts w:ascii="Arial" w:cs="Arial" w:eastAsia="Arial" w:hAnsi="Arial"/>
                <w:sz w:val="16"/>
                <w:szCs w:val="16"/>
                <w:b w:val="1"/>
                <w:bCs w:val="1"/>
                <w:color w:val="auto"/>
              </w:rPr>
              <w:t>90-1005472</w:t>
            </w:r>
          </w:p>
        </w:tc>
      </w:tr>
      <w:tr>
        <w:trPr>
          <w:trHeight w:val="250"/>
        </w:trPr>
        <w:tc>
          <w:tcPr>
            <w:tcW w:w="4800" w:type="dxa"/>
            <w:vAlign w:val="bottom"/>
          </w:tcPr>
          <w:p>
            <w:pPr>
              <w:jc w:val="center"/>
              <w:ind w:right="1002"/>
              <w:spacing w:after="0"/>
              <w:rPr>
                <w:sz w:val="20"/>
                <w:szCs w:val="20"/>
                <w:color w:val="auto"/>
              </w:rPr>
            </w:pPr>
            <w:r>
              <w:rPr>
                <w:rFonts w:ascii="Arial" w:cs="Arial" w:eastAsia="Arial" w:hAnsi="Arial"/>
                <w:sz w:val="16"/>
                <w:szCs w:val="16"/>
                <w:color w:val="auto"/>
                <w:w w:val="90"/>
              </w:rPr>
              <w:t>(State or other jurisdiction of incorporation or organization)</w:t>
            </w:r>
          </w:p>
        </w:tc>
        <w:tc>
          <w:tcPr>
            <w:tcW w:w="3340" w:type="dxa"/>
            <w:vAlign w:val="bottom"/>
          </w:tcPr>
          <w:p>
            <w:pPr>
              <w:jc w:val="center"/>
              <w:ind w:left="1002"/>
              <w:spacing w:after="0"/>
              <w:rPr>
                <w:sz w:val="20"/>
                <w:szCs w:val="20"/>
                <w:color w:val="auto"/>
              </w:rPr>
            </w:pPr>
            <w:r>
              <w:rPr>
                <w:rFonts w:ascii="Arial" w:cs="Arial" w:eastAsia="Arial" w:hAnsi="Arial"/>
                <w:sz w:val="16"/>
                <w:szCs w:val="16"/>
                <w:color w:val="auto"/>
                <w:w w:val="91"/>
              </w:rPr>
              <w:t>(I.R.S. Employer Identification No.)</w:t>
            </w:r>
          </w:p>
        </w:tc>
      </w:tr>
      <w:tr>
        <w:trPr>
          <w:trHeight w:val="347"/>
        </w:trPr>
        <w:tc>
          <w:tcPr>
            <w:tcW w:w="4800" w:type="dxa"/>
            <w:vAlign w:val="bottom"/>
          </w:tcPr>
          <w:p>
            <w:pPr>
              <w:jc w:val="center"/>
              <w:ind w:right="1002"/>
              <w:spacing w:after="0"/>
              <w:rPr>
                <w:sz w:val="20"/>
                <w:szCs w:val="20"/>
                <w:color w:val="auto"/>
              </w:rPr>
            </w:pPr>
            <w:r>
              <w:rPr>
                <w:rFonts w:ascii="Arial" w:cs="Arial" w:eastAsia="Arial" w:hAnsi="Arial"/>
                <w:sz w:val="16"/>
                <w:szCs w:val="16"/>
                <w:b w:val="1"/>
                <w:bCs w:val="1"/>
                <w:color w:val="auto"/>
                <w:w w:val="87"/>
              </w:rPr>
              <w:t>333 Clay Street, Suite 1600, Houston, Texas</w:t>
            </w:r>
          </w:p>
        </w:tc>
        <w:tc>
          <w:tcPr>
            <w:tcW w:w="3340" w:type="dxa"/>
            <w:vAlign w:val="bottom"/>
          </w:tcPr>
          <w:p>
            <w:pPr>
              <w:jc w:val="right"/>
              <w:ind w:right="862"/>
              <w:spacing w:after="0"/>
              <w:rPr>
                <w:sz w:val="20"/>
                <w:szCs w:val="20"/>
                <w:color w:val="auto"/>
              </w:rPr>
            </w:pPr>
            <w:r>
              <w:rPr>
                <w:rFonts w:ascii="Arial" w:cs="Arial" w:eastAsia="Arial" w:hAnsi="Arial"/>
                <w:sz w:val="16"/>
                <w:szCs w:val="16"/>
                <w:b w:val="1"/>
                <w:bCs w:val="1"/>
                <w:color w:val="auto"/>
              </w:rPr>
              <w:t>77002</w:t>
            </w:r>
          </w:p>
        </w:tc>
      </w:tr>
      <w:tr>
        <w:trPr>
          <w:trHeight w:val="250"/>
        </w:trPr>
        <w:tc>
          <w:tcPr>
            <w:tcW w:w="4800" w:type="dxa"/>
            <w:vAlign w:val="bottom"/>
          </w:tcPr>
          <w:p>
            <w:pPr>
              <w:jc w:val="center"/>
              <w:ind w:right="1022"/>
              <w:spacing w:after="0"/>
              <w:rPr>
                <w:sz w:val="20"/>
                <w:szCs w:val="20"/>
                <w:color w:val="auto"/>
              </w:rPr>
            </w:pPr>
            <w:r>
              <w:rPr>
                <w:rFonts w:ascii="Arial" w:cs="Arial" w:eastAsia="Arial" w:hAnsi="Arial"/>
                <w:sz w:val="16"/>
                <w:szCs w:val="16"/>
                <w:color w:val="auto"/>
                <w:w w:val="89"/>
              </w:rPr>
              <w:t>(Address of principal executive offices)</w:t>
            </w:r>
          </w:p>
        </w:tc>
        <w:tc>
          <w:tcPr>
            <w:tcW w:w="3340" w:type="dxa"/>
            <w:vAlign w:val="bottom"/>
          </w:tcPr>
          <w:p>
            <w:pPr>
              <w:jc w:val="center"/>
              <w:ind w:left="982"/>
              <w:spacing w:after="0"/>
              <w:rPr>
                <w:sz w:val="20"/>
                <w:szCs w:val="20"/>
                <w:color w:val="auto"/>
              </w:rPr>
            </w:pPr>
            <w:r>
              <w:rPr>
                <w:rFonts w:ascii="Arial" w:cs="Arial" w:eastAsia="Arial" w:hAnsi="Arial"/>
                <w:sz w:val="16"/>
                <w:szCs w:val="16"/>
                <w:color w:val="auto"/>
                <w:w w:val="89"/>
              </w:rPr>
              <w:t>(Zip Code)</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 646-4100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6" w:lineRule="exact"/>
        <w:rPr>
          <w:sz w:val="24"/>
          <w:szCs w:val="24"/>
          <w:color w:val="auto"/>
        </w:rPr>
      </w:pPr>
    </w:p>
    <w:tbl>
      <w:tblPr>
        <w:tblLayout w:type="fixed"/>
        <w:tblInd w:w="800" w:type="dxa"/>
        <w:tblCellMar>
          <w:top w:w="0" w:type="dxa"/>
          <w:left w:w="0" w:type="dxa"/>
          <w:bottom w:w="0" w:type="dxa"/>
          <w:right w:w="0" w:type="dxa"/>
        </w:tblCellMar>
      </w:tblPr>
      <w:tr>
        <w:trPr>
          <w:trHeight w:val="187"/>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60" w:type="dxa"/>
            <w:vAlign w:val="bottom"/>
          </w:tcPr>
          <w:p>
            <w:pPr>
              <w:spacing w:after="0"/>
              <w:rPr>
                <w:sz w:val="16"/>
                <w:szCs w:val="16"/>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70"/>
        </w:trPr>
        <w:tc>
          <w:tcPr>
            <w:tcW w:w="2920" w:type="dxa"/>
            <w:vAlign w:val="bottom"/>
          </w:tcPr>
          <w:p>
            <w:pPr>
              <w:jc w:val="center"/>
              <w:spacing w:after="0" w:line="171" w:lineRule="exact"/>
              <w:rPr>
                <w:sz w:val="20"/>
                <w:szCs w:val="20"/>
                <w:color w:val="auto"/>
              </w:rPr>
            </w:pPr>
            <w:r>
              <w:rPr>
                <w:rFonts w:ascii="Arial" w:cs="Arial" w:eastAsia="Arial" w:hAnsi="Arial"/>
                <w:sz w:val="16"/>
                <w:szCs w:val="16"/>
                <w:color w:val="auto"/>
                <w:w w:val="87"/>
              </w:rPr>
              <w:t>Class A Shares, Representing Limited</w:t>
            </w:r>
          </w:p>
        </w:tc>
        <w:tc>
          <w:tcPr>
            <w:tcW w:w="60" w:type="dxa"/>
            <w:vAlign w:val="bottom"/>
          </w:tcPr>
          <w:p>
            <w:pPr>
              <w:spacing w:after="0"/>
              <w:rPr>
                <w:sz w:val="14"/>
                <w:szCs w:val="14"/>
                <w:color w:val="auto"/>
              </w:rPr>
            </w:pPr>
          </w:p>
        </w:tc>
        <w:tc>
          <w:tcPr>
            <w:tcW w:w="2920" w:type="dxa"/>
            <w:vAlign w:val="bottom"/>
          </w:tcPr>
          <w:p>
            <w:pPr>
              <w:jc w:val="center"/>
              <w:spacing w:after="0" w:line="171" w:lineRule="exact"/>
              <w:rPr>
                <w:sz w:val="20"/>
                <w:szCs w:val="20"/>
                <w:color w:val="auto"/>
              </w:rPr>
            </w:pPr>
            <w:r>
              <w:rPr>
                <w:rFonts w:ascii="Arial" w:cs="Arial" w:eastAsia="Arial" w:hAnsi="Arial"/>
                <w:sz w:val="16"/>
                <w:szCs w:val="16"/>
                <w:color w:val="auto"/>
                <w:w w:val="89"/>
              </w:rPr>
              <w:t>PAGP</w:t>
            </w:r>
          </w:p>
        </w:tc>
        <w:tc>
          <w:tcPr>
            <w:tcW w:w="60" w:type="dxa"/>
            <w:vAlign w:val="bottom"/>
          </w:tcPr>
          <w:p>
            <w:pPr>
              <w:spacing w:after="0"/>
              <w:rPr>
                <w:sz w:val="14"/>
                <w:szCs w:val="14"/>
                <w:color w:val="auto"/>
              </w:rPr>
            </w:pPr>
          </w:p>
        </w:tc>
        <w:tc>
          <w:tcPr>
            <w:tcW w:w="2920" w:type="dxa"/>
            <w:vAlign w:val="bottom"/>
          </w:tcPr>
          <w:p>
            <w:pPr>
              <w:jc w:val="center"/>
              <w:spacing w:after="0" w:line="171" w:lineRule="exact"/>
              <w:rPr>
                <w:sz w:val="20"/>
                <w:szCs w:val="20"/>
                <w:color w:val="auto"/>
              </w:rPr>
            </w:pPr>
            <w:r>
              <w:rPr>
                <w:rFonts w:ascii="Arial" w:cs="Arial" w:eastAsia="Arial" w:hAnsi="Arial"/>
                <w:sz w:val="16"/>
                <w:szCs w:val="16"/>
                <w:color w:val="auto"/>
                <w:w w:val="83"/>
              </w:rPr>
              <w:t>Nasdaq</w:t>
            </w:r>
          </w:p>
        </w:tc>
      </w:tr>
      <w:tr>
        <w:trPr>
          <w:trHeight w:val="202"/>
        </w:trPr>
        <w:tc>
          <w:tcPr>
            <w:tcW w:w="2920" w:type="dxa"/>
            <w:vAlign w:val="bottom"/>
          </w:tcPr>
          <w:p>
            <w:pPr>
              <w:jc w:val="center"/>
              <w:spacing w:after="0"/>
              <w:rPr>
                <w:sz w:val="20"/>
                <w:szCs w:val="20"/>
                <w:color w:val="auto"/>
              </w:rPr>
            </w:pPr>
            <w:r>
              <w:rPr>
                <w:rFonts w:ascii="Arial" w:cs="Arial" w:eastAsia="Arial" w:hAnsi="Arial"/>
                <w:sz w:val="16"/>
                <w:szCs w:val="16"/>
                <w:color w:val="auto"/>
                <w:w w:val="84"/>
              </w:rPr>
              <w:t>Partner Interests</w:t>
            </w: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Pr>
          <w:p>
            <w:pPr>
              <w:spacing w:after="0"/>
              <w:rPr>
                <w:sz w:val="17"/>
                <w:szCs w:val="17"/>
                <w:color w:val="auto"/>
              </w:rPr>
            </w:pP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40" w:lineRule="exact"/>
        <w:rPr>
          <w:sz w:val="24"/>
          <w:szCs w:val="24"/>
          <w:color w:val="auto"/>
        </w:rPr>
      </w:pPr>
    </w:p>
    <w:p>
      <w:pPr>
        <w:ind w:left="300" w:right="1900"/>
        <w:spacing w:after="0" w:line="23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33" w:lineRule="exact"/>
        <w:rPr>
          <w:sz w:val="24"/>
          <w:szCs w:val="24"/>
          <w:color w:val="auto"/>
        </w:rPr>
      </w:pPr>
    </w:p>
    <w:p>
      <w:pPr>
        <w:ind w:right="60" w:firstLine="306"/>
        <w:spacing w:after="0" w:line="195" w:lineRule="exact"/>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Arial" w:cs="Arial" w:eastAsia="Arial" w:hAnsi="Arial"/>
          <w:sz w:val="15"/>
          <w:szCs w:val="15"/>
          <w:color w:val="auto"/>
        </w:rPr>
        <w:t>.</w:t>
      </w:r>
      <w:r>
        <w:rPr>
          <w:rFonts w:ascii="Arial" w:cs="Arial" w:eastAsia="Arial" w:hAnsi="Arial"/>
          <w:sz w:val="16"/>
          <w:szCs w:val="16"/>
          <w:color w:val="auto"/>
        </w:rPr>
        <w:t xml:space="preserve">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37" w:lineRule="exact"/>
        <w:rPr>
          <w:sz w:val="24"/>
          <w:szCs w:val="24"/>
          <w:color w:val="auto"/>
        </w:rPr>
      </w:pPr>
    </w:p>
    <w:p>
      <w:pPr>
        <w:ind w:right="80" w:firstLine="306"/>
        <w:spacing w:after="0" w:line="19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b w:val="1"/>
          <w:bCs w:val="1"/>
          <w:color w:val="auto"/>
        </w:rPr>
        <w:t>☑</w:t>
      </w:r>
      <w:r>
        <w:rPr>
          <w:rFonts w:ascii="Arial" w:cs="Arial" w:eastAsia="Arial" w:hAnsi="Arial"/>
          <w:sz w:val="14"/>
          <w:szCs w:val="14"/>
          <w:color w:val="auto"/>
        </w:rPr>
        <w:t xml:space="preserve"> No </w:t>
      </w:r>
      <w:r>
        <w:rPr>
          <w:rFonts w:ascii="MS PGothic" w:cs="MS PGothic" w:eastAsia="MS PGothic" w:hAnsi="MS PGothic"/>
          <w:sz w:val="14"/>
          <w:szCs w:val="14"/>
          <w:b w:val="1"/>
          <w:bCs w:val="1"/>
          <w:color w:val="auto"/>
        </w:rPr>
        <w:t>☐</w:t>
      </w:r>
    </w:p>
    <w:p>
      <w:pPr>
        <w:spacing w:after="0" w:line="40" w:lineRule="exact"/>
        <w:rPr>
          <w:sz w:val="24"/>
          <w:szCs w:val="24"/>
          <w:color w:val="auto"/>
        </w:rPr>
      </w:pPr>
    </w:p>
    <w:p>
      <w:pPr>
        <w:ind w:right="140" w:firstLine="306"/>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480"/>
          </w:cols>
          <w:pgMar w:left="700" w:top="1064" w:right="700" w:bottom="597" w:gutter="0" w:footer="0" w:header="0"/>
        </w:sectPr>
      </w:pPr>
    </w:p>
    <w:p>
      <w:pPr>
        <w:ind w:left="16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b w:val="1"/>
          <w:bCs w:val="1"/>
          <w:color w:val="auto"/>
        </w:rPr>
        <w:t>☐</w:t>
      </w:r>
    </w:p>
    <w:p>
      <w:pPr>
        <w:spacing w:after="0" w:line="127" w:lineRule="exact"/>
        <w:rPr>
          <w:sz w:val="24"/>
          <w:szCs w:val="24"/>
          <w:color w:val="auto"/>
        </w:rPr>
      </w:pPr>
    </w:p>
    <w:p>
      <w:pPr>
        <w:sectPr>
          <w:pgSz w:w="11880" w:h="15480" w:orient="portrait"/>
          <w:cols w:equalWidth="0" w:num="2">
            <w:col w:w="6220" w:space="720"/>
            <w:col w:w="3540"/>
          </w:cols>
          <w:pgMar w:left="700" w:top="1064" w:right="700" w:bottom="597" w:gutter="0" w:footer="0" w:header="0"/>
          <w:type w:val="continuous"/>
        </w:sectPr>
      </w:pPr>
    </w:p>
    <w:p>
      <w:pPr>
        <w:ind w:left="16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b w:val="1"/>
          <w:bCs w:val="1"/>
          <w:color w:val="auto"/>
        </w:rPr>
        <w:t>☐</w:t>
      </w:r>
    </w:p>
    <w:p>
      <w:pPr>
        <w:spacing w:after="0" w:line="140" w:lineRule="exact"/>
        <w:rPr>
          <w:sz w:val="24"/>
          <w:szCs w:val="24"/>
          <w:color w:val="auto"/>
        </w:rPr>
      </w:pPr>
    </w:p>
    <w:p>
      <w:pPr>
        <w:sectPr>
          <w:pgSz w:w="11880" w:h="15480" w:orient="portrait"/>
          <w:cols w:equalWidth="0" w:num="2">
            <w:col w:w="5880" w:space="720"/>
            <w:col w:w="3880"/>
          </w:cols>
          <w:pgMar w:left="700" w:top="1064" w:right="700" w:bottom="597" w:gutter="0" w:footer="0" w:header="0"/>
          <w:type w:val="continuous"/>
        </w:sectPr>
      </w:pPr>
    </w:p>
    <w:p>
      <w:pPr>
        <w:ind w:left="66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b w:val="1"/>
          <w:bCs w:val="1"/>
          <w:color w:val="auto"/>
        </w:rPr>
        <w:t>☐</w:t>
      </w:r>
    </w:p>
    <w:p>
      <w:pPr>
        <w:sectPr>
          <w:pgSz w:w="11880" w:h="15480" w:orient="portrait"/>
          <w:cols w:equalWidth="0" w:num="1">
            <w:col w:w="10480"/>
          </w:cols>
          <w:pgMar w:left="700" w:top="1064" w:right="700" w:bottom="597" w:gutter="0" w:footer="0" w:header="0"/>
          <w:type w:val="continuous"/>
        </w:sectPr>
      </w:pPr>
    </w:p>
    <w:p>
      <w:pPr>
        <w:spacing w:after="0" w:line="151" w:lineRule="exact"/>
        <w:rPr>
          <w:sz w:val="24"/>
          <w:szCs w:val="24"/>
          <w:color w:val="auto"/>
        </w:rPr>
      </w:pPr>
    </w:p>
    <w:p>
      <w:pPr>
        <w:ind w:right="40" w:firstLine="349"/>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pacing w:after="0" w:line="36" w:lineRule="exact"/>
        <w:rPr>
          <w:sz w:val="24"/>
          <w:szCs w:val="24"/>
          <w:color w:val="auto"/>
        </w:rPr>
      </w:pPr>
    </w:p>
    <w:p>
      <w:pPr>
        <w:ind w:right="20" w:firstLine="349"/>
        <w:spacing w:after="0" w:line="19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b w:val="1"/>
          <w:bCs w:val="1"/>
          <w:color w:val="auto"/>
        </w:rPr>
        <w:t>☑</w:t>
      </w:r>
    </w:p>
    <w:p>
      <w:pPr>
        <w:spacing w:after="0" w:line="37" w:lineRule="exact"/>
        <w:rPr>
          <w:sz w:val="24"/>
          <w:szCs w:val="24"/>
          <w:color w:val="auto"/>
        </w:rPr>
      </w:pPr>
    </w:p>
    <w:p>
      <w:pPr>
        <w:jc w:val="both"/>
        <w:ind w:right="20" w:firstLine="349"/>
        <w:spacing w:after="0" w:line="197"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auto"/>
        </w:rPr>
        <w:t>☐</w:t>
      </w:r>
    </w:p>
    <w:p>
      <w:pPr>
        <w:spacing w:after="0" w:line="33" w:lineRule="exact"/>
        <w:rPr>
          <w:sz w:val="24"/>
          <w:szCs w:val="24"/>
          <w:color w:val="auto"/>
        </w:rPr>
      </w:pPr>
    </w:p>
    <w:p>
      <w:pPr>
        <w:jc w:val="both"/>
        <w:ind w:right="20" w:firstLine="349"/>
        <w:spacing w:after="0" w:line="197"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b w:val="1"/>
          <w:bCs w:val="1"/>
          <w:color w:val="auto"/>
        </w:rPr>
        <w:t>☐</w:t>
      </w:r>
    </w:p>
    <w:p>
      <w:pPr>
        <w:spacing w:after="0" w:line="26"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w:t>
      </w:r>
      <w:r>
        <w:rPr>
          <w:rFonts w:ascii="MS PGothic" w:cs="MS PGothic" w:eastAsia="MS PGothic" w:hAnsi="MS PGothic"/>
          <w:sz w:val="15"/>
          <w:szCs w:val="15"/>
          <w:b w:val="1"/>
          <w:bCs w:val="1"/>
          <w:color w:val="auto"/>
        </w:rPr>
        <w:t>☑</w:t>
      </w:r>
    </w:p>
    <w:p>
      <w:pPr>
        <w:spacing w:after="0" w:line="79" w:lineRule="exact"/>
        <w:rPr>
          <w:sz w:val="24"/>
          <w:szCs w:val="24"/>
          <w:color w:val="auto"/>
        </w:rPr>
      </w:pPr>
    </w:p>
    <w:p>
      <w:pPr>
        <w:jc w:val="both"/>
        <w:ind w:firstLine="349"/>
        <w:spacing w:after="0" w:line="274" w:lineRule="auto"/>
        <w:rPr>
          <w:sz w:val="20"/>
          <w:szCs w:val="20"/>
          <w:color w:val="auto"/>
        </w:rPr>
      </w:pPr>
      <w:r>
        <w:rPr>
          <w:rFonts w:ascii="Arial" w:cs="Arial" w:eastAsia="Arial" w:hAnsi="Arial"/>
          <w:sz w:val="15"/>
          <w:szCs w:val="15"/>
          <w:color w:val="auto"/>
        </w:rPr>
        <w:t>The aggregate market value of the approximately 192.0 million Class A shares held by non-affiliates of the registrant (treating all executive officers and directors of the registrant and holders of 10% or more of the Class A shares outstanding, for this purpose, as if they are affiliates of the registrant) on June 28, 2024 was approximately $3.6 billion, based on a closing price of $18.82 per Class A share as reported on the Nasdaq Global Select Market on such date.</w:t>
      </w:r>
    </w:p>
    <w:p>
      <w:pPr>
        <w:spacing w:after="0" w:line="2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As of February 14, 2025, there were 197,743,624 Class A shares outstanding.</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85" w:lineRule="exact"/>
        <w:rPr>
          <w:sz w:val="24"/>
          <w:szCs w:val="24"/>
          <w:color w:val="auto"/>
        </w:rPr>
      </w:pPr>
    </w:p>
    <w:p>
      <w:pPr>
        <w:jc w:val="center"/>
        <w:spacing w:after="0" w:line="330" w:lineRule="auto"/>
        <w:rPr>
          <w:sz w:val="20"/>
          <w:szCs w:val="20"/>
          <w:color w:val="auto"/>
        </w:rPr>
      </w:pPr>
      <w:r>
        <w:rPr>
          <w:rFonts w:ascii="Arial" w:cs="Arial" w:eastAsia="Arial" w:hAnsi="Arial"/>
          <w:sz w:val="14"/>
          <w:szCs w:val="14"/>
          <w:color w:val="auto"/>
        </w:rPr>
        <w:t>Portions of the registrant’s definitive Proxy Statement to be filed pursuant to Regulation 14A pertaining to the 2025 Annual Meeting of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-220345</wp:posOffset>
                </wp:positionH>
                <wp:positionV relativeFrom="paragraph">
                  <wp:posOffset>-17780</wp:posOffset>
                </wp:positionV>
                <wp:extent cx="70954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54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499pt,-1.3999pt" to="541.35pt,-1.3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-220345</wp:posOffset>
                </wp:positionH>
                <wp:positionV relativeFrom="paragraph">
                  <wp:posOffset>27940</wp:posOffset>
                </wp:positionV>
                <wp:extent cx="709549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5490" cy="4763"/>
                        </a:xfrm>
                        <a:prstGeom prst="line">
                          <a:avLst/>
                        </a:prstGeom>
                        <a:solidFill>
                          <a:srgbClr val="FFFFFF"/>
                        </a:solidFill>
                        <a:ln w="2463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499pt,2.2pt" to="541.35pt,2.2pt" o:allowincell="f" strokecolor="#000000" strokeweight="1.94pt"/>
            </w:pict>
          </mc:Fallback>
        </mc:AlternateContent>
      </w:r>
    </w:p>
    <w:p>
      <w:pPr>
        <w:sectPr>
          <w:pgSz w:w="11880" w:h="15480" w:orient="portrait"/>
          <w:cols w:equalWidth="0" w:num="1">
            <w:col w:w="10480"/>
          </w:cols>
          <w:pgMar w:left="700" w:top="1064" w:right="700" w:bottom="597"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FORM 10-K—2024 ANNUAL REPORT</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Page</w:t>
            </w:r>
          </w:p>
        </w:tc>
      </w:tr>
      <w:tr>
        <w:trPr>
          <w:trHeight w:val="212"/>
        </w:trPr>
        <w:tc>
          <w:tcPr>
            <w:tcW w:w="1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20" w:type="dxa"/>
            <w:vAlign w:val="bottom"/>
            <w:gridSpan w:val="5"/>
          </w:tcPr>
          <w:p>
            <w:pPr>
              <w:jc w:val="center"/>
              <w:ind w:right="3660"/>
              <w:spacing w:after="0" w:line="212" w:lineRule="exact"/>
              <w:rPr>
                <w:sz w:val="20"/>
                <w:szCs w:val="20"/>
                <w:color w:val="auto"/>
              </w:rPr>
            </w:pPr>
            <w:r>
              <w:rPr>
                <w:rFonts w:ascii="Arial" w:cs="Arial" w:eastAsia="Arial" w:hAnsi="Arial"/>
                <w:sz w:val="20"/>
                <w:szCs w:val="20"/>
                <w:b w:val="1"/>
                <w:bCs w:val="1"/>
                <w:color w:val="auto"/>
              </w:rPr>
              <w:t>PART I</w:t>
            </w:r>
          </w:p>
        </w:tc>
        <w:tc>
          <w:tcPr>
            <w:tcW w:w="820" w:type="dxa"/>
            <w:vAlign w:val="bottom"/>
          </w:tcPr>
          <w:p>
            <w:pPr>
              <w:jc w:val="right"/>
              <w:spacing w:after="0" w:line="212" w:lineRule="exact"/>
              <w:rPr>
                <w:sz w:val="20"/>
                <w:szCs w:val="20"/>
                <w:color w:val="auto"/>
              </w:rPr>
            </w:pPr>
            <w:r>
              <w:rPr>
                <w:rFonts w:ascii="Arial" w:cs="Arial" w:eastAsia="Arial" w:hAnsi="Arial"/>
                <w:sz w:val="20"/>
                <w:szCs w:val="20"/>
                <w:color w:val="auto"/>
              </w:rPr>
              <w:t>5</w:t>
            </w:r>
          </w:p>
        </w:tc>
      </w:tr>
      <w:tr>
        <w:trPr>
          <w:trHeight w:val="598"/>
        </w:trPr>
        <w:tc>
          <w:tcPr>
            <w:tcW w:w="1360" w:type="dxa"/>
            <w:vAlign w:val="bottom"/>
          </w:tcPr>
          <w:p>
            <w:pPr>
              <w:spacing w:after="0"/>
              <w:rPr>
                <w:sz w:val="20"/>
                <w:szCs w:val="20"/>
                <w:color w:val="auto"/>
              </w:rPr>
            </w:pPr>
            <w:r>
              <w:rPr>
                <w:rFonts w:ascii="Arial" w:cs="Arial" w:eastAsia="Arial" w:hAnsi="Arial"/>
                <w:sz w:val="20"/>
                <w:szCs w:val="20"/>
                <w:color w:val="auto"/>
              </w:rPr>
              <w:t>Items 1 and 2.</w:t>
            </w:r>
          </w:p>
        </w:tc>
        <w:tc>
          <w:tcPr>
            <w:tcW w:w="3500" w:type="dxa"/>
            <w:vAlign w:val="bottom"/>
            <w:gridSpan w:val="4"/>
          </w:tcPr>
          <w:p>
            <w:pPr>
              <w:ind w:left="240"/>
              <w:spacing w:after="0"/>
              <w:rPr>
                <w:sz w:val="20"/>
                <w:szCs w:val="20"/>
                <w:color w:val="auto"/>
              </w:rPr>
            </w:pPr>
            <w:r>
              <w:rPr>
                <w:rFonts w:ascii="Arial" w:cs="Arial" w:eastAsia="Arial" w:hAnsi="Arial"/>
                <w:sz w:val="20"/>
                <w:szCs w:val="20"/>
                <w:color w:val="auto"/>
              </w:rPr>
              <w:t>Business and Properties</w:t>
            </w:r>
          </w:p>
        </w:tc>
        <w:tc>
          <w:tcPr>
            <w:tcW w:w="660" w:type="dxa"/>
            <w:vAlign w:val="bottom"/>
            <w:tcBorders>
              <w:top w:val="single" w:sz="8" w:color="auto"/>
            </w:tcBorders>
          </w:tcPr>
          <w:p>
            <w:pPr>
              <w:spacing w:after="0"/>
              <w:rPr>
                <w:sz w:val="24"/>
                <w:szCs w:val="24"/>
                <w:color w:val="auto"/>
              </w:rPr>
            </w:pPr>
          </w:p>
        </w:tc>
        <w:tc>
          <w:tcPr>
            <w:tcW w:w="366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1A.</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Risk Factors</w:t>
            </w:r>
          </w:p>
        </w:tc>
        <w:tc>
          <w:tcPr>
            <w:tcW w:w="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1B.</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Unresolved Staff Comments</w:t>
            </w:r>
          </w:p>
        </w:tc>
        <w:tc>
          <w:tcPr>
            <w:tcW w:w="8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1C.</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Cybersecurity</w:t>
            </w:r>
          </w:p>
        </w:tc>
        <w:tc>
          <w:tcPr>
            <w:tcW w:w="8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3.</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Legal Proceedings</w:t>
            </w:r>
          </w:p>
        </w:tc>
        <w:tc>
          <w:tcPr>
            <w:tcW w:w="8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4.</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Mine Safety Disclosures</w:t>
            </w:r>
          </w:p>
        </w:tc>
        <w:tc>
          <w:tcPr>
            <w:tcW w:w="8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528"/>
        </w:trPr>
        <w:tc>
          <w:tcPr>
            <w:tcW w:w="1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6"/>
          </w:tcPr>
          <w:p>
            <w:pPr>
              <w:jc w:val="center"/>
              <w:ind w:right="3620"/>
              <w:spacing w:after="0"/>
              <w:rPr>
                <w:sz w:val="20"/>
                <w:szCs w:val="20"/>
                <w:color w:val="auto"/>
              </w:rPr>
            </w:pPr>
            <w:r>
              <w:rPr>
                <w:rFonts w:ascii="Arial" w:cs="Arial" w:eastAsia="Arial" w:hAnsi="Arial"/>
                <w:sz w:val="20"/>
                <w:szCs w:val="20"/>
                <w:b w:val="1"/>
                <w:bCs w:val="1"/>
                <w:color w:val="auto"/>
              </w:rPr>
              <w:t>PART II</w:t>
            </w:r>
          </w:p>
        </w:tc>
        <w:tc>
          <w:tcPr>
            <w:tcW w:w="82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0"/>
        </w:trPr>
        <w:tc>
          <w:tcPr>
            <w:tcW w:w="1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731"/>
        </w:trPr>
        <w:tc>
          <w:tcPr>
            <w:tcW w:w="1360" w:type="dxa"/>
            <w:vAlign w:val="bottom"/>
          </w:tcPr>
          <w:p>
            <w:pPr>
              <w:spacing w:after="0"/>
              <w:rPr>
                <w:sz w:val="20"/>
                <w:szCs w:val="20"/>
                <w:color w:val="auto"/>
              </w:rPr>
            </w:pPr>
            <w:r>
              <w:rPr>
                <w:rFonts w:ascii="Arial" w:cs="Arial" w:eastAsia="Arial" w:hAnsi="Arial"/>
                <w:sz w:val="20"/>
                <w:szCs w:val="20"/>
                <w:color w:val="auto"/>
              </w:rPr>
              <w:t>Item 5.</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w w:val="92"/>
              </w:rPr>
              <w:t>Market for Registrant’s Shares, Related Shareholder Matters and Issuer Purchases of Equity</w:t>
            </w:r>
          </w:p>
        </w:tc>
        <w:tc>
          <w:tcPr>
            <w:tcW w:w="82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55"/>
        </w:trPr>
        <w:tc>
          <w:tcPr>
            <w:tcW w:w="1360" w:type="dxa"/>
            <w:vAlign w:val="bottom"/>
          </w:tcPr>
          <w:p>
            <w:pPr>
              <w:spacing w:after="0"/>
              <w:rPr>
                <w:sz w:val="22"/>
                <w:szCs w:val="22"/>
                <w:color w:val="auto"/>
              </w:rPr>
            </w:pP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Securities</w:t>
            </w:r>
          </w:p>
        </w:tc>
        <w:tc>
          <w:tcPr>
            <w:tcW w:w="820" w:type="dxa"/>
            <w:vAlign w:val="bottom"/>
          </w:tcPr>
          <w:p>
            <w:pPr>
              <w:spacing w:after="0"/>
              <w:rPr>
                <w:sz w:val="22"/>
                <w:szCs w:val="22"/>
                <w:color w:val="auto"/>
              </w:rPr>
            </w:pPr>
          </w:p>
        </w:tc>
      </w:tr>
      <w:tr>
        <w:trPr>
          <w:trHeight w:val="288"/>
        </w:trPr>
        <w:tc>
          <w:tcPr>
            <w:tcW w:w="1360" w:type="dxa"/>
            <w:vAlign w:val="bottom"/>
          </w:tcPr>
          <w:p>
            <w:pPr>
              <w:spacing w:after="0"/>
              <w:rPr>
                <w:sz w:val="20"/>
                <w:szCs w:val="20"/>
                <w:color w:val="auto"/>
              </w:rPr>
            </w:pPr>
            <w:r>
              <w:rPr>
                <w:rFonts w:ascii="Arial" w:cs="Arial" w:eastAsia="Arial" w:hAnsi="Arial"/>
                <w:sz w:val="20"/>
                <w:szCs w:val="20"/>
                <w:color w:val="auto"/>
              </w:rPr>
              <w:t>Item 6.</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Reserved</w:t>
            </w:r>
          </w:p>
        </w:tc>
        <w:tc>
          <w:tcPr>
            <w:tcW w:w="8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7.</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w w:val="96"/>
              </w:rPr>
              <w:t>Management’s Discussion and Analysis of Financial Condition and Results of Operations</w:t>
            </w:r>
          </w:p>
        </w:tc>
        <w:tc>
          <w:tcPr>
            <w:tcW w:w="8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7A.</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Quantitative and Qualitative Disclosures About Market Risk</w:t>
            </w:r>
          </w:p>
        </w:tc>
        <w:tc>
          <w:tcPr>
            <w:tcW w:w="82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8.</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Financial Statements and Supplementary Data</w:t>
            </w:r>
          </w:p>
        </w:tc>
        <w:tc>
          <w:tcPr>
            <w:tcW w:w="8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9.</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w w:val="94"/>
              </w:rPr>
              <w:t>Changes in and Disagreements With Accountants on Accounting and Financial Disclosure</w:t>
            </w:r>
          </w:p>
        </w:tc>
        <w:tc>
          <w:tcPr>
            <w:tcW w:w="8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9A.</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Controls and Procedures</w:t>
            </w:r>
          </w:p>
        </w:tc>
        <w:tc>
          <w:tcPr>
            <w:tcW w:w="8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9B.</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Other Information</w:t>
            </w:r>
          </w:p>
        </w:tc>
        <w:tc>
          <w:tcPr>
            <w:tcW w:w="82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9C.</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82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514"/>
        </w:trPr>
        <w:tc>
          <w:tcPr>
            <w:tcW w:w="1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20"/>
                <w:szCs w:val="20"/>
                <w:b w:val="1"/>
                <w:bCs w:val="1"/>
                <w:color w:val="auto"/>
              </w:rPr>
              <w:t>PART III</w:t>
            </w:r>
          </w:p>
        </w:tc>
        <w:tc>
          <w:tcPr>
            <w:tcW w:w="35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598"/>
        </w:trPr>
        <w:tc>
          <w:tcPr>
            <w:tcW w:w="1360" w:type="dxa"/>
            <w:vAlign w:val="bottom"/>
          </w:tcPr>
          <w:p>
            <w:pPr>
              <w:spacing w:after="0"/>
              <w:rPr>
                <w:sz w:val="20"/>
                <w:szCs w:val="20"/>
                <w:color w:val="auto"/>
              </w:rPr>
            </w:pPr>
            <w:r>
              <w:rPr>
                <w:rFonts w:ascii="Arial" w:cs="Arial" w:eastAsia="Arial" w:hAnsi="Arial"/>
                <w:sz w:val="20"/>
                <w:szCs w:val="20"/>
                <w:color w:val="auto"/>
              </w:rPr>
              <w:t>Item 10.</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Directors and Executive Officers of Our General Partner and Corporate Governance</w:t>
            </w:r>
          </w:p>
        </w:tc>
        <w:tc>
          <w:tcPr>
            <w:tcW w:w="82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11.</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Executive Compensation</w:t>
            </w:r>
          </w:p>
        </w:tc>
        <w:tc>
          <w:tcPr>
            <w:tcW w:w="82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36"/>
        </w:trPr>
        <w:tc>
          <w:tcPr>
            <w:tcW w:w="1360" w:type="dxa"/>
            <w:vAlign w:val="bottom"/>
          </w:tcPr>
          <w:p>
            <w:pPr>
              <w:spacing w:after="0"/>
              <w:rPr>
                <w:sz w:val="20"/>
                <w:szCs w:val="20"/>
                <w:color w:val="auto"/>
              </w:rPr>
            </w:pPr>
            <w:r>
              <w:rPr>
                <w:rFonts w:ascii="Arial" w:cs="Arial" w:eastAsia="Arial" w:hAnsi="Arial"/>
                <w:sz w:val="20"/>
                <w:szCs w:val="20"/>
                <w:color w:val="auto"/>
              </w:rPr>
              <w:t>Item 12.</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w w:val="92"/>
              </w:rPr>
              <w:t>Security Ownership of Certain Beneficial Owners and Management and Related Shareholder</w:t>
            </w:r>
          </w:p>
        </w:tc>
        <w:tc>
          <w:tcPr>
            <w:tcW w:w="82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55"/>
        </w:trPr>
        <w:tc>
          <w:tcPr>
            <w:tcW w:w="1360" w:type="dxa"/>
            <w:vAlign w:val="bottom"/>
          </w:tcPr>
          <w:p>
            <w:pPr>
              <w:spacing w:after="0"/>
              <w:rPr>
                <w:sz w:val="22"/>
                <w:szCs w:val="22"/>
                <w:color w:val="auto"/>
              </w:rPr>
            </w:pP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Matters</w:t>
            </w:r>
          </w:p>
        </w:tc>
        <w:tc>
          <w:tcPr>
            <w:tcW w:w="820" w:type="dxa"/>
            <w:vAlign w:val="bottom"/>
          </w:tcPr>
          <w:p>
            <w:pPr>
              <w:spacing w:after="0"/>
              <w:rPr>
                <w:sz w:val="22"/>
                <w:szCs w:val="22"/>
                <w:color w:val="auto"/>
              </w:rPr>
            </w:pPr>
          </w:p>
        </w:tc>
      </w:tr>
      <w:tr>
        <w:trPr>
          <w:trHeight w:val="288"/>
        </w:trPr>
        <w:tc>
          <w:tcPr>
            <w:tcW w:w="1360" w:type="dxa"/>
            <w:vAlign w:val="bottom"/>
          </w:tcPr>
          <w:p>
            <w:pPr>
              <w:spacing w:after="0"/>
              <w:rPr>
                <w:sz w:val="20"/>
                <w:szCs w:val="20"/>
                <w:color w:val="auto"/>
              </w:rPr>
            </w:pPr>
            <w:r>
              <w:rPr>
                <w:rFonts w:ascii="Arial" w:cs="Arial" w:eastAsia="Arial" w:hAnsi="Arial"/>
                <w:sz w:val="20"/>
                <w:szCs w:val="20"/>
                <w:color w:val="auto"/>
              </w:rPr>
              <w:t>Item 13.</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82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14.</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Principal Accountant Fees and Services</w:t>
            </w:r>
          </w:p>
        </w:tc>
        <w:tc>
          <w:tcPr>
            <w:tcW w:w="82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528"/>
        </w:trPr>
        <w:tc>
          <w:tcPr>
            <w:tcW w:w="1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bottom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rPr>
              <w:t>PART IV</w:t>
            </w:r>
          </w:p>
        </w:tc>
        <w:tc>
          <w:tcPr>
            <w:tcW w:w="35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598"/>
        </w:trPr>
        <w:tc>
          <w:tcPr>
            <w:tcW w:w="1360" w:type="dxa"/>
            <w:vAlign w:val="bottom"/>
          </w:tcPr>
          <w:p>
            <w:pPr>
              <w:spacing w:after="0"/>
              <w:rPr>
                <w:sz w:val="20"/>
                <w:szCs w:val="20"/>
                <w:color w:val="auto"/>
              </w:rPr>
            </w:pPr>
            <w:r>
              <w:rPr>
                <w:rFonts w:ascii="Arial" w:cs="Arial" w:eastAsia="Arial" w:hAnsi="Arial"/>
                <w:sz w:val="20"/>
                <w:szCs w:val="20"/>
                <w:color w:val="auto"/>
              </w:rPr>
              <w:t>Item 15.</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Exhibits and Financial Statement Schedules</w:t>
            </w:r>
          </w:p>
        </w:tc>
        <w:tc>
          <w:tcPr>
            <w:tcW w:w="82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94"/>
        </w:trPr>
        <w:tc>
          <w:tcPr>
            <w:tcW w:w="1360" w:type="dxa"/>
            <w:vAlign w:val="bottom"/>
          </w:tcPr>
          <w:p>
            <w:pPr>
              <w:spacing w:after="0"/>
              <w:rPr>
                <w:sz w:val="20"/>
                <w:szCs w:val="20"/>
                <w:color w:val="auto"/>
              </w:rPr>
            </w:pPr>
            <w:r>
              <w:rPr>
                <w:rFonts w:ascii="Arial" w:cs="Arial" w:eastAsia="Arial" w:hAnsi="Arial"/>
                <w:sz w:val="20"/>
                <w:szCs w:val="20"/>
                <w:color w:val="auto"/>
              </w:rPr>
              <w:t>Item 16.</w:t>
            </w:r>
          </w:p>
        </w:tc>
        <w:tc>
          <w:tcPr>
            <w:tcW w:w="7820" w:type="dxa"/>
            <w:vAlign w:val="bottom"/>
            <w:gridSpan w:val="9"/>
          </w:tcPr>
          <w:p>
            <w:pPr>
              <w:ind w:left="240"/>
              <w:spacing w:after="0"/>
              <w:rPr>
                <w:sz w:val="20"/>
                <w:szCs w:val="20"/>
                <w:color w:val="auto"/>
              </w:rPr>
            </w:pPr>
            <w:r>
              <w:rPr>
                <w:rFonts w:ascii="Arial" w:cs="Arial" w:eastAsia="Arial" w:hAnsi="Arial"/>
                <w:sz w:val="20"/>
                <w:szCs w:val="20"/>
                <w:color w:val="auto"/>
              </w:rPr>
              <w:t>Form 10-K Summary</w:t>
            </w:r>
          </w:p>
        </w:tc>
        <w:tc>
          <w:tcPr>
            <w:tcW w:w="820" w:type="dxa"/>
            <w:vAlign w:val="bottom"/>
          </w:tcPr>
          <w:p>
            <w:pPr>
              <w:jc w:val="right"/>
              <w:spacing w:after="0"/>
              <w:rPr>
                <w:sz w:val="20"/>
                <w:szCs w:val="20"/>
                <w:color w:val="auto"/>
              </w:rPr>
            </w:pPr>
            <w:r>
              <w:rPr>
                <w:rFonts w:ascii="Arial" w:cs="Arial" w:eastAsia="Arial" w:hAnsi="Arial"/>
                <w:sz w:val="20"/>
                <w:szCs w:val="20"/>
                <w:color w:val="auto"/>
              </w:rPr>
              <w:t>103</w:t>
            </w:r>
          </w:p>
        </w:tc>
      </w:tr>
    </w:tbl>
    <w:p>
      <w:pPr>
        <w:spacing w:after="0" w:line="200" w:lineRule="exact"/>
        <w:rPr>
          <w:sz w:val="20"/>
          <w:szCs w:val="20"/>
          <w:color w:val="auto"/>
        </w:rPr>
      </w:pPr>
    </w:p>
    <w:p>
      <w:pPr>
        <w:sectPr>
          <w:pgSz w:w="11880" w:h="15480" w:orient="portrait"/>
          <w:cols w:equalWidth="0" w:num="1">
            <w:col w:w="10000"/>
          </w:cols>
          <w:pgMar w:left="96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00"/>
          </w:cols>
          <w:pgMar w:left="960" w:top="575" w:right="920" w:bottom="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FORWARD-LOOKING STATEMENTS</w:t>
      </w:r>
    </w:p>
    <w:p>
      <w:pPr>
        <w:spacing w:after="0" w:line="365" w:lineRule="exact"/>
        <w:rPr>
          <w:sz w:val="20"/>
          <w:szCs w:val="20"/>
          <w:color w:val="auto"/>
        </w:rPr>
      </w:pPr>
    </w:p>
    <w:p>
      <w:pPr>
        <w:ind w:right="20" w:firstLine="706"/>
        <w:spacing w:after="0" w:line="300"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1" w:lineRule="exact"/>
        <w:rPr>
          <w:sz w:val="20"/>
          <w:szCs w:val="20"/>
          <w:color w:val="auto"/>
        </w:rPr>
      </w:pPr>
    </w:p>
    <w:p>
      <w:pPr>
        <w:ind w:left="1060" w:right="80" w:hanging="362"/>
        <w:spacing w:after="0" w:line="271" w:lineRule="auto"/>
        <w:tabs>
          <w:tab w:leader="none" w:pos="106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our expected receipt of, and amounts of, distributions from Plains AAP, L.P., and the effect thereof on our ability to pay distributions to our Class A shareholders;</w:t>
      </w:r>
    </w:p>
    <w:p>
      <w:pPr>
        <w:spacing w:after="0" w:line="68" w:lineRule="exact"/>
        <w:rPr>
          <w:rFonts w:ascii="Arial" w:cs="Arial" w:eastAsia="Arial" w:hAnsi="Arial"/>
          <w:sz w:val="20"/>
          <w:szCs w:val="20"/>
          <w:b w:val="1"/>
          <w:bCs w:val="1"/>
          <w:i w:val="1"/>
          <w:iCs w:val="1"/>
          <w:color w:val="auto"/>
        </w:rPr>
      </w:pPr>
    </w:p>
    <w:p>
      <w:pPr>
        <w:ind w:left="1060" w:hanging="362"/>
        <w:spacing w:after="0" w:line="30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4" w:lineRule="exact"/>
        <w:rPr>
          <w:rFonts w:ascii="Arial" w:cs="Arial" w:eastAsia="Arial" w:hAnsi="Arial"/>
          <w:sz w:val="17"/>
          <w:szCs w:val="17"/>
          <w:color w:val="auto"/>
        </w:rPr>
      </w:pPr>
    </w:p>
    <w:p>
      <w:pPr>
        <w:ind w:left="1060" w:right="20" w:hanging="362"/>
        <w:spacing w:after="0" w:line="264" w:lineRule="auto"/>
        <w:tabs>
          <w:tab w:leader="none" w:pos="1060" w:val="left"/>
        </w:tabs>
        <w:numPr>
          <w:ilvl w:val="0"/>
          <w:numId w:val="3"/>
        </w:numPr>
        <w:rPr>
          <w:rFonts w:ascii="Arial" w:cs="Arial" w:eastAsia="Arial" w:hAnsi="Arial"/>
          <w:sz w:val="19"/>
          <w:szCs w:val="19"/>
          <w:b w:val="1"/>
          <w:bCs w:val="1"/>
          <w:color w:val="auto"/>
        </w:rPr>
      </w:pPr>
      <w:r>
        <w:rPr>
          <w:rFonts w:ascii="Arial" w:cs="Arial" w:eastAsia="Arial" w:hAnsi="Arial"/>
          <w:sz w:val="19"/>
          <w:szCs w:val="19"/>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69" w:lineRule="exact"/>
        <w:rPr>
          <w:rFonts w:ascii="Arial" w:cs="Arial" w:eastAsia="Arial" w:hAnsi="Arial"/>
          <w:sz w:val="19"/>
          <w:szCs w:val="19"/>
          <w:b w:val="1"/>
          <w:bCs w:val="1"/>
          <w:color w:val="auto"/>
        </w:rPr>
      </w:pPr>
    </w:p>
    <w:p>
      <w:pPr>
        <w:ind w:left="1060" w:right="140" w:hanging="362"/>
        <w:spacing w:after="0" w:line="271"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fluctuations in refinery capacity and other factors affecting demand for various grades of crude oil and NGL and resulting changes in pricing conditions or transportation throughput requirements;</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57" w:lineRule="exact"/>
        <w:rPr>
          <w:rFonts w:ascii="Arial" w:cs="Arial" w:eastAsia="Arial" w:hAnsi="Arial"/>
          <w:sz w:val="17"/>
          <w:szCs w:val="17"/>
          <w:color w:val="auto"/>
        </w:rPr>
      </w:pPr>
    </w:p>
    <w:p>
      <w:pPr>
        <w:ind w:left="1060" w:right="300" w:hanging="362"/>
        <w:spacing w:after="0" w:line="254"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84" w:lineRule="exact"/>
        <w:rPr>
          <w:rFonts w:ascii="Arial" w:cs="Arial" w:eastAsia="Arial" w:hAnsi="Arial"/>
          <w:sz w:val="20"/>
          <w:szCs w:val="20"/>
          <w:color w:val="auto"/>
        </w:rPr>
      </w:pPr>
    </w:p>
    <w:p>
      <w:pPr>
        <w:ind w:left="1060" w:right="320" w:hanging="362"/>
        <w:spacing w:after="0" w:line="258"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successful operation of joint ventures and joint operating arrangements PAA enters into from time to time, whether relating to assets operated by PAA or by third parties, and the successful integration and future performance of acquired assets or businesses;</w:t>
      </w:r>
    </w:p>
    <w:p>
      <w:pPr>
        <w:spacing w:after="0" w:line="81" w:lineRule="exact"/>
        <w:rPr>
          <w:rFonts w:ascii="Arial" w:cs="Arial" w:eastAsia="Arial" w:hAnsi="Arial"/>
          <w:sz w:val="20"/>
          <w:szCs w:val="20"/>
          <w:color w:val="auto"/>
        </w:rPr>
      </w:pPr>
    </w:p>
    <w:p>
      <w:pPr>
        <w:ind w:left="1060" w:right="240" w:hanging="362"/>
        <w:spacing w:after="0" w:line="271"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availability of, and PAA’s ability to consummate, acquisitions, divestitures, joint ventures or other strategic opportunities and realize benefits therefrom;</w:t>
      </w:r>
    </w:p>
    <w:p>
      <w:pPr>
        <w:spacing w:after="0" w:line="68" w:lineRule="exact"/>
        <w:rPr>
          <w:rFonts w:ascii="Arial" w:cs="Arial" w:eastAsia="Arial" w:hAnsi="Arial"/>
          <w:sz w:val="20"/>
          <w:szCs w:val="20"/>
          <w:color w:val="auto"/>
        </w:rPr>
      </w:pPr>
    </w:p>
    <w:p>
      <w:pPr>
        <w:ind w:left="1060" w:right="380" w:hanging="362"/>
        <w:spacing w:after="0" w:line="271"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environmental liabilities, litigation or other events that are not covered by an indemnity, insurance or existing reserves;</w:t>
      </w:r>
    </w:p>
    <w:p>
      <w:pPr>
        <w:spacing w:after="0" w:line="68" w:lineRule="exact"/>
        <w:rPr>
          <w:rFonts w:ascii="Arial" w:cs="Arial" w:eastAsia="Arial" w:hAnsi="Arial"/>
          <w:sz w:val="20"/>
          <w:szCs w:val="20"/>
          <w:color w:val="auto"/>
        </w:rPr>
      </w:pPr>
    </w:p>
    <w:p>
      <w:pPr>
        <w:ind w:left="1060" w:right="480" w:hanging="362"/>
        <w:spacing w:after="0" w:line="258"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81" w:lineRule="exact"/>
        <w:rPr>
          <w:rFonts w:ascii="Arial" w:cs="Arial" w:eastAsia="Arial" w:hAnsi="Arial"/>
          <w:sz w:val="20"/>
          <w:szCs w:val="20"/>
          <w:color w:val="auto"/>
        </w:rPr>
      </w:pPr>
    </w:p>
    <w:p>
      <w:pPr>
        <w:jc w:val="both"/>
        <w:ind w:left="1060" w:hanging="362"/>
        <w:spacing w:after="0" w:line="258"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81" w:lineRule="exact"/>
        <w:rPr>
          <w:rFonts w:ascii="Arial" w:cs="Arial" w:eastAsia="Arial" w:hAnsi="Arial"/>
          <w:sz w:val="20"/>
          <w:szCs w:val="20"/>
          <w:color w:val="auto"/>
        </w:rPr>
      </w:pPr>
    </w:p>
    <w:p>
      <w:pPr>
        <w:ind w:left="1060" w:right="280" w:hanging="362"/>
        <w:spacing w:after="0" w:line="271" w:lineRule="auto"/>
        <w:tabs>
          <w:tab w:leader="none" w:pos="106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weather interference with business operations or project construction, including the impact of extreme weather events or conditions (including hurricanes, floods, wildfires and drought);</w:t>
      </w:r>
    </w:p>
    <w:p>
      <w:pPr>
        <w:spacing w:after="0" w:line="68" w:lineRule="exact"/>
        <w:rPr>
          <w:rFonts w:ascii="Arial" w:cs="Arial" w:eastAsia="Arial" w:hAnsi="Arial"/>
          <w:sz w:val="20"/>
          <w:szCs w:val="20"/>
          <w:color w:val="auto"/>
        </w:rPr>
      </w:pPr>
    </w:p>
    <w:p>
      <w:pPr>
        <w:ind w:left="1060" w:right="40" w:hanging="362"/>
        <w:spacing w:after="0" w:line="268"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ectPr>
          <w:pgSz w:w="11880" w:h="15480" w:orient="portrait"/>
          <w:cols w:equalWidth="0" w:num="1">
            <w:col w:w="10000"/>
          </w:cols>
          <w:pgMar w:left="920" w:top="575" w:right="96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000"/>
          </w:cols>
          <w:pgMar w:left="920" w:top="575" w:right="960" w:bottom="0" w:gutter="0" w:footer="0" w:header="0"/>
          <w:type w:val="continuous"/>
        </w:sectPr>
      </w:pPr>
    </w:p>
    <w:bookmarkStart w:id="3" w:name="page4"/>
    <w:bookmarkEnd w:id="3"/>
    <w:p>
      <w:pPr>
        <w:ind w:left="1060" w:right="240" w:hanging="362"/>
        <w:spacing w:after="0" w:line="258"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81" w:lineRule="exact"/>
        <w:rPr>
          <w:rFonts w:ascii="Arial" w:cs="Arial" w:eastAsia="Arial" w:hAnsi="Arial"/>
          <w:sz w:val="20"/>
          <w:szCs w:val="20"/>
          <w:color w:val="auto"/>
        </w:rPr>
      </w:pPr>
    </w:p>
    <w:p>
      <w:pPr>
        <w:ind w:left="1060" w:right="40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pace of development of natural gas or other infrastructure and its impact on expected crude oil production growth in the Permian Basin;</w:t>
      </w:r>
    </w:p>
    <w:p>
      <w:pPr>
        <w:spacing w:after="0" w:line="68" w:lineRule="exact"/>
        <w:rPr>
          <w:rFonts w:ascii="Arial" w:cs="Arial" w:eastAsia="Arial" w:hAnsi="Arial"/>
          <w:sz w:val="20"/>
          <w:szCs w:val="20"/>
          <w:color w:val="auto"/>
        </w:rPr>
      </w:pPr>
    </w:p>
    <w:p>
      <w:pPr>
        <w:ind w:left="1060" w:right="20" w:hanging="362"/>
        <w:spacing w:after="0" w:line="306"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47" w:lineRule="exact"/>
        <w:rPr>
          <w:rFonts w:ascii="Arial" w:cs="Arial" w:eastAsia="Arial" w:hAnsi="Arial"/>
          <w:sz w:val="17"/>
          <w:szCs w:val="17"/>
          <w:color w:val="auto"/>
        </w:rPr>
      </w:pPr>
    </w:p>
    <w:p>
      <w:pPr>
        <w:ind w:left="1060" w:hanging="362"/>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loss of key personnel and inability to attract and retain new talent;</w:t>
      </w:r>
    </w:p>
    <w:p>
      <w:pPr>
        <w:spacing w:after="0" w:line="122" w:lineRule="exact"/>
        <w:rPr>
          <w:rFonts w:ascii="Arial" w:cs="Arial" w:eastAsia="Arial" w:hAnsi="Arial"/>
          <w:sz w:val="20"/>
          <w:szCs w:val="20"/>
          <w:color w:val="auto"/>
        </w:rPr>
      </w:pPr>
    </w:p>
    <w:p>
      <w:pPr>
        <w:ind w:left="1060" w:right="18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disruptions to futures markets for crude oil, NGL and other petroleum products, which may impair our ability to execute our commercial or hedging strategies;</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effectiveness of our risk management activities;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shortages or cost increases of supplies, materials or labor;</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maintenance of PAA’s credit ratings and ability to receive open credit from our suppliers and trade counterparties;</w:t>
      </w:r>
    </w:p>
    <w:p>
      <w:pPr>
        <w:spacing w:after="0" w:line="157" w:lineRule="exact"/>
        <w:rPr>
          <w:rFonts w:ascii="Arial" w:cs="Arial" w:eastAsia="Arial" w:hAnsi="Arial"/>
          <w:sz w:val="17"/>
          <w:szCs w:val="17"/>
          <w:color w:val="auto"/>
        </w:rPr>
      </w:pPr>
    </w:p>
    <w:p>
      <w:pPr>
        <w:ind w:left="1060" w:right="240" w:hanging="362"/>
        <w:spacing w:after="0" w:line="278"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3" w:lineRule="exact"/>
        <w:rPr>
          <w:rFonts w:ascii="Arial" w:cs="Arial" w:eastAsia="Arial" w:hAnsi="Arial"/>
          <w:sz w:val="19"/>
          <w:szCs w:val="19"/>
          <w:color w:val="auto"/>
        </w:rPr>
      </w:pPr>
    </w:p>
    <w:p>
      <w:pPr>
        <w:ind w:left="1060" w:right="40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incurrence of costs and expenses related to unexpected or unplanned capital or maintenance expenditures, third-party claims or other factors;</w:t>
      </w:r>
    </w:p>
    <w:p>
      <w:pPr>
        <w:spacing w:after="0" w:line="68" w:lineRule="exact"/>
        <w:rPr>
          <w:rFonts w:ascii="Arial" w:cs="Arial" w:eastAsia="Arial" w:hAnsi="Arial"/>
          <w:sz w:val="20"/>
          <w:szCs w:val="20"/>
          <w:color w:val="auto"/>
        </w:rPr>
      </w:pPr>
    </w:p>
    <w:p>
      <w:pPr>
        <w:ind w:left="1060" w:right="54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failure to implement or capitalize, or delays in implementing or capitalizing, on investment capital projects, whether due to permitting delays, permitting withdrawals or other factors;</w:t>
      </w:r>
    </w:p>
    <w:p>
      <w:pPr>
        <w:spacing w:after="0" w:line="68" w:lineRule="exact"/>
        <w:rPr>
          <w:rFonts w:ascii="Arial" w:cs="Arial" w:eastAsia="Arial" w:hAnsi="Arial"/>
          <w:sz w:val="20"/>
          <w:szCs w:val="20"/>
          <w:color w:val="auto"/>
        </w:rPr>
      </w:pPr>
    </w:p>
    <w:p>
      <w:pPr>
        <w:ind w:left="1060" w:right="60" w:hanging="362"/>
        <w:spacing w:after="0" w:line="258"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81" w:lineRule="exact"/>
        <w:rPr>
          <w:rFonts w:ascii="Arial" w:cs="Arial" w:eastAsia="Arial" w:hAnsi="Arial"/>
          <w:sz w:val="20"/>
          <w:szCs w:val="20"/>
          <w:color w:val="auto"/>
        </w:rPr>
      </w:pPr>
    </w:p>
    <w:p>
      <w:pPr>
        <w:ind w:left="1060" w:right="66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amplification of other risks caused by volatile or closed financial markets, capital constraints, liquidity concerns and inflation;</w:t>
      </w:r>
    </w:p>
    <w:p>
      <w:pPr>
        <w:spacing w:after="0" w:line="68" w:lineRule="exact"/>
        <w:rPr>
          <w:rFonts w:ascii="Arial" w:cs="Arial" w:eastAsia="Arial" w:hAnsi="Arial"/>
          <w:sz w:val="20"/>
          <w:szCs w:val="20"/>
          <w:color w:val="auto"/>
        </w:rPr>
      </w:pPr>
    </w:p>
    <w:p>
      <w:pPr>
        <w:ind w:left="1060" w:right="10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use or availability of third-party assets upon which our operations depend and over which we have little or no control;</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currency exchange rate of the Canadian dollar to the United States dollar;</w:t>
      </w:r>
    </w:p>
    <w:p>
      <w:pPr>
        <w:spacing w:after="0" w:line="122" w:lineRule="exact"/>
        <w:rPr>
          <w:rFonts w:ascii="Arial" w:cs="Arial" w:eastAsia="Arial" w:hAnsi="Arial"/>
          <w:sz w:val="20"/>
          <w:szCs w:val="20"/>
          <w:color w:val="auto"/>
        </w:rPr>
      </w:pPr>
    </w:p>
    <w:p>
      <w:pPr>
        <w:ind w:left="1060" w:right="16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deferral of current revenue recognition attributable to deficiency payments received from customers who fail to ship or move their minimum contracted volumes;</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significant under-utilization of our assets and facilities;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increased costs, or lack of availability, of insurance;</w:t>
      </w:r>
    </w:p>
    <w:p>
      <w:pPr>
        <w:spacing w:after="0" w:line="122" w:lineRule="exact"/>
        <w:rPr>
          <w:rFonts w:ascii="Arial" w:cs="Arial" w:eastAsia="Arial" w:hAnsi="Arial"/>
          <w:sz w:val="20"/>
          <w:szCs w:val="20"/>
          <w:color w:val="auto"/>
        </w:rPr>
      </w:pPr>
    </w:p>
    <w:p>
      <w:pPr>
        <w:ind w:left="1060" w:right="40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fluctuations in the debt and equity markets, including the price of PAA’s units at the time of vesting under its long-term incentive plans;</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risks related to the development and operation of our assets; and</w:t>
      </w:r>
    </w:p>
    <w:p>
      <w:pPr>
        <w:spacing w:after="0" w:line="122" w:lineRule="exact"/>
        <w:rPr>
          <w:rFonts w:ascii="Arial" w:cs="Arial" w:eastAsia="Arial" w:hAnsi="Arial"/>
          <w:sz w:val="20"/>
          <w:szCs w:val="20"/>
          <w:color w:val="auto"/>
        </w:rPr>
      </w:pPr>
    </w:p>
    <w:p>
      <w:pPr>
        <w:ind w:left="1060" w:right="180" w:hanging="362"/>
        <w:spacing w:after="0" w:line="271" w:lineRule="auto"/>
        <w:tabs>
          <w:tab w:leader="none" w:pos="10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other factors and uncertainties inherent in the transportation, storage, terminalling and marketing of crude oil, as well as in the processing, transportation, fractionation, storage and marketing of NGL.</w:t>
      </w:r>
    </w:p>
    <w:p>
      <w:pPr>
        <w:spacing w:after="0" w:line="304" w:lineRule="exact"/>
        <w:rPr>
          <w:sz w:val="20"/>
          <w:szCs w:val="20"/>
          <w:color w:val="auto"/>
        </w:rPr>
      </w:pPr>
    </w:p>
    <w:p>
      <w:pPr>
        <w:jc w:val="both"/>
        <w:ind w:firstLine="706"/>
        <w:spacing w:after="0" w:line="258" w:lineRule="auto"/>
        <w:rPr>
          <w:sz w:val="20"/>
          <w:szCs w:val="20"/>
          <w:color w:val="auto"/>
        </w:rPr>
      </w:pPr>
      <w:r>
        <w:rPr>
          <w:rFonts w:ascii="Arial" w:cs="Arial" w:eastAsia="Arial" w:hAnsi="Arial"/>
          <w:sz w:val="20"/>
          <w:szCs w:val="20"/>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ectPr>
          <w:pgSz w:w="11880" w:h="15480" w:orient="portrait"/>
          <w:cols w:equalWidth="0" w:num="1">
            <w:col w:w="10020"/>
          </w:cols>
          <w:pgMar w:left="920" w:top="58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20"/>
          </w:cols>
          <w:pgMar w:left="920" w:top="582" w:right="94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Items 1 and 2. </w:t>
      </w:r>
      <w:r>
        <w:rPr>
          <w:rFonts w:ascii="Arial" w:cs="Arial" w:eastAsia="Arial" w:hAnsi="Arial"/>
          <w:sz w:val="20"/>
          <w:szCs w:val="20"/>
          <w:b w:val="1"/>
          <w:bCs w:val="1"/>
          <w:i w:val="1"/>
          <w:iCs w:val="1"/>
          <w:color w:val="auto"/>
        </w:rPr>
        <w:t>Business and Properties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8" w:lineRule="exact"/>
        <w:rPr>
          <w:sz w:val="20"/>
          <w:szCs w:val="20"/>
          <w:color w:val="auto"/>
        </w:rPr>
      </w:pPr>
    </w:p>
    <w:p>
      <w:pPr>
        <w:ind w:firstLine="706"/>
        <w:spacing w:after="0" w:line="249" w:lineRule="auto"/>
        <w:rPr>
          <w:sz w:val="20"/>
          <w:szCs w:val="20"/>
          <w:color w:val="auto"/>
        </w:rPr>
      </w:pPr>
      <w:r>
        <w:rPr>
          <w:rFonts w:ascii="Arial" w:cs="Arial" w:eastAsia="Arial" w:hAnsi="Arial"/>
          <w:sz w:val="20"/>
          <w:szCs w:val="20"/>
          <w:color w:val="auto"/>
        </w:rPr>
        <w:t>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2024, its sole source of cash flow is derived from an indirect investment in Plains All American Pipeline, L.P. (“PAA”), a publicly traded Delaware limited partnership, through its limited partner interest in Plains AAP, L.P. (“AAP”). We also own a 100% managing member interest in Plains All American GP LLC (“GP LLC”), a Delaware limited liability company that holds the non-economic general partner interest in AAP.</w:t>
      </w:r>
    </w:p>
    <w:p>
      <w:pPr>
        <w:spacing w:after="0" w:line="211" w:lineRule="exact"/>
        <w:rPr>
          <w:sz w:val="20"/>
          <w:szCs w:val="20"/>
          <w:color w:val="auto"/>
        </w:rPr>
      </w:pPr>
    </w:p>
    <w:p>
      <w:pPr>
        <w:ind w:right="100" w:firstLine="706"/>
        <w:spacing w:after="0" w:line="266" w:lineRule="auto"/>
        <w:rPr>
          <w:sz w:val="20"/>
          <w:szCs w:val="20"/>
          <w:color w:val="auto"/>
        </w:rPr>
      </w:pPr>
      <w:r>
        <w:rPr>
          <w:rFonts w:ascii="Arial" w:cs="Arial" w:eastAsia="Arial" w:hAnsi="Arial"/>
          <w:sz w:val="19"/>
          <w:szCs w:val="19"/>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193" w:lineRule="exact"/>
        <w:rPr>
          <w:sz w:val="20"/>
          <w:szCs w:val="20"/>
          <w:color w:val="auto"/>
        </w:rPr>
      </w:pPr>
    </w:p>
    <w:p>
      <w:pPr>
        <w:ind w:right="60" w:firstLine="706"/>
        <w:spacing w:after="0" w:line="297" w:lineRule="auto"/>
        <w:rPr>
          <w:sz w:val="20"/>
          <w:szCs w:val="20"/>
          <w:color w:val="auto"/>
        </w:rPr>
      </w:pPr>
      <w:r>
        <w:rPr>
          <w:rFonts w:ascii="Arial" w:cs="Arial" w:eastAsia="Arial" w:hAnsi="Arial"/>
          <w:sz w:val="17"/>
          <w:szCs w:val="17"/>
          <w:color w:val="auto"/>
        </w:rPr>
        <w:t>PAA’s business is based on the fundamental thesis that hydrocarbons are essential to the security and advancement of human quality of life and will continue to play a major long-term role in the world economy.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and that North American crude oil and NGL production will be required to support the growth in demand.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175" w:lineRule="exact"/>
        <w:rPr>
          <w:sz w:val="20"/>
          <w:szCs w:val="20"/>
          <w:color w:val="auto"/>
        </w:rPr>
      </w:pPr>
    </w:p>
    <w:p>
      <w:pPr>
        <w:ind w:right="140" w:firstLine="706"/>
        <w:spacing w:after="0" w:line="254" w:lineRule="auto"/>
        <w:rPr>
          <w:sz w:val="20"/>
          <w:szCs w:val="20"/>
          <w:color w:val="auto"/>
        </w:rPr>
      </w:pPr>
      <w:r>
        <w:rPr>
          <w:rFonts w:ascii="Arial" w:cs="Arial" w:eastAsia="Arial" w:hAnsi="Arial"/>
          <w:sz w:val="20"/>
          <w:szCs w:val="20"/>
          <w:color w:val="auto"/>
        </w:rPr>
        <w:t>PAA’s assets are owned, and its operations are conducted, directly and indirectly through its primary operating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w:t>
      </w:r>
    </w:p>
    <w:p>
      <w:pPr>
        <w:spacing w:after="0" w:line="202" w:lineRule="exact"/>
        <w:rPr>
          <w:sz w:val="20"/>
          <w:szCs w:val="20"/>
          <w:color w:val="auto"/>
        </w:rPr>
      </w:pPr>
    </w:p>
    <w:p>
      <w:pPr>
        <w:ind w:right="280" w:firstLine="706"/>
        <w:spacing w:after="0" w:line="361" w:lineRule="auto"/>
        <w:rPr>
          <w:sz w:val="20"/>
          <w:szCs w:val="20"/>
          <w:color w:val="auto"/>
        </w:rPr>
      </w:pPr>
      <w:r>
        <w:rPr>
          <w:rFonts w:ascii="Arial" w:cs="Arial" w:eastAsia="Arial" w:hAnsi="Arial"/>
          <w:sz w:val="17"/>
          <w:szCs w:val="17"/>
          <w:color w:val="auto"/>
        </w:rPr>
        <w:t>References to the “PAGP Entities” include PAA GP Holdings LLC (“PAGP GP”), PAGP, GP LLC, AAP and PAA GP LLC (“PAA GP”). References to the “Plains Entities” include the PAGP Entities and PAA and its subsidiaries.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40"/>
          </w:cols>
          <w:pgMar w:left="920" w:top="575" w:right="920" w:bottom="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Organizational Structure</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diagram below shows our organizational structure as of December 31, 2024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6384925" cy="774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extLst>
                    </a:blip>
                    <a:srcRect/>
                    <a:stretch>
                      <a:fillRect/>
                    </a:stretch>
                  </pic:blipFill>
                  <pic:spPr bwMode="auto">
                    <a:xfrm>
                      <a:off x="0" y="0"/>
                      <a:ext cx="6384925" cy="7744460"/>
                    </a:xfrm>
                    <a:prstGeom prst="rect">
                      <a:avLst/>
                    </a:prstGeom>
                    <a:noFill/>
                  </pic:spPr>
                </pic:pic>
              </a:graphicData>
            </a:graphic>
          </wp:anchor>
        </w:drawing>
      </w:r>
    </w:p>
    <w:p>
      <w:pPr>
        <w:sectPr>
          <w:pgSz w:w="11880" w:h="15480" w:orient="portrait"/>
          <w:cols w:equalWidth="0" w:num="1">
            <w:col w:w="9520"/>
          </w:cols>
          <w:pgMar w:left="920" w:top="8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9520"/>
          </w:cols>
          <w:pgMar w:left="920" w:top="810" w:right="1440" w:bottom="0" w:gutter="0" w:footer="0" w:header="0"/>
          <w:type w:val="continuous"/>
        </w:sectPr>
      </w:pPr>
    </w:p>
    <w:bookmarkStart w:id="6" w:name="page7"/>
    <w:bookmarkEnd w:id="6"/>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right="140"/>
        <w:spacing w:after="0" w:line="264" w:lineRule="auto"/>
        <w:rPr>
          <w:sz w:val="20"/>
          <w:szCs w:val="20"/>
          <w:color w:val="auto"/>
        </w:rPr>
      </w:pPr>
      <w:r>
        <w:rPr>
          <w:rFonts w:ascii="Arial" w:cs="Arial" w:eastAsia="Arial" w:hAnsi="Arial"/>
          <w:sz w:val="19"/>
          <w:szCs w:val="19"/>
          <w:color w:val="auto"/>
        </w:rPr>
        <w:t>Each Class C share represents a non-economic limited partner interest in us. The Class C shares function as a “pass-through” voting mechanism through which PAA votes at the direction of and as proxy for the PAA common unitholders (other than AAP) and Series A preferred unitholders on the election of directors. The number of Class C shares that PAA owns is equal to the number of outstanding PAA common units and Series A Preferred units (“PAA Common Unit Equivalents”) that are entitled to vote, pro rata with the holders of our Class A and Class B shares, for the election of eligible PAGP GP directors. PAA Series B preferred units, which are non-voting securities, and PAA common units held by AAP, which already participate in such elections through our Class A and Class B shares, are not entitled to vote in the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-448945</wp:posOffset>
                </wp:positionH>
                <wp:positionV relativeFrom="paragraph">
                  <wp:posOffset>-1318895</wp:posOffset>
                </wp:positionV>
                <wp:extent cx="205295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29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499pt,-103.8499pt" to="126.3pt,-103.8499pt" o:allowincell="f" strokecolor="#000000" strokeweight="1pt"/>
            </w:pict>
          </mc:Fallback>
        </mc:AlternateContent>
      </w:r>
    </w:p>
    <w:p>
      <w:pPr>
        <w:spacing w:after="0" w:line="57" w:lineRule="exact"/>
        <w:rPr>
          <w:sz w:val="20"/>
          <w:szCs w:val="20"/>
          <w:color w:val="auto"/>
        </w:rPr>
      </w:pPr>
    </w:p>
    <w:p>
      <w:pPr>
        <w:ind w:right="460"/>
        <w:spacing w:after="0" w:line="298" w:lineRule="auto"/>
        <w:rPr>
          <w:sz w:val="20"/>
          <w:szCs w:val="20"/>
          <w:color w:val="auto"/>
        </w:rPr>
      </w:pPr>
      <w:r>
        <w:rPr>
          <w:rFonts w:ascii="Arial" w:cs="Arial" w:eastAsia="Arial" w:hAnsi="Arial"/>
          <w:sz w:val="19"/>
          <w:szCs w:val="19"/>
          <w:color w:val="auto"/>
        </w:rPr>
        <w:t>On January 31, 2025, PAA repurchased approximately 12.7 million Series A Preferred Units. See Note 11 to our Consolidated Financial Statements for additional information regarding this repurchase.</w:t>
      </w:r>
    </w:p>
    <w:p>
      <w:pPr>
        <w:spacing w:after="0" w:line="45"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PAA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200" w:lineRule="exact"/>
        <w:rPr>
          <w:sz w:val="20"/>
          <w:szCs w:val="20"/>
          <w:color w:val="auto"/>
        </w:rPr>
      </w:pPr>
    </w:p>
    <w:p>
      <w:pPr>
        <w:sectPr>
          <w:pgSz w:w="11880" w:h="15480" w:orient="portrait"/>
          <w:cols w:equalWidth="0" w:num="2">
            <w:col w:w="140" w:space="560"/>
            <w:col w:w="9300"/>
          </w:cols>
          <w:pgMar w:left="920" w:top="1088" w:right="960" w:bottom="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 Strategy</w:t>
      </w:r>
    </w:p>
    <w:p>
      <w:pPr>
        <w:spacing w:after="0" w:line="248" w:lineRule="exact"/>
        <w:rPr>
          <w:sz w:val="20"/>
          <w:szCs w:val="20"/>
          <w:color w:val="auto"/>
        </w:rPr>
      </w:pPr>
    </w:p>
    <w:p>
      <w:pPr>
        <w:jc w:val="both"/>
        <w:ind w:right="20" w:firstLine="706"/>
        <w:spacing w:after="0" w:line="258" w:lineRule="auto"/>
        <w:rPr>
          <w:sz w:val="20"/>
          <w:szCs w:val="20"/>
          <w:color w:val="auto"/>
        </w:rPr>
      </w:pPr>
      <w:r>
        <w:rPr>
          <w:rFonts w:ascii="Arial" w:cs="Arial" w:eastAsia="Arial" w:hAnsi="Arial"/>
          <w:sz w:val="20"/>
          <w:szCs w:val="20"/>
          <w:color w:val="auto"/>
        </w:rPr>
        <w:t>Unless we directly acquire and hold assets or businesses in the future, our cash flows will be generated solely from the cash distributions we receive on the Class A units of AAP (“AAP units”) we own. AAP currently receives all of its cash flows from distributions on the PAA common units it owns.</w:t>
      </w:r>
    </w:p>
    <w:p>
      <w:pPr>
        <w:spacing w:after="0" w:line="199" w:lineRule="exact"/>
        <w:rPr>
          <w:sz w:val="20"/>
          <w:szCs w:val="20"/>
          <w:color w:val="auto"/>
        </w:rPr>
      </w:pPr>
    </w:p>
    <w:p>
      <w:pPr>
        <w:ind w:right="400" w:firstLine="706"/>
        <w:spacing w:after="0" w:line="254" w:lineRule="auto"/>
        <w:rPr>
          <w:sz w:val="20"/>
          <w:szCs w:val="20"/>
          <w:color w:val="auto"/>
        </w:rPr>
      </w:pPr>
      <w:r>
        <w:rPr>
          <w:rFonts w:ascii="Arial" w:cs="Arial" w:eastAsia="Arial" w:hAnsi="Arial"/>
          <w:sz w:val="20"/>
          <w:szCs w:val="20"/>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202" w:lineRule="exact"/>
        <w:rPr>
          <w:sz w:val="20"/>
          <w:szCs w:val="20"/>
          <w:color w:val="auto"/>
        </w:rPr>
      </w:pPr>
    </w:p>
    <w:p>
      <w:pPr>
        <w:ind w:right="100" w:firstLine="706"/>
        <w:spacing w:after="0" w:line="271" w:lineRule="auto"/>
        <w:rPr>
          <w:sz w:val="20"/>
          <w:szCs w:val="20"/>
          <w:color w:val="auto"/>
        </w:rPr>
      </w:pPr>
      <w:r>
        <w:rPr>
          <w:rFonts w:ascii="Arial" w:cs="Arial" w:eastAsia="Arial" w:hAnsi="Arial"/>
          <w:sz w:val="19"/>
          <w:szCs w:val="19"/>
          <w:color w:val="auto"/>
        </w:rPr>
        <w:t>We maintain a one-to-one relationship between our Class A shares and the underlying PAA common units in which we have an indirect economic interest through our ownership interest in AAP (referred to as “Economic Parity”), such that the number of our outstanding Class A shares equals the number of AAP units we own, which in turn equals the number of PAA common units held by AAP attributable to our ownership interest in AAP.</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PAA’s Business Strategy</w:t>
      </w:r>
    </w:p>
    <w:p>
      <w:pPr>
        <w:spacing w:after="0" w:line="248" w:lineRule="exact"/>
        <w:rPr>
          <w:sz w:val="20"/>
          <w:szCs w:val="20"/>
          <w:color w:val="auto"/>
        </w:rPr>
      </w:pPr>
    </w:p>
    <w:p>
      <w:pPr>
        <w:ind w:right="60" w:firstLine="706"/>
        <w:spacing w:after="0" w:line="312" w:lineRule="auto"/>
        <w:rPr>
          <w:sz w:val="20"/>
          <w:szCs w:val="20"/>
          <w:color w:val="auto"/>
        </w:rPr>
      </w:pPr>
      <w:r>
        <w:rPr>
          <w:rFonts w:ascii="Arial" w:cs="Arial" w:eastAsia="Arial" w:hAnsi="Arial"/>
          <w:sz w:val="17"/>
          <w:szCs w:val="17"/>
          <w:color w:val="auto"/>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commercial expertise. PAA intends to execute its strategy by:</w:t>
      </w:r>
    </w:p>
    <w:p>
      <w:pPr>
        <w:spacing w:after="0" w:line="42" w:lineRule="exact"/>
        <w:rPr>
          <w:sz w:val="20"/>
          <w:szCs w:val="20"/>
          <w:color w:val="auto"/>
        </w:rPr>
      </w:pPr>
    </w:p>
    <w:p>
      <w:pPr>
        <w:ind w:left="1060" w:right="240" w:hanging="362"/>
        <w:spacing w:after="0" w:line="271" w:lineRule="auto"/>
        <w:tabs>
          <w:tab w:leader="none" w:pos="1060" w:val="left"/>
        </w:tabs>
        <w:numPr>
          <w:ilvl w:val="0"/>
          <w:numId w:val="5"/>
        </w:numPr>
        <w:rPr>
          <w:rFonts w:ascii="Arial" w:cs="Arial" w:eastAsia="Arial" w:hAnsi="Arial"/>
          <w:sz w:val="20"/>
          <w:szCs w:val="20"/>
          <w:color w:val="auto"/>
        </w:rPr>
      </w:pPr>
      <w:r>
        <w:rPr>
          <w:rFonts w:ascii="Arial" w:cs="Arial" w:eastAsia="Arial" w:hAnsi="Arial"/>
          <w:sz w:val="20"/>
          <w:szCs w:val="20"/>
          <w:color w:val="auto"/>
        </w:rPr>
        <w:t>Focusing on operational excellence, continuous improvement and running a safe, reliable, and environmentally and socially responsible operation;</w:t>
      </w:r>
    </w:p>
    <w:p>
      <w:pPr>
        <w:spacing w:after="0" w:line="68" w:lineRule="exact"/>
        <w:rPr>
          <w:rFonts w:ascii="Arial" w:cs="Arial" w:eastAsia="Arial" w:hAnsi="Arial"/>
          <w:sz w:val="20"/>
          <w:szCs w:val="20"/>
          <w:color w:val="auto"/>
        </w:rPr>
      </w:pPr>
    </w:p>
    <w:p>
      <w:pPr>
        <w:ind w:left="1060" w:right="180" w:hanging="362"/>
        <w:spacing w:after="0" w:line="254" w:lineRule="auto"/>
        <w:tabs>
          <w:tab w:leader="none" w:pos="1060" w:val="left"/>
        </w:tabs>
        <w:numPr>
          <w:ilvl w:val="0"/>
          <w:numId w:val="5"/>
        </w:numPr>
        <w:rPr>
          <w:rFonts w:ascii="Arial" w:cs="Arial" w:eastAsia="Arial" w:hAnsi="Arial"/>
          <w:sz w:val="20"/>
          <w:szCs w:val="20"/>
          <w:color w:val="auto"/>
        </w:rPr>
      </w:pPr>
      <w:r>
        <w:rPr>
          <w:rFonts w:ascii="Arial" w:cs="Arial" w:eastAsia="Arial" w:hAnsi="Arial"/>
          <w:sz w:val="20"/>
          <w:szCs w:val="20"/>
          <w:color w:val="auto"/>
        </w:rPr>
        <w:t>Using its well-positioned network of midstream infrastructure in conjunction with its commercial capabilities to provide its customers with market access, flexibility and value chain solutions, capture market opportunities, address physical market imbalances and generate and grow sustainable cash flow and margin while maintaining an acceptable risk profile;</w:t>
      </w:r>
    </w:p>
    <w:p>
      <w:pPr>
        <w:spacing w:after="0" w:line="84" w:lineRule="exact"/>
        <w:rPr>
          <w:rFonts w:ascii="Arial" w:cs="Arial" w:eastAsia="Arial" w:hAnsi="Arial"/>
          <w:sz w:val="20"/>
          <w:szCs w:val="20"/>
          <w:color w:val="auto"/>
        </w:rPr>
      </w:pPr>
    </w:p>
    <w:p>
      <w:pPr>
        <w:ind w:left="1060" w:hanging="362"/>
        <w:spacing w:after="0" w:line="360"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Optimizing and enhancing its asset portfolio and operations (through disciplined and accretive capital investments and the pursuit of emerging energy opportunities) to maximize returns on invested capital; and</w:t>
      </w:r>
    </w:p>
    <w:p>
      <w:pPr>
        <w:spacing w:after="0" w:line="1" w:lineRule="exact"/>
        <w:rPr>
          <w:rFonts w:ascii="Arial" w:cs="Arial" w:eastAsia="Arial" w:hAnsi="Arial"/>
          <w:sz w:val="17"/>
          <w:szCs w:val="17"/>
          <w:color w:val="auto"/>
        </w:rPr>
      </w:pPr>
    </w:p>
    <w:p>
      <w:pPr>
        <w:ind w:left="1060" w:hanging="362"/>
        <w:spacing w:after="0" w:line="271" w:lineRule="auto"/>
        <w:tabs>
          <w:tab w:leader="none" w:pos="1060" w:val="left"/>
        </w:tabs>
        <w:numPr>
          <w:ilvl w:val="0"/>
          <w:numId w:val="5"/>
        </w:numPr>
        <w:rPr>
          <w:rFonts w:ascii="Arial" w:cs="Arial" w:eastAsia="Arial" w:hAnsi="Arial"/>
          <w:sz w:val="20"/>
          <w:szCs w:val="20"/>
          <w:color w:val="auto"/>
        </w:rPr>
      </w:pPr>
      <w:r>
        <w:rPr>
          <w:rFonts w:ascii="Arial" w:cs="Arial" w:eastAsia="Arial" w:hAnsi="Arial"/>
          <w:sz w:val="20"/>
          <w:szCs w:val="20"/>
          <w:color w:val="auto"/>
        </w:rPr>
        <w:t>Pursuing a balanced, long-term financial strategy that is focused on maintaining an investment grade credit profile and enhancing financial flexibility by making disciplined capital allocation decisions.</w:t>
      </w:r>
    </w:p>
    <w:p>
      <w:pPr>
        <w:sectPr>
          <w:pgSz w:w="11880" w:h="15480" w:orient="portrait"/>
          <w:cols w:equalWidth="0" w:num="1">
            <w:col w:w="10000"/>
          </w:cols>
          <w:pgMar w:left="920" w:top="1088"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00"/>
          </w:cols>
          <w:pgMar w:left="920" w:top="1088" w:right="960" w:bottom="0" w:gutter="0" w:footer="0" w:header="0"/>
          <w:type w:val="continuous"/>
        </w:sectPr>
      </w:pPr>
    </w:p>
    <w:bookmarkStart w:id="7" w:name="page8"/>
    <w:bookmarkEnd w:id="7"/>
    <w:p>
      <w:pPr>
        <w:ind w:right="240" w:firstLine="706"/>
        <w:spacing w:after="0" w:line="258" w:lineRule="auto"/>
        <w:rPr>
          <w:sz w:val="20"/>
          <w:szCs w:val="20"/>
          <w:color w:val="auto"/>
        </w:rPr>
      </w:pPr>
      <w:r>
        <w:rPr>
          <w:rFonts w:ascii="Arial" w:cs="Arial" w:eastAsia="Arial" w:hAnsi="Arial"/>
          <w:sz w:val="20"/>
          <w:szCs w:val="20"/>
          <w:color w:val="auto"/>
        </w:rPr>
        <w:t>We believe PAA’s successful execution of this strategy will enable it to generate and grow sustainable earnings and cash flow, and will position PAA to maintain an investment grade credit profile and increase returns to equity holders over time.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PAA’s Competitive Strengths</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We believe that the following competitive strengths position PAA to successfully execute its principal business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strategy:</w:t>
      </w:r>
    </w:p>
    <w:p>
      <w:pPr>
        <w:spacing w:after="0" w:line="102" w:lineRule="exact"/>
        <w:rPr>
          <w:sz w:val="20"/>
          <w:szCs w:val="20"/>
          <w:color w:val="auto"/>
        </w:rPr>
      </w:pPr>
    </w:p>
    <w:p>
      <w:pPr>
        <w:ind w:left="1060" w:right="40" w:hanging="362"/>
        <w:spacing w:after="0" w:line="298" w:lineRule="auto"/>
        <w:tabs>
          <w:tab w:leader="none" w:pos="10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PAA owns a strategically located, geographically diverse and interconnected large-scale asset base that provides operational flexibility and commercial optionality. </w:t>
      </w:r>
      <w:r>
        <w:rPr>
          <w:rFonts w:ascii="Arial" w:cs="Arial" w:eastAsia="Arial" w:hAnsi="Arial"/>
          <w:sz w:val="17"/>
          <w:szCs w:val="17"/>
          <w:color w:val="auto"/>
        </w:rPr>
        <w:t>The majority of PAA’s transportation assets are in crude oil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are located in well-established crude oil producing regions (with PAA’s largest asset presence in the Permian Basin) and other transportation corridors and are connected, directly or indirectly, with PAA’s terminals and facilities assets. The majority of PAA’s terminals and facilities assets are located at major trading locations and premium markets that serve as gateways to major North American refinery and distribution markets and key export terminals where PAA has strong business relationships. In addition, PAA’s pipeline, rail, truck and storage assets provide PAA’s customers and PAA with significant flexibility and optionality to satisfy demand, balance markets, and participate in emerging energy opportunities.</w:t>
      </w:r>
    </w:p>
    <w:p>
      <w:pPr>
        <w:spacing w:after="0" w:line="108" w:lineRule="exact"/>
        <w:rPr>
          <w:rFonts w:ascii="Arial" w:cs="Arial" w:eastAsia="Arial" w:hAnsi="Arial"/>
          <w:sz w:val="17"/>
          <w:szCs w:val="17"/>
          <w:b w:val="1"/>
          <w:bCs w:val="1"/>
          <w:i w:val="1"/>
          <w:iCs w:val="1"/>
          <w:color w:val="auto"/>
        </w:rPr>
      </w:pPr>
    </w:p>
    <w:p>
      <w:pPr>
        <w:ind w:left="1060" w:right="40" w:hanging="362"/>
        <w:spacing w:after="0" w:line="264"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PAA’s full-service integrated model and long-term focus attracts a broad, diverse and high-quality customer base that supports sustainable fee-based cash flow generation. </w:t>
      </w:r>
      <w:r>
        <w:rPr>
          <w:rFonts w:ascii="Arial" w:cs="Arial" w:eastAsia="Arial" w:hAnsi="Arial"/>
          <w:sz w:val="19"/>
          <w:szCs w:val="19"/>
          <w:color w:val="auto"/>
        </w:rPr>
        <w:t>PAA’s strategically located and interconnected asset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 enables it to provide its customers with a wide variety of 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w:t>
      </w:r>
    </w:p>
    <w:p>
      <w:pPr>
        <w:spacing w:after="0" w:line="135" w:lineRule="exact"/>
        <w:rPr>
          <w:rFonts w:ascii="Arial" w:cs="Arial" w:eastAsia="Arial" w:hAnsi="Arial"/>
          <w:sz w:val="19"/>
          <w:szCs w:val="19"/>
          <w:color w:val="auto"/>
        </w:rPr>
      </w:pPr>
    </w:p>
    <w:p>
      <w:pPr>
        <w:ind w:left="1060" w:right="120" w:hanging="362"/>
        <w:spacing w:after="0" w:line="307" w:lineRule="auto"/>
        <w:tabs>
          <w:tab w:leader="none" w:pos="10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PAA possesses specialized crude oil and NGL market knowledge. </w:t>
      </w:r>
      <w:r>
        <w:rPr>
          <w:rFonts w:ascii="Arial" w:cs="Arial" w:eastAsia="Arial" w:hAnsi="Arial"/>
          <w:sz w:val="17"/>
          <w:szCs w:val="17"/>
          <w:color w:val="auto"/>
        </w:rPr>
        <w:t>We believe PAA’s business relationships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in various phases of 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spacing w:after="0" w:line="102" w:lineRule="exact"/>
        <w:rPr>
          <w:rFonts w:ascii="Arial" w:cs="Arial" w:eastAsia="Arial" w:hAnsi="Arial"/>
          <w:sz w:val="17"/>
          <w:szCs w:val="17"/>
          <w:b w:val="1"/>
          <w:bCs w:val="1"/>
          <w:i w:val="1"/>
          <w:iCs w:val="1"/>
          <w:color w:val="auto"/>
        </w:rPr>
      </w:pPr>
    </w:p>
    <w:p>
      <w:pPr>
        <w:ind w:left="1060" w:hanging="362"/>
        <w:spacing w:after="0" w:line="326" w:lineRule="auto"/>
        <w:tabs>
          <w:tab w:leader="none" w:pos="10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PAA’s merchant activities provide it with the opportunity to realize incremental margins. </w:t>
      </w:r>
      <w:r>
        <w:rPr>
          <w:rFonts w:ascii="Arial" w:cs="Arial" w:eastAsia="Arial" w:hAnsi="Arial"/>
          <w:sz w:val="17"/>
          <w:szCs w:val="17"/>
          <w:color w:val="auto"/>
        </w:rPr>
        <w:t>We believe the variety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its merchant activities provides PAA with a low-risk opportunity to generate incremental margin, the amount of which may vary depending on market conditions (such as differentials and certain competitive factors).</w:t>
      </w:r>
    </w:p>
    <w:p>
      <w:pPr>
        <w:spacing w:after="0" w:line="85" w:lineRule="exact"/>
        <w:rPr>
          <w:rFonts w:ascii="Arial" w:cs="Arial" w:eastAsia="Arial" w:hAnsi="Arial"/>
          <w:sz w:val="17"/>
          <w:szCs w:val="17"/>
          <w:b w:val="1"/>
          <w:bCs w:val="1"/>
          <w:i w:val="1"/>
          <w:iCs w:val="1"/>
          <w:color w:val="auto"/>
        </w:rPr>
      </w:pPr>
    </w:p>
    <w:p>
      <w:pPr>
        <w:ind w:left="1060" w:right="300" w:hanging="362"/>
        <w:spacing w:after="0" w:line="268"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PAA has the financial, strategic and technical skills needed to execute strategic transactions that support its business and financial objectives, including joint ventures, joint ownership arrangements, acquisitions and divestitures. </w:t>
      </w:r>
      <w:r>
        <w:rPr>
          <w:rFonts w:ascii="Arial" w:cs="Arial" w:eastAsia="Arial" w:hAnsi="Arial"/>
          <w:sz w:val="19"/>
          <w:szCs w:val="19"/>
          <w:color w:val="auto"/>
        </w:rPr>
        <w:t>PAA is a party to more than 25 joint ventures and/or joint ownership arrangements (including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Permian JV that was formed in October 2021) with strategic partners that support the success of the applicable project or investment.</w:t>
      </w:r>
    </w:p>
    <w:p>
      <w:pPr>
        <w:spacing w:after="0" w:line="132" w:lineRule="exact"/>
        <w:rPr>
          <w:rFonts w:ascii="Arial" w:cs="Arial" w:eastAsia="Arial" w:hAnsi="Arial"/>
          <w:sz w:val="19"/>
          <w:szCs w:val="19"/>
          <w:color w:val="auto"/>
        </w:rPr>
      </w:pPr>
    </w:p>
    <w:p>
      <w:pPr>
        <w:ind w:left="1060" w:right="180" w:hanging="362"/>
        <w:spacing w:after="0" w:line="251" w:lineRule="auto"/>
        <w:tabs>
          <w:tab w:leader="none" w:pos="1060" w:val="left"/>
        </w:tabs>
        <w:numPr>
          <w:ilvl w:val="0"/>
          <w:numId w:val="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PAA has an experienced management team whose interests are aligned with those of its equity holders. </w:t>
      </w:r>
      <w:r>
        <w:rPr>
          <w:rFonts w:ascii="Arial" w:cs="Arial" w:eastAsia="Arial" w:hAnsi="Arial"/>
          <w:sz w:val="20"/>
          <w:szCs w:val="20"/>
          <w:color w:val="auto"/>
        </w:rPr>
        <w:t>PAA’s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 management team has an average of 30+ years of experience spanning across all sectors of the energy industry and an average of over 15 years of experience with PAA or its predecessors and affiliates. In addition, through their ownership of PAA equity interests and grants of long-term equity incentive awards, PAA’s management team has a vested interest in PAA’s continued success that is aligned with the interests of PAA’s equity 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Financial Strategy</w:t>
      </w:r>
    </w:p>
    <w:p>
      <w:pPr>
        <w:spacing w:after="0" w:line="248" w:lineRule="exact"/>
        <w:rPr>
          <w:sz w:val="20"/>
          <w:szCs w:val="20"/>
          <w:color w:val="auto"/>
        </w:rPr>
      </w:pPr>
    </w:p>
    <w:p>
      <w:pPr>
        <w:ind w:right="220" w:firstLine="706"/>
        <w:spacing w:after="0" w:line="258" w:lineRule="auto"/>
        <w:rPr>
          <w:sz w:val="20"/>
          <w:szCs w:val="20"/>
          <w:color w:val="auto"/>
        </w:rPr>
      </w:pPr>
      <w:r>
        <w:rPr>
          <w:rFonts w:ascii="Arial" w:cs="Arial" w:eastAsia="Arial" w:hAnsi="Arial"/>
          <w:sz w:val="20"/>
          <w:szCs w:val="20"/>
          <w:color w:val="auto"/>
        </w:rPr>
        <w:t>Our financial strategy is designed to be complementary to PAA’s financial and business strategies. Our only cash-generating asset is our limited partner interest in AAP, which currently receives all of its cash flows from distributions on the PAA common units it owns.</w:t>
      </w:r>
    </w:p>
    <w:p>
      <w:pPr>
        <w:sectPr>
          <w:pgSz w:w="11880" w:h="15480" w:orient="portrait"/>
          <w:cols w:equalWidth="0" w:num="1">
            <w:col w:w="10020"/>
          </w:cols>
          <w:pgMar w:left="920" w:top="58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20"/>
          </w:cols>
          <w:pgMar w:left="920" w:top="582" w:right="940" w:bottom="0" w:gutter="0" w:footer="0" w:header="0"/>
          <w:type w:val="continuous"/>
        </w:sectPr>
      </w:pPr>
    </w:p>
    <w:bookmarkStart w:id="8" w:name="page9"/>
    <w:bookmarkEnd w:id="8"/>
    <w:p>
      <w:pPr>
        <w:ind w:right="120" w:firstLine="706"/>
        <w:spacing w:after="0" w:line="268" w:lineRule="auto"/>
        <w:rPr>
          <w:sz w:val="20"/>
          <w:szCs w:val="20"/>
          <w:color w:val="auto"/>
        </w:rPr>
      </w:pPr>
      <w:r>
        <w:rPr>
          <w:rFonts w:ascii="Arial" w:cs="Arial" w:eastAsia="Arial" w:hAnsi="Arial"/>
          <w:sz w:val="19"/>
          <w:szCs w:val="19"/>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191" w:lineRule="exact"/>
        <w:rPr>
          <w:sz w:val="20"/>
          <w:szCs w:val="20"/>
          <w:color w:val="auto"/>
        </w:rPr>
      </w:pPr>
    </w:p>
    <w:p>
      <w:pPr>
        <w:ind w:right="40" w:firstLine="706"/>
        <w:spacing w:after="0" w:line="254" w:lineRule="auto"/>
        <w:rPr>
          <w:sz w:val="20"/>
          <w:szCs w:val="20"/>
          <w:color w:val="auto"/>
        </w:rPr>
      </w:pPr>
      <w:r>
        <w:rPr>
          <w:rFonts w:ascii="Arial" w:cs="Arial" w:eastAsia="Arial" w:hAnsi="Arial"/>
          <w:sz w:val="20"/>
          <w:szCs w:val="20"/>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PAA’s Financial Strategy</w:t>
      </w:r>
    </w:p>
    <w:p>
      <w:pPr>
        <w:spacing w:after="0" w:line="244" w:lineRule="exact"/>
        <w:rPr>
          <w:sz w:val="20"/>
          <w:szCs w:val="20"/>
          <w:color w:val="auto"/>
        </w:rPr>
      </w:pPr>
    </w:p>
    <w:p>
      <w:pPr>
        <w:ind w:right="120" w:firstLine="706"/>
        <w:spacing w:after="0" w:line="299" w:lineRule="auto"/>
        <w:rPr>
          <w:sz w:val="20"/>
          <w:szCs w:val="20"/>
          <w:color w:val="auto"/>
        </w:rPr>
      </w:pPr>
      <w:r>
        <w:rPr>
          <w:rFonts w:ascii="Arial" w:cs="Arial" w:eastAsia="Arial" w:hAnsi="Arial"/>
          <w:sz w:val="17"/>
          <w:szCs w:val="17"/>
          <w:color w:val="auto"/>
        </w:rPr>
        <w:t>PAA’s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its initial public offering in 1998, PAA has completed and integrated over 100 acquisitions with an aggregate purchase price of approximately $14.7 billion, implemented investment capital projects totaling approximately $18.1 billion, returned $19.3 billion to its equity holders, primarily in the form of distributions, and enhanced its credit rating to investment grade from non-investment grade. Additionally, since 2016 PAA has completed more than $4.9 billion of divestitures of non-core assets and/or strategic sales of partial interests in selected assets.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Targeted Credit Profile</w:t>
      </w:r>
    </w:p>
    <w:p>
      <w:pPr>
        <w:spacing w:after="0" w:line="248" w:lineRule="exact"/>
        <w:rPr>
          <w:sz w:val="20"/>
          <w:szCs w:val="20"/>
          <w:color w:val="auto"/>
        </w:rPr>
      </w:pPr>
    </w:p>
    <w:p>
      <w:pPr>
        <w:ind w:right="100" w:firstLine="706"/>
        <w:spacing w:after="0" w:line="271" w:lineRule="auto"/>
        <w:rPr>
          <w:sz w:val="20"/>
          <w:szCs w:val="20"/>
          <w:color w:val="auto"/>
        </w:rPr>
      </w:pPr>
      <w:r>
        <w:rPr>
          <w:rFonts w:ascii="Arial" w:cs="Arial" w:eastAsia="Arial" w:hAnsi="Arial"/>
          <w:sz w:val="20"/>
          <w:szCs w:val="20"/>
          <w:color w:val="auto"/>
        </w:rPr>
        <w:t>As part of PAA’s financial strategy, it intends to maintain a credit profile that it believes is consistent with investment grade credit ratings. PAA targets a credit profile with the following attributes:</w:t>
      </w:r>
    </w:p>
    <w:p>
      <w:pPr>
        <w:spacing w:after="0" w:line="186" w:lineRule="exact"/>
        <w:rPr>
          <w:sz w:val="20"/>
          <w:szCs w:val="20"/>
          <w:color w:val="auto"/>
        </w:rPr>
      </w:pPr>
    </w:p>
    <w:p>
      <w:pPr>
        <w:ind w:left="1060" w:right="100" w:hanging="362"/>
        <w:spacing w:after="0" w:line="278" w:lineRule="auto"/>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spacing w:after="0" w:line="63" w:lineRule="exact"/>
        <w:rPr>
          <w:rFonts w:ascii="Arial" w:cs="Arial" w:eastAsia="Arial" w:hAnsi="Arial"/>
          <w:sz w:val="19"/>
          <w:szCs w:val="19"/>
          <w:color w:val="auto"/>
        </w:rPr>
      </w:pPr>
    </w:p>
    <w:p>
      <w:pPr>
        <w:ind w:left="1060" w:hanging="362"/>
        <w:spacing w:after="0"/>
        <w:tabs>
          <w:tab w:leader="none" w:pos="10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an average long-term debt-to-total capitalization ratio of approximately 50% or less;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an average total debt-to-total capitalization ratio of approximately 60% or less;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an average Adjusted EBITDA-to-interest coverage multiple of approximately 3.3x or better.</w:t>
      </w:r>
    </w:p>
    <w:p>
      <w:pPr>
        <w:spacing w:after="0" w:line="240" w:lineRule="exact"/>
        <w:rPr>
          <w:sz w:val="20"/>
          <w:szCs w:val="20"/>
          <w:color w:val="auto"/>
        </w:rPr>
      </w:pPr>
    </w:p>
    <w:p>
      <w:pPr>
        <w:jc w:val="both"/>
        <w:ind w:right="260" w:firstLine="706"/>
        <w:spacing w:after="0" w:line="258" w:lineRule="auto"/>
        <w:rPr>
          <w:sz w:val="20"/>
          <w:szCs w:val="20"/>
          <w:color w:val="auto"/>
        </w:rPr>
      </w:pPr>
      <w:r>
        <w:rPr>
          <w:rFonts w:ascii="Arial" w:cs="Arial" w:eastAsia="Arial" w:hAnsi="Arial"/>
          <w:sz w:val="20"/>
          <w:szCs w:val="20"/>
          <w:color w:val="auto"/>
        </w:rPr>
        <w:t>See Item 7. “Management’s Discussion and Analysis of Financial Condition and Results of Operations—Results of Operations—Non-GAAP Financial Measures” for our definition of Adjusted EBITDA and Adjusted EBITDA attributable to PAA.</w:t>
      </w:r>
    </w:p>
    <w:p>
      <w:pPr>
        <w:spacing w:after="0" w:line="199"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At December 31, 2024, PAA’s publicly-traded senior notes comprised approximately 99% of its long-term debt. Additionally, PAA routinely incurs short-term debt primarily in connection with its merchant activities that involve the simultaneous purchase and forward sale of crude oil and NGL. The crude oil and NGL purchased in these transactions are volumetrically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0"/>
          </w:cols>
          <w:pgMar w:left="920" w:top="582" w:right="920"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Values and Sustainability</w:t>
      </w:r>
    </w:p>
    <w:p>
      <w:pPr>
        <w:spacing w:after="0" w:line="248" w:lineRule="exact"/>
        <w:rPr>
          <w:sz w:val="20"/>
          <w:szCs w:val="20"/>
          <w:color w:val="auto"/>
        </w:rPr>
      </w:pPr>
    </w:p>
    <w:p>
      <w:pPr>
        <w:ind w:firstLine="706"/>
        <w:spacing w:after="0" w:line="294" w:lineRule="auto"/>
        <w:rPr>
          <w:sz w:val="20"/>
          <w:szCs w:val="20"/>
          <w:color w:val="auto"/>
        </w:rPr>
      </w:pPr>
      <w:r>
        <w:rPr>
          <w:rFonts w:ascii="Arial" w:cs="Arial" w:eastAsia="Arial" w:hAnsi="Arial"/>
          <w:sz w:val="17"/>
          <w:szCs w:val="17"/>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our officers and employees conduct themselves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Annual environmental and safety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References to sustainability in this report incorporate ESG factors. See “—Available Information” below.</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Segments and Associated Assets</w:t>
      </w:r>
    </w:p>
    <w:p>
      <w:pPr>
        <w:spacing w:after="0" w:line="248" w:lineRule="exact"/>
        <w:rPr>
          <w:sz w:val="20"/>
          <w:szCs w:val="20"/>
          <w:color w:val="auto"/>
        </w:rPr>
      </w:pPr>
    </w:p>
    <w:p>
      <w:pPr>
        <w:ind w:firstLine="706"/>
        <w:spacing w:after="0" w:line="268" w:lineRule="auto"/>
        <w:rPr>
          <w:sz w:val="20"/>
          <w:szCs w:val="20"/>
          <w:color w:val="auto"/>
        </w:rPr>
      </w:pPr>
      <w:r>
        <w:rPr>
          <w:rFonts w:ascii="Arial" w:cs="Arial" w:eastAsia="Arial" w:hAnsi="Arial"/>
          <w:sz w:val="19"/>
          <w:szCs w:val="19"/>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two segments — Crude Oil and NGL. Accordingly, any references to “we,” “us,” “our,” and similar terms describing assets, business characteristics or other related matters are references to assets, business characteristics or other matters involving PAA’s assets and operations.</w:t>
      </w:r>
    </w:p>
    <w:p>
      <w:pPr>
        <w:spacing w:after="0" w:line="191" w:lineRule="exact"/>
        <w:rPr>
          <w:sz w:val="20"/>
          <w:szCs w:val="20"/>
          <w:color w:val="auto"/>
        </w:rPr>
      </w:pPr>
    </w:p>
    <w:p>
      <w:pPr>
        <w:ind w:right="240" w:firstLine="706"/>
        <w:spacing w:after="0" w:line="361" w:lineRule="auto"/>
        <w:rPr>
          <w:sz w:val="20"/>
          <w:szCs w:val="20"/>
          <w:color w:val="auto"/>
        </w:rPr>
      </w:pPr>
      <w:r>
        <w:rPr>
          <w:rFonts w:ascii="Arial" w:cs="Arial" w:eastAsia="Arial" w:hAnsi="Arial"/>
          <w:sz w:val="17"/>
          <w:szCs w:val="17"/>
          <w:color w:val="auto"/>
        </w:rPr>
        <w:t>We have an extensive network of pipeline transportation, terminalling, storage and gathering assets in key crude oil and NGL producing basins and transportation corridors and at major market hubs in the United States and Canada.</w:t>
      </w:r>
    </w:p>
    <w:p>
      <w:pPr>
        <w:sectPr>
          <w:pgSz w:w="11880" w:h="15480" w:orient="portrait"/>
          <w:cols w:equalWidth="0" w:num="1">
            <w:col w:w="9980"/>
          </w:cols>
          <w:pgMar w:left="920" w:top="57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980"/>
          </w:cols>
          <w:pgMar w:left="920" w:top="575" w:right="980" w:bottom="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579755</wp:posOffset>
            </wp:positionH>
            <wp:positionV relativeFrom="page">
              <wp:posOffset>408305</wp:posOffset>
            </wp:positionV>
            <wp:extent cx="6384925" cy="5509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384925" cy="550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Following is a description of the activities and assets for each of our segments.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Crude Oil Segment</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Crude Oil Market and Business Overview</w:t>
      </w:r>
    </w:p>
    <w:p>
      <w:pPr>
        <w:spacing w:after="0" w:line="248" w:lineRule="exact"/>
        <w:rPr>
          <w:sz w:val="20"/>
          <w:szCs w:val="20"/>
          <w:color w:val="auto"/>
        </w:rPr>
      </w:pPr>
    </w:p>
    <w:p>
      <w:pPr>
        <w:ind w:right="80" w:firstLine="706"/>
        <w:spacing w:after="0" w:line="299" w:lineRule="auto"/>
        <w:rPr>
          <w:sz w:val="20"/>
          <w:szCs w:val="20"/>
          <w:color w:val="auto"/>
        </w:rPr>
      </w:pPr>
      <w:r>
        <w:rPr>
          <w:rFonts w:ascii="Arial" w:cs="Arial" w:eastAsia="Arial" w:hAnsi="Arial"/>
          <w:sz w:val="17"/>
          <w:szCs w:val="17"/>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pacing w:after="0" w:line="169" w:lineRule="exact"/>
        <w:rPr>
          <w:sz w:val="20"/>
          <w:szCs w:val="20"/>
          <w:color w:val="auto"/>
        </w:rPr>
      </w:pPr>
    </w:p>
    <w:p>
      <w:pPr>
        <w:ind w:firstLine="706"/>
        <w:spacing w:after="0" w:line="306" w:lineRule="auto"/>
        <w:rPr>
          <w:sz w:val="20"/>
          <w:szCs w:val="20"/>
          <w:color w:val="auto"/>
        </w:rPr>
      </w:pPr>
      <w:r>
        <w:rPr>
          <w:rFonts w:ascii="Arial" w:cs="Arial" w:eastAsia="Arial" w:hAnsi="Arial"/>
          <w:sz w:val="17"/>
          <w:szCs w:val="17"/>
          <w:color w:val="auto"/>
        </w:rPr>
        <w:t>The lack of fungibility of the various grades of crude oil can create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ectPr>
          <w:pgSz w:w="11880" w:h="15480" w:orient="portrait"/>
          <w:cols w:equalWidth="0" w:num="1">
            <w:col w:w="10020"/>
          </w:cols>
          <w:pgMar w:left="920" w:top="1440" w:right="94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20"/>
          </w:cols>
          <w:pgMar w:left="920" w:top="1440" w:right="940" w:bottom="0" w:gutter="0" w:footer="0" w:header="0"/>
          <w:type w:val="continuous"/>
        </w:sectPr>
      </w:pPr>
    </w:p>
    <w:bookmarkStart w:id="11" w:name="page12"/>
    <w:bookmarkEnd w:id="11"/>
    <w:p>
      <w:pPr>
        <w:ind w:right="100" w:firstLine="706"/>
        <w:spacing w:after="0" w:line="264" w:lineRule="auto"/>
        <w:rPr>
          <w:sz w:val="20"/>
          <w:szCs w:val="20"/>
          <w:color w:val="auto"/>
        </w:rPr>
      </w:pPr>
      <w:r>
        <w:rPr>
          <w:rFonts w:ascii="Arial" w:cs="Arial" w:eastAsia="Arial" w:hAnsi="Arial"/>
          <w:sz w:val="19"/>
          <w:szCs w:val="19"/>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199" w:lineRule="exact"/>
        <w:rPr>
          <w:sz w:val="20"/>
          <w:szCs w:val="20"/>
          <w:color w:val="auto"/>
        </w:rPr>
      </w:pPr>
    </w:p>
    <w:p>
      <w:pPr>
        <w:ind w:right="40" w:firstLine="706"/>
        <w:spacing w:after="0" w:line="250" w:lineRule="auto"/>
        <w:rPr>
          <w:sz w:val="20"/>
          <w:szCs w:val="20"/>
          <w:color w:val="auto"/>
        </w:rPr>
      </w:pPr>
      <w:r>
        <w:rPr>
          <w:rFonts w:ascii="Arial" w:cs="Arial" w:eastAsia="Arial" w:hAnsi="Arial"/>
          <w:sz w:val="20"/>
          <w:szCs w:val="20"/>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209" w:lineRule="exact"/>
        <w:rPr>
          <w:sz w:val="20"/>
          <w:szCs w:val="20"/>
          <w:color w:val="auto"/>
        </w:rPr>
      </w:pPr>
    </w:p>
    <w:p>
      <w:pPr>
        <w:ind w:firstLine="706"/>
        <w:spacing w:after="0" w:line="271" w:lineRule="auto"/>
        <w:rPr>
          <w:sz w:val="20"/>
          <w:szCs w:val="20"/>
          <w:color w:val="auto"/>
        </w:rPr>
      </w:pPr>
      <w:r>
        <w:rPr>
          <w:rFonts w:ascii="Arial" w:cs="Arial" w:eastAsia="Arial" w:hAnsi="Arial"/>
          <w:sz w:val="20"/>
          <w:szCs w:val="20"/>
          <w:color w:val="auto"/>
        </w:rPr>
        <w:t>The figure below provides an illustrative and simplified overview of the assets and activities associated with our Crude Oil segment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156845</wp:posOffset>
            </wp:positionV>
            <wp:extent cx="6384925" cy="1518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6384925" cy="151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706"/>
        <w:spacing w:after="0" w:line="303" w:lineRule="auto"/>
        <w:rPr>
          <w:sz w:val="20"/>
          <w:szCs w:val="20"/>
          <w:color w:val="auto"/>
        </w:rPr>
      </w:pPr>
      <w:r>
        <w:rPr>
          <w:rFonts w:ascii="Arial" w:cs="Arial" w:eastAsia="Arial" w:hAnsi="Arial"/>
          <w:sz w:val="17"/>
          <w:szCs w:val="17"/>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and processing facilities. We also generate significant revenue through a variety of commercial and merchant activities that often result in increased utilization of our transportation and storage assets.</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Crude Oil Segment Assets Overview</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As of December 31, 2024, the assets utilized in our Crude Oil segment included the following:</w:t>
      </w:r>
    </w:p>
    <w:p>
      <w:pPr>
        <w:spacing w:after="0" w:line="240" w:lineRule="exact"/>
        <w:rPr>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18,800 miles of active crude oil transportation pipelines and gathering systems;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72 million barrels of commercial crude oil storage capacity at our terminalling and storage locations;</w:t>
      </w:r>
    </w:p>
    <w:p>
      <w:pPr>
        <w:spacing w:after="0" w:line="122" w:lineRule="exact"/>
        <w:rPr>
          <w:rFonts w:ascii="Arial" w:cs="Arial" w:eastAsia="Arial" w:hAnsi="Arial"/>
          <w:sz w:val="20"/>
          <w:szCs w:val="20"/>
          <w:color w:val="auto"/>
        </w:rPr>
      </w:pPr>
    </w:p>
    <w:p>
      <w:pPr>
        <w:ind w:left="1060" w:right="180" w:hanging="362"/>
        <w:spacing w:after="0" w:line="271"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40 million barrels of active, above-ground tank capacity used to facilitate pipeline throughput or support our rail assets and help maintain product quality segregation;</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four marine facilities in the United States;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 condensate processing facility with an aggregate processing capacity of 120,000 barrels per day;</w:t>
      </w:r>
    </w:p>
    <w:p>
      <w:pPr>
        <w:spacing w:after="0" w:line="122" w:lineRule="exact"/>
        <w:rPr>
          <w:rFonts w:ascii="Arial" w:cs="Arial" w:eastAsia="Arial" w:hAnsi="Arial"/>
          <w:sz w:val="20"/>
          <w:szCs w:val="20"/>
          <w:color w:val="auto"/>
        </w:rPr>
      </w:pPr>
    </w:p>
    <w:p>
      <w:pPr>
        <w:ind w:left="1060" w:right="240" w:hanging="362"/>
        <w:spacing w:after="0" w:line="271"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eight crude oil rail terminals with aggregate loading and unloading capacity of 264,000 and 380,000 barrels per day, respectively;</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1,250 crude oil railcars;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815 trucks and 1,335 trailers.</w:t>
      </w:r>
    </w:p>
    <w:p>
      <w:pPr>
        <w:spacing w:after="0" w:line="240" w:lineRule="exact"/>
        <w:rPr>
          <w:rFonts w:ascii="Arial" w:cs="Arial" w:eastAsia="Arial" w:hAnsi="Arial"/>
          <w:sz w:val="20"/>
          <w:szCs w:val="20"/>
          <w:color w:val="auto"/>
        </w:rPr>
      </w:pPr>
    </w:p>
    <w:p>
      <w:pPr>
        <w:ind w:left="1060"/>
        <w:spacing w:after="0"/>
        <w:rPr>
          <w:rFonts w:ascii="Arial" w:cs="Arial" w:eastAsia="Arial" w:hAnsi="Arial"/>
          <w:sz w:val="20"/>
          <w:szCs w:val="20"/>
          <w:color w:val="auto"/>
        </w:rPr>
      </w:pPr>
      <w:r>
        <w:rPr>
          <w:rFonts w:ascii="Arial" w:cs="Arial" w:eastAsia="Arial" w:hAnsi="Arial"/>
          <w:sz w:val="17"/>
          <w:szCs w:val="17"/>
          <w:color w:val="auto"/>
        </w:rPr>
        <w:t>Additionally, our assets include the linefill associated with our commercial activities, including approximately:</w:t>
      </w:r>
    </w:p>
    <w:p>
      <w:pPr>
        <w:spacing w:after="0" w:line="157"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15 million barrels of crude oil linefill in pipelines and tanks owned by us; and</w:t>
      </w:r>
    </w:p>
    <w:p>
      <w:pPr>
        <w:sectPr>
          <w:pgSz w:w="11880" w:h="15480" w:orient="portrait"/>
          <w:cols w:equalWidth="0" w:num="1">
            <w:col w:w="10020"/>
          </w:cols>
          <w:pgMar w:left="920" w:top="817" w:right="94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20"/>
          </w:cols>
          <w:pgMar w:left="920" w:top="817" w:right="940" w:bottom="0" w:gutter="0" w:footer="0" w:header="0"/>
          <w:type w:val="continuous"/>
        </w:sectPr>
      </w:pPr>
    </w:p>
    <w:bookmarkStart w:id="12" w:name="page13"/>
    <w:bookmarkEnd w:id="12"/>
    <w:p>
      <w:pPr>
        <w:ind w:left="1067" w:right="160" w:hanging="362"/>
        <w:spacing w:after="0" w:line="271" w:lineRule="auto"/>
        <w:tabs>
          <w:tab w:leader="none" w:pos="1067" w:val="left"/>
        </w:tabs>
        <w:numPr>
          <w:ilvl w:val="0"/>
          <w:numId w:val="9"/>
        </w:numPr>
        <w:rPr>
          <w:rFonts w:ascii="Arial" w:cs="Arial" w:eastAsia="Arial" w:hAnsi="Arial"/>
          <w:sz w:val="20"/>
          <w:szCs w:val="20"/>
          <w:color w:val="auto"/>
        </w:rPr>
      </w:pPr>
      <w:r>
        <w:rPr>
          <w:rFonts w:ascii="Arial" w:cs="Arial" w:eastAsia="Arial" w:hAnsi="Arial"/>
          <w:sz w:val="20"/>
          <w:szCs w:val="20"/>
          <w:color w:val="auto"/>
        </w:rPr>
        <w:t>3 million barrels of crude oil utilized as linefill in pipelines owned by third parties or otherwise required as long-term inventory.</w:t>
      </w:r>
    </w:p>
    <w:p>
      <w:pPr>
        <w:spacing w:after="0" w:line="186" w:lineRule="exact"/>
        <w:rPr>
          <w:sz w:val="20"/>
          <w:szCs w:val="20"/>
          <w:color w:val="auto"/>
        </w:rPr>
      </w:pPr>
    </w:p>
    <w:p>
      <w:pPr>
        <w:ind w:left="7" w:right="740" w:firstLine="706"/>
        <w:spacing w:after="0" w:line="278" w:lineRule="auto"/>
        <w:rPr>
          <w:sz w:val="20"/>
          <w:szCs w:val="20"/>
          <w:color w:val="auto"/>
        </w:rPr>
      </w:pPr>
      <w:r>
        <w:rPr>
          <w:rFonts w:ascii="Arial" w:cs="Arial" w:eastAsia="Arial" w:hAnsi="Arial"/>
          <w:sz w:val="19"/>
          <w:szCs w:val="19"/>
          <w:color w:val="auto"/>
        </w:rPr>
        <w:t>The following table presents additional information about our pipelines and terminals by geographic location, including active pipeline miles and commercial storage capacity as of December 31, 2024 and average daily volumes transported on our crude oil pipelines for the year ended December 31, 2024:</w:t>
      </w:r>
    </w:p>
    <w:p>
      <w:pPr>
        <w:spacing w:after="0" w:line="227" w:lineRule="exact"/>
        <w:rPr>
          <w:sz w:val="20"/>
          <w:szCs w:val="20"/>
          <w:color w:val="auto"/>
        </w:rPr>
      </w:pPr>
    </w:p>
    <w:tbl>
      <w:tblPr>
        <w:tblLayout w:type="fixed"/>
        <w:tblInd w:w="7"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132"/>
              <w:spacing w:after="0"/>
              <w:rPr>
                <w:sz w:val="20"/>
                <w:szCs w:val="20"/>
                <w:color w:val="auto"/>
              </w:rPr>
            </w:pPr>
            <w:r>
              <w:rPr>
                <w:rFonts w:ascii="Arial" w:cs="Arial" w:eastAsia="Arial" w:hAnsi="Arial"/>
                <w:sz w:val="17"/>
                <w:szCs w:val="17"/>
                <w:b w:val="1"/>
                <w:bCs w:val="1"/>
                <w:color w:val="auto"/>
              </w:rPr>
              <w:t>Approximate</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7"/>
              </w:rPr>
              <w:t>2024 Average</w:t>
            </w:r>
          </w:p>
        </w:tc>
        <w:tc>
          <w:tcPr>
            <w:tcW w:w="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w w:val="90"/>
              </w:rPr>
              <w:t>Commercial Storage</w:t>
            </w:r>
          </w:p>
        </w:tc>
      </w:tr>
      <w:tr>
        <w:trPr>
          <w:trHeight w:val="222"/>
        </w:trPr>
        <w:tc>
          <w:tcPr>
            <w:tcW w:w="35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Region</w:t>
            </w:r>
          </w:p>
        </w:tc>
        <w:tc>
          <w:tcPr>
            <w:tcW w:w="8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Ownership Percentage</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ind w:right="52"/>
              <w:spacing w:after="0" w:line="222" w:lineRule="exact"/>
              <w:rPr>
                <w:sz w:val="20"/>
                <w:szCs w:val="20"/>
                <w:color w:val="auto"/>
              </w:rPr>
            </w:pPr>
            <w:r>
              <w:rPr>
                <w:rFonts w:ascii="Arial" w:cs="Arial" w:eastAsia="Arial" w:hAnsi="Arial"/>
                <w:sz w:val="17"/>
                <w:szCs w:val="17"/>
                <w:b w:val="1"/>
                <w:bCs w:val="1"/>
                <w:color w:val="auto"/>
                <w:w w:val="92"/>
              </w:rPr>
              <w:t xml:space="preserve">System Miles </w:t>
            </w:r>
            <w:r>
              <w:rPr>
                <w:rFonts w:ascii="Arial" w:cs="Arial" w:eastAsia="Arial" w:hAnsi="Arial"/>
                <w:sz w:val="21"/>
                <w:szCs w:val="21"/>
                <w:b w:val="1"/>
                <w:bCs w:val="1"/>
                <w:color w:val="auto"/>
                <w:w w:val="92"/>
                <w:vertAlign w:val="superscript"/>
              </w:rPr>
              <w:t>(1)</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7"/>
                <w:szCs w:val="17"/>
                <w:b w:val="1"/>
                <w:bCs w:val="1"/>
                <w:color w:val="auto"/>
                <w:w w:val="88"/>
              </w:rPr>
              <w:t xml:space="preserve">Barrels per Day </w:t>
            </w:r>
            <w:r>
              <w:rPr>
                <w:rFonts w:ascii="Arial" w:cs="Arial" w:eastAsia="Arial" w:hAnsi="Arial"/>
                <w:sz w:val="21"/>
                <w:szCs w:val="21"/>
                <w:b w:val="1"/>
                <w:bCs w:val="1"/>
                <w:color w:val="auto"/>
                <w:w w:val="88"/>
                <w:vertAlign w:val="superscript"/>
              </w:rPr>
              <w:t>(2)</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right"/>
              <w:ind w:right="292"/>
              <w:spacing w:after="0" w:line="222" w:lineRule="exact"/>
              <w:rPr>
                <w:sz w:val="20"/>
                <w:szCs w:val="20"/>
                <w:color w:val="auto"/>
              </w:rPr>
            </w:pPr>
            <w:r>
              <w:rPr>
                <w:rFonts w:ascii="Arial" w:cs="Arial" w:eastAsia="Arial" w:hAnsi="Arial"/>
                <w:sz w:val="17"/>
                <w:szCs w:val="17"/>
                <w:b w:val="1"/>
                <w:bCs w:val="1"/>
                <w:color w:val="auto"/>
              </w:rPr>
              <w:t xml:space="preserve">Capacity </w:t>
            </w:r>
            <w:r>
              <w:rPr>
                <w:rFonts w:ascii="Arial" w:cs="Arial" w:eastAsia="Arial" w:hAnsi="Arial"/>
                <w:sz w:val="21"/>
                <w:szCs w:val="21"/>
                <w:b w:val="1"/>
                <w:bCs w:val="1"/>
                <w:color w:val="auto"/>
                <w:vertAlign w:val="superscript"/>
              </w:rPr>
              <w:t>(3)</w:t>
            </w:r>
          </w:p>
        </w:tc>
      </w:tr>
      <w:tr>
        <w:trPr>
          <w:trHeight w:val="223"/>
        </w:trPr>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7"/>
              </w:rPr>
              <w:t>(in thousands)</w:t>
            </w:r>
          </w:p>
        </w:tc>
        <w:tc>
          <w:tcPr>
            <w:tcW w:w="60" w:type="dxa"/>
            <w:vAlign w:val="bottom"/>
          </w:tcPr>
          <w:p>
            <w:pPr>
              <w:spacing w:after="0"/>
              <w:rPr>
                <w:sz w:val="19"/>
                <w:szCs w:val="19"/>
                <w:color w:val="auto"/>
              </w:rPr>
            </w:pPr>
          </w:p>
        </w:tc>
        <w:tc>
          <w:tcPr>
            <w:tcW w:w="1560" w:type="dxa"/>
            <w:vAlign w:val="bottom"/>
          </w:tcPr>
          <w:p>
            <w:pPr>
              <w:jc w:val="right"/>
              <w:ind w:right="292"/>
              <w:spacing w:after="0"/>
              <w:rPr>
                <w:sz w:val="20"/>
                <w:szCs w:val="20"/>
                <w:color w:val="auto"/>
              </w:rPr>
            </w:pPr>
            <w:r>
              <w:rPr>
                <w:rFonts w:ascii="Arial" w:cs="Arial" w:eastAsia="Arial" w:hAnsi="Arial"/>
                <w:sz w:val="16"/>
                <w:szCs w:val="16"/>
                <w:b w:val="1"/>
                <w:bCs w:val="1"/>
                <w:color w:val="auto"/>
              </w:rPr>
              <w:t>(in millions)</w:t>
            </w:r>
          </w:p>
        </w:tc>
      </w:tr>
      <w:tr>
        <w:trPr>
          <w:trHeight w:val="283"/>
        </w:trPr>
        <w:tc>
          <w:tcPr>
            <w:tcW w:w="3560" w:type="dxa"/>
            <w:vAlign w:val="bottom"/>
            <w:gridSpan w:val="2"/>
          </w:tcPr>
          <w:p>
            <w:pPr>
              <w:ind w:left="180"/>
              <w:spacing w:after="0"/>
              <w:rPr>
                <w:sz w:val="20"/>
                <w:szCs w:val="20"/>
                <w:color w:val="auto"/>
              </w:rPr>
            </w:pPr>
            <w:r>
              <w:rPr>
                <w:rFonts w:ascii="Arial" w:cs="Arial" w:eastAsia="Arial" w:hAnsi="Arial"/>
                <w:sz w:val="20"/>
                <w:szCs w:val="20"/>
                <w:color w:val="auto"/>
              </w:rPr>
              <w:t>Permian Basin:</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5"/>
        </w:trPr>
        <w:tc>
          <w:tcPr>
            <w:tcW w:w="3560" w:type="dxa"/>
            <w:vAlign w:val="bottom"/>
            <w:gridSpan w:val="2"/>
          </w:tcPr>
          <w:p>
            <w:pPr>
              <w:ind w:left="280"/>
              <w:spacing w:after="0"/>
              <w:rPr>
                <w:sz w:val="20"/>
                <w:szCs w:val="20"/>
                <w:color w:val="auto"/>
              </w:rPr>
            </w:pPr>
            <w:r>
              <w:rPr>
                <w:rFonts w:ascii="Arial" w:cs="Arial" w:eastAsia="Arial" w:hAnsi="Arial"/>
                <w:sz w:val="20"/>
                <w:szCs w:val="20"/>
                <w:color w:val="auto"/>
              </w:rPr>
              <w:t xml:space="preserve">Gathering pipelines </w:t>
            </w:r>
            <w:r>
              <w:rPr>
                <w:rFonts w:ascii="Arial" w:cs="Arial" w:eastAsia="Arial" w:hAnsi="Arial"/>
                <w:sz w:val="25"/>
                <w:szCs w:val="25"/>
                <w:color w:val="auto"/>
                <w:vertAlign w:val="superscript"/>
              </w:rPr>
              <w:t>(4)</w:t>
            </w:r>
          </w:p>
        </w:tc>
        <w:tc>
          <w:tcPr>
            <w:tcW w:w="180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65%</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5,380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2,895</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4"/>
        </w:trPr>
        <w:tc>
          <w:tcPr>
            <w:tcW w:w="3560" w:type="dxa"/>
            <w:vAlign w:val="bottom"/>
            <w:gridSpan w:val="2"/>
          </w:tcPr>
          <w:p>
            <w:pPr>
              <w:ind w:left="280"/>
              <w:spacing w:after="0"/>
              <w:rPr>
                <w:sz w:val="20"/>
                <w:szCs w:val="20"/>
                <w:color w:val="auto"/>
              </w:rPr>
            </w:pPr>
            <w:r>
              <w:rPr>
                <w:rFonts w:ascii="Arial" w:cs="Arial" w:eastAsia="Arial" w:hAnsi="Arial"/>
                <w:sz w:val="20"/>
                <w:szCs w:val="20"/>
                <w:color w:val="auto"/>
              </w:rPr>
              <w:t xml:space="preserve">Intra-basin pipelines </w:t>
            </w:r>
            <w:r>
              <w:rPr>
                <w:rFonts w:ascii="Arial" w:cs="Arial" w:eastAsia="Arial" w:hAnsi="Arial"/>
                <w:sz w:val="25"/>
                <w:szCs w:val="25"/>
                <w:color w:val="auto"/>
                <w:vertAlign w:val="superscript"/>
              </w:rPr>
              <w:t>(4)</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65% - 100%</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790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2,305</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6"/>
        </w:trPr>
        <w:tc>
          <w:tcPr>
            <w:tcW w:w="3560" w:type="dxa"/>
            <w:vAlign w:val="bottom"/>
            <w:gridSpan w:val="2"/>
          </w:tcPr>
          <w:p>
            <w:pPr>
              <w:ind w:left="280"/>
              <w:spacing w:after="0" w:line="276" w:lineRule="exact"/>
              <w:rPr>
                <w:sz w:val="20"/>
                <w:szCs w:val="20"/>
                <w:color w:val="auto"/>
              </w:rPr>
            </w:pPr>
            <w:r>
              <w:rPr>
                <w:rFonts w:ascii="Arial" w:cs="Arial" w:eastAsia="Arial" w:hAnsi="Arial"/>
                <w:sz w:val="20"/>
                <w:szCs w:val="20"/>
                <w:color w:val="auto"/>
              </w:rPr>
              <w:t xml:space="preserve">Long-haul pipelines </w:t>
            </w:r>
            <w:r>
              <w:rPr>
                <w:rFonts w:ascii="Arial" w:cs="Arial" w:eastAsia="Arial" w:hAnsi="Arial"/>
                <w:sz w:val="25"/>
                <w:szCs w:val="25"/>
                <w:color w:val="auto"/>
                <w:vertAlign w:val="superscript"/>
              </w:rPr>
              <w:t>(5)</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17% - 100%</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2,165</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1,531</w:t>
            </w: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3560" w:type="dxa"/>
            <w:vAlign w:val="bottom"/>
            <w:gridSpan w:val="2"/>
          </w:tcPr>
          <w:p>
            <w:pPr>
              <w:ind w:left="40"/>
              <w:spacing w:after="0"/>
              <w:rPr>
                <w:sz w:val="20"/>
                <w:szCs w:val="20"/>
                <w:color w:val="auto"/>
              </w:rPr>
            </w:pPr>
            <w:r>
              <w:rPr>
                <w:rFonts w:ascii="Arial" w:cs="Arial" w:eastAsia="Arial" w:hAnsi="Arial"/>
                <w:sz w:val="20"/>
                <w:szCs w:val="20"/>
                <w:color w:val="auto"/>
              </w:rPr>
              <w:t>Permian Basin Total</w:t>
            </w:r>
          </w:p>
        </w:tc>
        <w:tc>
          <w:tcPr>
            <w:tcW w:w="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8,335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6,731</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573"/>
        </w:trPr>
        <w:tc>
          <w:tcPr>
            <w:tcW w:w="3560" w:type="dxa"/>
            <w:vAlign w:val="bottom"/>
            <w:gridSpan w:val="2"/>
          </w:tcPr>
          <w:p>
            <w:pPr>
              <w:ind w:left="180"/>
              <w:spacing w:after="0"/>
              <w:rPr>
                <w:sz w:val="20"/>
                <w:szCs w:val="20"/>
                <w:color w:val="auto"/>
              </w:rPr>
            </w:pPr>
            <w:r>
              <w:rPr>
                <w:rFonts w:ascii="Arial" w:cs="Arial" w:eastAsia="Arial" w:hAnsi="Arial"/>
                <w:sz w:val="20"/>
                <w:szCs w:val="20"/>
                <w:color w:val="auto"/>
              </w:rPr>
              <w:t>South Texas/Eagle Ford</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50% - 100%</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790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403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573"/>
        </w:trPr>
        <w:tc>
          <w:tcPr>
            <w:tcW w:w="3560" w:type="dxa"/>
            <w:vAlign w:val="bottom"/>
            <w:gridSpan w:val="2"/>
          </w:tcPr>
          <w:p>
            <w:pPr>
              <w:ind w:left="180"/>
              <w:spacing w:after="0"/>
              <w:rPr>
                <w:sz w:val="20"/>
                <w:szCs w:val="20"/>
                <w:color w:val="auto"/>
              </w:rPr>
            </w:pPr>
            <w:r>
              <w:rPr>
                <w:rFonts w:ascii="Arial" w:cs="Arial" w:eastAsia="Arial" w:hAnsi="Arial"/>
                <w:sz w:val="20"/>
                <w:szCs w:val="20"/>
                <w:color w:val="auto"/>
              </w:rPr>
              <w:t>Mid-Continent</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50% - 100%</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2,440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506</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36</w:t>
            </w:r>
          </w:p>
        </w:tc>
      </w:tr>
      <w:tr>
        <w:trPr>
          <w:trHeight w:val="651"/>
        </w:trPr>
        <w:tc>
          <w:tcPr>
            <w:tcW w:w="3560" w:type="dxa"/>
            <w:vAlign w:val="bottom"/>
            <w:gridSpan w:val="2"/>
          </w:tcPr>
          <w:p>
            <w:pPr>
              <w:ind w:left="180"/>
              <w:spacing w:after="0"/>
              <w:rPr>
                <w:sz w:val="20"/>
                <w:szCs w:val="20"/>
                <w:color w:val="auto"/>
              </w:rPr>
            </w:pPr>
            <w:r>
              <w:rPr>
                <w:rFonts w:ascii="Arial" w:cs="Arial" w:eastAsia="Arial" w:hAnsi="Arial"/>
                <w:sz w:val="20"/>
                <w:szCs w:val="20"/>
                <w:color w:val="auto"/>
              </w:rPr>
              <w:t xml:space="preserve">Gulf Coast </w:t>
            </w:r>
            <w:r>
              <w:rPr>
                <w:rFonts w:ascii="Arial" w:cs="Arial" w:eastAsia="Arial" w:hAnsi="Arial"/>
                <w:sz w:val="25"/>
                <w:szCs w:val="25"/>
                <w:color w:val="auto"/>
                <w:vertAlign w:val="superscript"/>
              </w:rPr>
              <w:t>(5)</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54% - 100%</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1,155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218</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588"/>
        </w:trPr>
        <w:tc>
          <w:tcPr>
            <w:tcW w:w="3560" w:type="dxa"/>
            <w:vAlign w:val="bottom"/>
            <w:gridSpan w:val="2"/>
          </w:tcPr>
          <w:p>
            <w:pPr>
              <w:ind w:left="180"/>
              <w:spacing w:after="0"/>
              <w:rPr>
                <w:sz w:val="20"/>
                <w:szCs w:val="20"/>
                <w:color w:val="auto"/>
              </w:rPr>
            </w:pPr>
            <w:r>
              <w:rPr>
                <w:rFonts w:ascii="Arial" w:cs="Arial" w:eastAsia="Arial" w:hAnsi="Arial"/>
                <w:sz w:val="20"/>
                <w:szCs w:val="20"/>
                <w:color w:val="auto"/>
              </w:rPr>
              <w:t xml:space="preserve">Rocky Mountain </w:t>
            </w:r>
            <w:r>
              <w:rPr>
                <w:rFonts w:ascii="Arial" w:cs="Arial" w:eastAsia="Arial" w:hAnsi="Arial"/>
                <w:sz w:val="25"/>
                <w:szCs w:val="25"/>
                <w:color w:val="auto"/>
                <w:vertAlign w:val="superscript"/>
              </w:rPr>
              <w:t>(5)</w:t>
            </w:r>
          </w:p>
        </w:tc>
        <w:tc>
          <w:tcPr>
            <w:tcW w:w="1800" w:type="dxa"/>
            <w:vAlign w:val="bottom"/>
            <w:gridSpan w:val="2"/>
          </w:tcPr>
          <w:p>
            <w:pPr>
              <w:jc w:val="center"/>
              <w:spacing w:after="0"/>
              <w:rPr>
                <w:sz w:val="20"/>
                <w:szCs w:val="20"/>
                <w:color w:val="auto"/>
              </w:rPr>
            </w:pPr>
            <w:r>
              <w:rPr>
                <w:rFonts w:ascii="Arial" w:cs="Arial" w:eastAsia="Arial" w:hAnsi="Arial"/>
                <w:sz w:val="20"/>
                <w:szCs w:val="20"/>
                <w:color w:val="auto"/>
                <w:w w:val="89"/>
              </w:rPr>
              <w:t>21% - 100%</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3,365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474</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525"/>
        </w:trPr>
        <w:tc>
          <w:tcPr>
            <w:tcW w:w="3560" w:type="dxa"/>
            <w:vAlign w:val="bottom"/>
            <w:gridSpan w:val="2"/>
          </w:tcPr>
          <w:p>
            <w:pPr>
              <w:ind w:left="160"/>
              <w:spacing w:after="0"/>
              <w:rPr>
                <w:sz w:val="20"/>
                <w:szCs w:val="20"/>
                <w:color w:val="auto"/>
              </w:rPr>
            </w:pPr>
            <w:r>
              <w:rPr>
                <w:rFonts w:ascii="Arial" w:cs="Arial" w:eastAsia="Arial" w:hAnsi="Arial"/>
                <w:sz w:val="20"/>
                <w:szCs w:val="20"/>
                <w:color w:val="auto"/>
              </w:rPr>
              <w:t>Canada</w:t>
            </w:r>
          </w:p>
        </w:tc>
        <w:tc>
          <w:tcPr>
            <w:tcW w:w="1800" w:type="dxa"/>
            <w:vAlign w:val="bottom"/>
            <w:gridSpan w:val="2"/>
          </w:tcPr>
          <w:p>
            <w:pPr>
              <w:jc w:val="center"/>
              <w:ind w:left="2"/>
              <w:spacing w:after="0"/>
              <w:rPr>
                <w:sz w:val="20"/>
                <w:szCs w:val="20"/>
                <w:color w:val="auto"/>
              </w:rPr>
            </w:pPr>
            <w:r>
              <w:rPr>
                <w:rFonts w:ascii="Arial" w:cs="Arial" w:eastAsia="Arial" w:hAnsi="Arial"/>
                <w:sz w:val="20"/>
                <w:szCs w:val="20"/>
                <w:color w:val="auto"/>
                <w:w w:val="89"/>
              </w:rPr>
              <w:t>100%</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2,325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346</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88"/>
        </w:trPr>
        <w:tc>
          <w:tcPr>
            <w:tcW w:w="3560" w:type="dxa"/>
            <w:vAlign w:val="bottom"/>
            <w:gridSpan w:val="2"/>
          </w:tcPr>
          <w:p>
            <w:pPr>
              <w:ind w:left="180"/>
              <w:spacing w:after="0"/>
              <w:rPr>
                <w:sz w:val="20"/>
                <w:szCs w:val="20"/>
                <w:color w:val="auto"/>
              </w:rPr>
            </w:pPr>
            <w:r>
              <w:rPr>
                <w:rFonts w:ascii="Arial" w:cs="Arial" w:eastAsia="Arial" w:hAnsi="Arial"/>
                <w:sz w:val="20"/>
                <w:szCs w:val="20"/>
                <w:color w:val="auto"/>
              </w:rPr>
              <w:t>Western</w:t>
            </w:r>
          </w:p>
        </w:tc>
        <w:tc>
          <w:tcPr>
            <w:tcW w:w="1800" w:type="dxa"/>
            <w:vAlign w:val="bottom"/>
            <w:gridSpan w:val="2"/>
          </w:tcPr>
          <w:p>
            <w:pPr>
              <w:jc w:val="center"/>
              <w:ind w:left="2"/>
              <w:spacing w:after="0"/>
              <w:rPr>
                <w:sz w:val="20"/>
                <w:szCs w:val="20"/>
                <w:color w:val="auto"/>
              </w:rPr>
            </w:pPr>
            <w:r>
              <w:rPr>
                <w:rFonts w:ascii="Arial" w:cs="Arial" w:eastAsia="Arial" w:hAnsi="Arial"/>
                <w:sz w:val="20"/>
                <w:szCs w:val="20"/>
                <w:color w:val="auto"/>
                <w:w w:val="89"/>
              </w:rPr>
              <w:t>100%</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390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256</w:t>
            </w:r>
          </w:p>
        </w:tc>
        <w:tc>
          <w:tcPr>
            <w:tcW w:w="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54"/>
        </w:trPr>
        <w:tc>
          <w:tcPr>
            <w:tcW w:w="3560" w:type="dxa"/>
            <w:vAlign w:val="bottom"/>
            <w:gridSpan w:val="2"/>
          </w:tcPr>
          <w:p>
            <w:pPr>
              <w:ind w:left="260"/>
              <w:spacing w:after="0"/>
              <w:rPr>
                <w:sz w:val="20"/>
                <w:szCs w:val="20"/>
                <w:color w:val="auto"/>
              </w:rPr>
            </w:pPr>
            <w:r>
              <w:rPr>
                <w:rFonts w:ascii="Arial" w:cs="Arial" w:eastAsia="Arial" w:hAnsi="Arial"/>
                <w:sz w:val="20"/>
                <w:szCs w:val="20"/>
                <w:b w:val="1"/>
                <w:bCs w:val="1"/>
                <w:color w:val="auto"/>
              </w:rPr>
              <w:t>Total</w:t>
            </w: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b w:val="1"/>
                <w:bCs w:val="1"/>
                <w:color w:val="auto"/>
              </w:rPr>
              <w:t>18,800</w:t>
            </w:r>
          </w:p>
        </w:tc>
        <w:tc>
          <w:tcPr>
            <w:tcW w:w="1620" w:type="dxa"/>
            <w:vAlign w:val="bottom"/>
            <w:gridSpan w:val="2"/>
          </w:tcPr>
          <w:p>
            <w:pPr>
              <w:jc w:val="right"/>
              <w:spacing w:after="0"/>
              <w:rPr>
                <w:sz w:val="20"/>
                <w:szCs w:val="20"/>
                <w:color w:val="auto"/>
              </w:rPr>
            </w:pPr>
            <w:r>
              <w:rPr>
                <w:rFonts w:ascii="Arial" w:cs="Arial" w:eastAsia="Arial" w:hAnsi="Arial"/>
                <w:sz w:val="20"/>
                <w:szCs w:val="20"/>
                <w:b w:val="1"/>
                <w:bCs w:val="1"/>
                <w:color w:val="auto"/>
              </w:rPr>
              <w:t>8,934</w:t>
            </w:r>
          </w:p>
        </w:tc>
        <w:tc>
          <w:tcPr>
            <w:tcW w:w="1620" w:type="dxa"/>
            <w:vAlign w:val="bottom"/>
            <w:gridSpan w:val="2"/>
          </w:tcPr>
          <w:p>
            <w:pPr>
              <w:jc w:val="right"/>
              <w:spacing w:after="0"/>
              <w:rPr>
                <w:sz w:val="20"/>
                <w:szCs w:val="20"/>
                <w:color w:val="auto"/>
              </w:rPr>
            </w:pPr>
            <w:r>
              <w:rPr>
                <w:rFonts w:ascii="Arial" w:cs="Arial" w:eastAsia="Arial" w:hAnsi="Arial"/>
                <w:sz w:val="20"/>
                <w:szCs w:val="20"/>
                <w:b w:val="1"/>
                <w:bCs w:val="1"/>
                <w:color w:val="auto"/>
              </w:rPr>
              <w:t>72</w:t>
            </w: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2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-3646170</wp:posOffset>
            </wp:positionV>
            <wp:extent cx="6410325" cy="3556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6410325" cy="3556635"/>
                    </a:xfrm>
                    <a:prstGeom prst="rect">
                      <a:avLst/>
                    </a:prstGeom>
                    <a:noFill/>
                  </pic:spPr>
                </pic:pic>
              </a:graphicData>
            </a:graphic>
          </wp:anchor>
        </w:drawing>
      </w:r>
    </w:p>
    <w:p>
      <w:pPr>
        <w:sectPr>
          <w:pgSz w:w="11880" w:h="15480" w:orient="portrait"/>
          <w:cols w:equalWidth="0" w:num="1">
            <w:col w:w="10047"/>
          </w:cols>
          <w:pgMar w:left="913" w:top="582" w:right="920" w:bottom="0" w:gutter="0" w:footer="0" w:header="0"/>
        </w:sectPr>
      </w:pPr>
    </w:p>
    <w:p>
      <w:pPr>
        <w:spacing w:after="0" w:line="127" w:lineRule="exact"/>
        <w:rPr>
          <w:sz w:val="20"/>
          <w:szCs w:val="20"/>
          <w:color w:val="auto"/>
        </w:rPr>
      </w:pPr>
    </w:p>
    <w:p>
      <w:pPr>
        <w:ind w:left="7"/>
        <w:spacing w:after="0"/>
        <w:rPr>
          <w:sz w:val="20"/>
          <w:szCs w:val="20"/>
          <w:color w:val="auto"/>
        </w:rPr>
      </w:pPr>
      <w:r>
        <w:rPr>
          <w:rFonts w:ascii="Arial" w:cs="Arial" w:eastAsia="Arial" w:hAnsi="Arial"/>
          <w:sz w:val="11"/>
          <w:szCs w:val="11"/>
          <w:color w:val="auto"/>
        </w:rPr>
        <w:t>(1)</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Includes total mileage of pipelines in which we own less than 100%.</w:t>
      </w:r>
    </w:p>
    <w:p>
      <w:pPr>
        <w:spacing w:after="0" w:line="123" w:lineRule="exact"/>
        <w:rPr>
          <w:sz w:val="20"/>
          <w:szCs w:val="20"/>
          <w:color w:val="auto"/>
        </w:rPr>
      </w:pPr>
    </w:p>
    <w:p>
      <w:pPr>
        <w:ind w:right="160"/>
        <w:spacing w:after="0" w:line="303" w:lineRule="auto"/>
        <w:rPr>
          <w:sz w:val="20"/>
          <w:szCs w:val="20"/>
          <w:color w:val="auto"/>
        </w:rPr>
      </w:pPr>
      <w:r>
        <w:rPr>
          <w:rFonts w:ascii="Arial" w:cs="Arial" w:eastAsia="Arial" w:hAnsi="Arial"/>
          <w:sz w:val="17"/>
          <w:szCs w:val="17"/>
          <w:color w:val="auto"/>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spacing w:after="0" w:line="48" w:lineRule="exact"/>
        <w:rPr>
          <w:sz w:val="20"/>
          <w:szCs w:val="20"/>
          <w:color w:val="auto"/>
        </w:rPr>
      </w:pPr>
    </w:p>
    <w:p>
      <w:pPr>
        <w:sectPr>
          <w:pgSz w:w="11880" w:h="15480" w:orient="portrait"/>
          <w:cols w:equalWidth="0" w:num="2">
            <w:col w:w="147" w:space="560"/>
            <w:col w:w="9340"/>
          </w:cols>
          <w:pgMar w:left="913" w:top="582" w:right="920" w:bottom="0" w:gutter="0" w:footer="0" w:header="0"/>
          <w:type w:val="continuous"/>
        </w:sectPr>
      </w:pPr>
    </w:p>
    <w:p>
      <w:pPr>
        <w:ind w:left="707" w:right="360" w:hanging="707"/>
        <w:spacing w:after="0" w:line="227" w:lineRule="auto"/>
        <w:tabs>
          <w:tab w:leader="none" w:pos="707" w:val="left"/>
        </w:tabs>
        <w:numPr>
          <w:ilvl w:val="0"/>
          <w:numId w:val="10"/>
        </w:numPr>
        <w:rPr>
          <w:rFonts w:ascii="Arial" w:cs="Arial" w:eastAsia="Arial" w:hAnsi="Arial"/>
          <w:sz w:val="25"/>
          <w:szCs w:val="25"/>
          <w:color w:val="auto"/>
          <w:vertAlign w:val="superscript"/>
        </w:rPr>
      </w:pPr>
      <w:r>
        <w:rPr>
          <w:rFonts w:ascii="Arial" w:cs="Arial" w:eastAsia="Arial" w:hAnsi="Arial"/>
          <w:sz w:val="20"/>
          <w:szCs w:val="20"/>
          <w:color w:val="auto"/>
        </w:rPr>
        <w:t>Commercial storage capacity in millions of barrels. Does not include operational storage capacity used to facilitate pipeline throughput and maintain product quality segregation.</w:t>
      </w:r>
    </w:p>
    <w:p>
      <w:pPr>
        <w:sectPr>
          <w:pgSz w:w="11880" w:h="15480" w:orient="portrait"/>
          <w:cols w:equalWidth="0" w:num="1">
            <w:col w:w="10047"/>
          </w:cols>
          <w:pgMar w:left="913" w:top="582" w:right="920" w:bottom="0" w:gutter="0" w:footer="0" w:header="0"/>
          <w:type w:val="continuous"/>
        </w:sectPr>
      </w:pPr>
    </w:p>
    <w:p>
      <w:pPr>
        <w:spacing w:after="0" w:line="80" w:lineRule="exact"/>
        <w:rPr>
          <w:sz w:val="20"/>
          <w:szCs w:val="20"/>
          <w:color w:val="auto"/>
        </w:rPr>
      </w:pPr>
    </w:p>
    <w:p>
      <w:pPr>
        <w:ind w:left="7"/>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Includes pipelines operated by a third party.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Crude Oil Infrastructure</w:t>
      </w:r>
    </w:p>
    <w:p>
      <w:pPr>
        <w:spacing w:after="0" w:line="200" w:lineRule="exact"/>
        <w:rPr>
          <w:sz w:val="20"/>
          <w:szCs w:val="20"/>
          <w:color w:val="auto"/>
        </w:rPr>
      </w:pPr>
    </w:p>
    <w:p>
      <w:pPr>
        <w:sectPr>
          <w:pgSz w:w="11880" w:h="15480" w:orient="portrait"/>
          <w:cols w:equalWidth="0" w:num="2">
            <w:col w:w="147" w:space="560"/>
            <w:col w:w="9340"/>
          </w:cols>
          <w:pgMar w:left="913" w:top="582" w:right="920" w:bottom="0" w:gutter="0" w:footer="0" w:header="0"/>
          <w:type w:val="continuous"/>
        </w:sectPr>
      </w:pPr>
    </w:p>
    <w:p>
      <w:pPr>
        <w:spacing w:after="0" w:line="48" w:lineRule="exact"/>
        <w:rPr>
          <w:sz w:val="20"/>
          <w:szCs w:val="20"/>
          <w:color w:val="auto"/>
        </w:rPr>
      </w:pPr>
    </w:p>
    <w:p>
      <w:pPr>
        <w:ind w:left="7" w:firstLine="706"/>
        <w:spacing w:after="0" w:line="306" w:lineRule="auto"/>
        <w:rPr>
          <w:sz w:val="20"/>
          <w:szCs w:val="20"/>
          <w:color w:val="auto"/>
        </w:rPr>
      </w:pPr>
      <w:r>
        <w:rPr>
          <w:rFonts w:ascii="Arial" w:cs="Arial" w:eastAsia="Arial" w:hAnsi="Arial"/>
          <w:sz w:val="17"/>
          <w:szCs w:val="17"/>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w:t>
      </w:r>
    </w:p>
    <w:p>
      <w:pPr>
        <w:sectPr>
          <w:pgSz w:w="11880" w:h="15480" w:orient="portrait"/>
          <w:cols w:equalWidth="0" w:num="1">
            <w:col w:w="10047"/>
          </w:cols>
          <w:pgMar w:left="913" w:top="582" w:right="920" w:bottom="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7"/>
          </w:cols>
          <w:pgMar w:left="913" w:top="582" w:right="920" w:bottom="0" w:gutter="0" w:footer="0" w:header="0"/>
          <w:type w:val="continuous"/>
        </w:sectPr>
      </w:pPr>
    </w:p>
    <w:bookmarkStart w:id="13" w:name="page14"/>
    <w:bookmarkEnd w:id="13"/>
    <w:p>
      <w:pPr>
        <w:ind w:right="340"/>
        <w:spacing w:after="0" w:line="361" w:lineRule="auto"/>
        <w:rPr>
          <w:sz w:val="20"/>
          <w:szCs w:val="20"/>
          <w:color w:val="auto"/>
        </w:rPr>
      </w:pPr>
      <w:r>
        <w:rPr>
          <w:rFonts w:ascii="Arial" w:cs="Arial" w:eastAsia="Arial" w:hAnsi="Arial"/>
          <w:sz w:val="17"/>
          <w:szCs w:val="17"/>
          <w:color w:val="auto"/>
        </w:rPr>
        <w:t>point B and another from point B to point C would double the pipeline tariff volumes on a particular system versus a single point A to point C movement). As a result, at times, our reported tariff barrel movements may exceed our total capacity.</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Our crude oil pipelines are comprised of:</w:t>
      </w:r>
    </w:p>
    <w:p>
      <w:pPr>
        <w:spacing w:after="0" w:line="239" w:lineRule="exact"/>
        <w:rPr>
          <w:sz w:val="20"/>
          <w:szCs w:val="20"/>
          <w:color w:val="auto"/>
        </w:rPr>
      </w:pPr>
    </w:p>
    <w:p>
      <w:pPr>
        <w:ind w:left="1400" w:hanging="349"/>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that move crude oil from wellhead or central battery connections to regional market hubs;</w:t>
      </w:r>
    </w:p>
    <w:p>
      <w:pPr>
        <w:spacing w:after="0" w:line="274" w:lineRule="exact"/>
        <w:rPr>
          <w:rFonts w:ascii="Arial" w:cs="Arial" w:eastAsia="Arial" w:hAnsi="Arial"/>
          <w:sz w:val="17"/>
          <w:szCs w:val="17"/>
          <w:color w:val="auto"/>
        </w:rPr>
      </w:pPr>
    </w:p>
    <w:p>
      <w:pPr>
        <w:ind w:left="1400" w:right="40" w:hanging="349"/>
        <w:spacing w:after="0" w:line="273" w:lineRule="auto"/>
        <w:tabs>
          <w:tab w:leader="none" w:pos="1400"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intra-basin pipelines </w:t>
      </w:r>
      <w:r>
        <w:rPr>
          <w:rFonts w:ascii="Arial" w:cs="Arial" w:eastAsia="Arial" w:hAnsi="Arial"/>
          <w:sz w:val="20"/>
          <w:szCs w:val="20"/>
          <w:color w:val="auto"/>
        </w:rPr>
        <w:t>that are used as a hub system allowing for a significant amount of flexibility by creating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connections between regional hub locations; and</w:t>
      </w:r>
    </w:p>
    <w:p>
      <w:pPr>
        <w:spacing w:after="0" w:line="182" w:lineRule="exact"/>
        <w:rPr>
          <w:rFonts w:ascii="Arial" w:cs="Arial" w:eastAsia="Arial" w:hAnsi="Arial"/>
          <w:sz w:val="20"/>
          <w:szCs w:val="20"/>
          <w:color w:val="auto"/>
        </w:rPr>
      </w:pPr>
    </w:p>
    <w:p>
      <w:pPr>
        <w:ind w:left="1400" w:right="60" w:hanging="349"/>
        <w:spacing w:after="0" w:line="259" w:lineRule="auto"/>
        <w:tabs>
          <w:tab w:leader="none" w:pos="1400" w:val="left"/>
        </w:tabs>
        <w:numPr>
          <w:ilvl w:val="0"/>
          <w:numId w:val="11"/>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long-haul pipelines </w:t>
      </w:r>
      <w:r>
        <w:rPr>
          <w:rFonts w:ascii="Arial" w:cs="Arial" w:eastAsia="Arial" w:hAnsi="Arial"/>
          <w:sz w:val="20"/>
          <w:szCs w:val="20"/>
          <w:color w:val="auto"/>
        </w:rPr>
        <w:t>that move crude oil from (i) regional market hubs to major market hubs such as Cushing,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Oklahoma or to export facilities, including our Corpus Christi terminal, or (ii) a refinery or other major market hubs, such as the Houston market.</w:t>
      </w:r>
    </w:p>
    <w:p>
      <w:pPr>
        <w:spacing w:after="0" w:line="198" w:lineRule="exact"/>
        <w:rPr>
          <w:sz w:val="20"/>
          <w:szCs w:val="20"/>
          <w:color w:val="auto"/>
        </w:rPr>
      </w:pPr>
    </w:p>
    <w:p>
      <w:pPr>
        <w:ind w:right="60" w:firstLine="706"/>
        <w:spacing w:after="0" w:line="312" w:lineRule="auto"/>
        <w:rPr>
          <w:sz w:val="20"/>
          <w:szCs w:val="20"/>
          <w:color w:val="auto"/>
        </w:rPr>
      </w:pPr>
      <w:r>
        <w:rPr>
          <w:rFonts w:ascii="Arial" w:cs="Arial" w:eastAsia="Arial" w:hAnsi="Arial"/>
          <w:sz w:val="17"/>
          <w:szCs w:val="17"/>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20"/>
          <w:szCs w:val="20"/>
          <w:color w:val="auto"/>
        </w:rPr>
        <w:t>Our most significant assets are described further below by region.</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Permian Basin</w:t>
      </w:r>
    </w:p>
    <w:p>
      <w:pPr>
        <w:spacing w:after="0" w:line="246" w:lineRule="exact"/>
        <w:rPr>
          <w:sz w:val="20"/>
          <w:szCs w:val="20"/>
          <w:color w:val="auto"/>
        </w:rPr>
      </w:pPr>
    </w:p>
    <w:p>
      <w:pPr>
        <w:ind w:right="60" w:firstLine="706"/>
        <w:spacing w:after="0" w:line="303" w:lineRule="auto"/>
        <w:rPr>
          <w:sz w:val="20"/>
          <w:szCs w:val="20"/>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We operate over 5,300 miles of gathering pipelines in both the Midland Basin and the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Basin that in aggregate represent approximately 3.8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 The Permian JV acquired an additional Delaware Basin gathering system in January 2025.</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i w:val="1"/>
          <w:iCs w:val="1"/>
          <w:color w:val="auto"/>
        </w:rPr>
        <w:t xml:space="preserve">Intra-Basin Pipelines. </w:t>
      </w:r>
      <w:r>
        <w:rPr>
          <w:rFonts w:ascii="Arial" w:cs="Arial" w:eastAsia="Arial" w:hAnsi="Arial"/>
          <w:sz w:val="20"/>
          <w:szCs w:val="20"/>
          <w:color w:val="auto"/>
        </w:rPr>
        <w:t>Our intra-basin pipeline system in the Permian Basin has a capacity of approximately</w:t>
      </w:r>
    </w:p>
    <w:p>
      <w:pPr>
        <w:spacing w:after="0" w:line="27"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pacing w:after="0" w:line="197" w:lineRule="exact"/>
        <w:rPr>
          <w:sz w:val="20"/>
          <w:szCs w:val="20"/>
          <w:color w:val="auto"/>
        </w:rPr>
      </w:pPr>
    </w:p>
    <w:p>
      <w:pPr>
        <w:ind w:right="80" w:firstLine="706"/>
        <w:spacing w:after="0" w:line="252" w:lineRule="auto"/>
        <w:rPr>
          <w:sz w:val="20"/>
          <w:szCs w:val="20"/>
          <w:color w:val="auto"/>
        </w:rPr>
      </w:pPr>
      <w:r>
        <w:rPr>
          <w:rFonts w:ascii="Arial" w:cs="Arial" w:eastAsia="Arial" w:hAnsi="Arial"/>
          <w:sz w:val="20"/>
          <w:szCs w:val="20"/>
          <w:b w:val="1"/>
          <w:bCs w:val="1"/>
          <w:i w:val="1"/>
          <w:iCs w:val="1"/>
          <w:color w:val="auto"/>
        </w:rPr>
        <w:t xml:space="preserve">Long-Haul Pipelines. </w:t>
      </w:r>
      <w:r>
        <w:rPr>
          <w:rFonts w:ascii="Arial" w:cs="Arial" w:eastAsia="Arial" w:hAnsi="Arial"/>
          <w:sz w:val="20"/>
          <w:szCs w:val="20"/>
          <w:color w:val="auto"/>
        </w:rPr>
        <w:t>We own interests in multiple long-haul pipeline systems that, on a combined basis, represent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approximately 2.1 million 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Permian to Cushing/Mid-Continent</w:t>
      </w:r>
    </w:p>
    <w:p>
      <w:pPr>
        <w:spacing w:after="0" w:line="246" w:lineRule="exact"/>
        <w:rPr>
          <w:sz w:val="20"/>
          <w:szCs w:val="20"/>
          <w:color w:val="auto"/>
        </w:rPr>
      </w:pPr>
    </w:p>
    <w:p>
      <w:pPr>
        <w:ind w:left="1060" w:hanging="362"/>
        <w:spacing w:after="0" w:line="307"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Basin Pipeline (Permian to Cushing). </w:t>
      </w:r>
      <w:r>
        <w:rPr>
          <w:rFonts w:ascii="Arial" w:cs="Arial" w:eastAsia="Arial" w:hAnsi="Arial"/>
          <w:sz w:val="17"/>
          <w:szCs w:val="17"/>
          <w:color w:val="auto"/>
        </w:rPr>
        <w:t>We own an approximate 87% UJI in and are the operator of Basin Pipeline.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60" w:lineRule="exact"/>
        <w:rPr>
          <w:rFonts w:ascii="Arial" w:cs="Arial" w:eastAsia="Arial" w:hAnsi="Arial"/>
          <w:sz w:val="17"/>
          <w:szCs w:val="17"/>
          <w:color w:val="auto"/>
        </w:rPr>
      </w:pPr>
    </w:p>
    <w:p>
      <w:pPr>
        <w:ind w:left="1060" w:right="120" w:hanging="362"/>
        <w:spacing w:after="0" w:line="279" w:lineRule="auto"/>
        <w:tabs>
          <w:tab w:leader="none" w:pos="106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Sunrise II Pipeline. </w:t>
      </w:r>
      <w:r>
        <w:rPr>
          <w:rFonts w:ascii="Arial" w:cs="Arial" w:eastAsia="Arial" w:hAnsi="Arial"/>
          <w:sz w:val="19"/>
          <w:szCs w:val="19"/>
          <w:color w:val="auto"/>
        </w:rPr>
        <w:t>We operate the Sunrise II Pipeline and, through a UJI arrangement, own 80% of the capacity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pipeline, which equates to approximately 400,000 barrels of capacity. Our Sunrise II Pipeline transports crude oil from Midland and Colorado City to connecting carriers at Wichita Falls.</w:t>
      </w:r>
    </w:p>
    <w:p>
      <w:pPr>
        <w:sectPr>
          <w:pgSz w:w="11880" w:h="15480" w:orient="portrait"/>
          <w:cols w:equalWidth="0" w:num="1">
            <w:col w:w="10000"/>
          </w:cols>
          <w:pgMar w:left="920" w:top="58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00"/>
          </w:cols>
          <w:pgMar w:left="920" w:top="582" w:right="960" w:bottom="0" w:gutter="0" w:footer="0" w:header="0"/>
          <w:type w:val="continuous"/>
        </w:sectPr>
      </w:pPr>
    </w:p>
    <w:bookmarkStart w:id="14" w:name="page15"/>
    <w:bookmarkEnd w:id="14"/>
    <w:p>
      <w:pPr>
        <w:ind w:left="700"/>
        <w:spacing w:after="0"/>
        <w:rPr>
          <w:sz w:val="20"/>
          <w:szCs w:val="20"/>
          <w:color w:val="auto"/>
        </w:rPr>
      </w:pPr>
      <w:r>
        <w:rPr>
          <w:rFonts w:ascii="Arial" w:cs="Arial" w:eastAsia="Arial" w:hAnsi="Arial"/>
          <w:sz w:val="20"/>
          <w:szCs w:val="20"/>
          <w:b w:val="1"/>
          <w:bCs w:val="1"/>
          <w:color w:val="auto"/>
        </w:rPr>
        <w:t>Permian to Gulf Coast</w:t>
      </w:r>
    </w:p>
    <w:p>
      <w:pPr>
        <w:spacing w:after="0" w:line="246" w:lineRule="exact"/>
        <w:rPr>
          <w:sz w:val="20"/>
          <w:szCs w:val="20"/>
          <w:color w:val="auto"/>
        </w:rPr>
      </w:pPr>
    </w:p>
    <w:p>
      <w:pPr>
        <w:ind w:left="1060" w:hanging="362"/>
        <w:spacing w:after="0" w:line="272" w:lineRule="auto"/>
        <w:tabs>
          <w:tab w:leader="none" w:pos="1060" w:val="left"/>
        </w:tabs>
        <w:numPr>
          <w:ilvl w:val="0"/>
          <w:numId w:val="1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BridgeTex Pipeline (Permian to Houston). </w:t>
      </w:r>
      <w:r>
        <w:rPr>
          <w:rFonts w:ascii="Arial" w:cs="Arial" w:eastAsia="Arial" w:hAnsi="Arial"/>
          <w:sz w:val="19"/>
          <w:szCs w:val="19"/>
          <w:color w:val="auto"/>
        </w:rPr>
        <w:t>We own a 20% interest in the entity that owns the BridgeTex Pipeline.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spacing w:after="0" w:line="185" w:lineRule="exact"/>
        <w:rPr>
          <w:rFonts w:ascii="Arial" w:cs="Arial" w:eastAsia="Arial" w:hAnsi="Arial"/>
          <w:sz w:val="19"/>
          <w:szCs w:val="19"/>
          <w:b w:val="1"/>
          <w:bCs w:val="1"/>
          <w:i w:val="1"/>
          <w:iCs w:val="1"/>
          <w:color w:val="auto"/>
        </w:rPr>
      </w:pPr>
    </w:p>
    <w:p>
      <w:pPr>
        <w:jc w:val="both"/>
        <w:ind w:left="1060" w:right="260" w:hanging="362"/>
        <w:spacing w:after="0" w:line="313"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156" w:lineRule="exact"/>
        <w:rPr>
          <w:rFonts w:ascii="Arial" w:cs="Arial" w:eastAsia="Arial" w:hAnsi="Arial"/>
          <w:sz w:val="17"/>
          <w:szCs w:val="17"/>
          <w:color w:val="auto"/>
        </w:rPr>
      </w:pPr>
    </w:p>
    <w:p>
      <w:pPr>
        <w:jc w:val="both"/>
        <w:ind w:left="1060" w:right="60" w:hanging="362"/>
        <w:spacing w:after="0" w:line="254" w:lineRule="auto"/>
        <w:tabs>
          <w:tab w:leader="none" w:pos="1060" w:val="left"/>
        </w:tabs>
        <w:numPr>
          <w:ilvl w:val="0"/>
          <w:numId w:val="1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Cactus II Pipeline (Permian to Corpus Christi). </w:t>
      </w:r>
      <w:r>
        <w:rPr>
          <w:rFonts w:ascii="Arial" w:cs="Arial" w:eastAsia="Arial" w:hAnsi="Arial"/>
          <w:sz w:val="20"/>
          <w:szCs w:val="20"/>
          <w:color w:val="auto"/>
        </w:rPr>
        <w:t>The Cactus II Pipeline is a Permian mainline system that extends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directly to the Corpus Christi market and has a capacity of approximately 670,000 barrels per day. We operate the Cactus II Pipeline and own a 70% interest in Cactus II, the entity that owns the Cactus II Pipeline, through a joint venture with Enbridge Inc.</w:t>
      </w:r>
    </w:p>
    <w:p>
      <w:pPr>
        <w:spacing w:after="0" w:line="202" w:lineRule="exact"/>
        <w:rPr>
          <w:rFonts w:ascii="Arial" w:cs="Arial" w:eastAsia="Arial" w:hAnsi="Arial"/>
          <w:sz w:val="20"/>
          <w:szCs w:val="20"/>
          <w:b w:val="1"/>
          <w:bCs w:val="1"/>
          <w:i w:val="1"/>
          <w:iCs w:val="1"/>
          <w:color w:val="auto"/>
        </w:rPr>
      </w:pPr>
    </w:p>
    <w:p>
      <w:pPr>
        <w:ind w:left="1060" w:right="40" w:hanging="362"/>
        <w:spacing w:after="0" w:line="250" w:lineRule="auto"/>
        <w:tabs>
          <w:tab w:leader="none" w:pos="1060" w:val="left"/>
        </w:tabs>
        <w:numPr>
          <w:ilvl w:val="0"/>
          <w:numId w:val="1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Wink to Webster Pipeline. </w:t>
      </w:r>
      <w:r>
        <w:rPr>
          <w:rFonts w:ascii="Arial" w:cs="Arial" w:eastAsia="Arial" w:hAnsi="Arial"/>
          <w:sz w:val="20"/>
          <w:szCs w:val="20"/>
          <w:color w:val="auto"/>
        </w:rPr>
        <w:t>We own an approximate 17% interest in the entity that owns the Wink to Webster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Pipeline (“W2W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spacing w:after="0" w:line="209" w:lineRule="exact"/>
        <w:rPr>
          <w:sz w:val="20"/>
          <w:szCs w:val="20"/>
          <w:color w:val="auto"/>
        </w:rPr>
      </w:pPr>
    </w:p>
    <w:p>
      <w:pPr>
        <w:ind w:right="120" w:firstLine="706"/>
        <w:spacing w:after="0" w:line="313" w:lineRule="auto"/>
        <w:rPr>
          <w:sz w:val="20"/>
          <w:szCs w:val="20"/>
          <w:color w:val="auto"/>
        </w:rPr>
      </w:pPr>
      <w:r>
        <w:rPr>
          <w:rFonts w:ascii="Arial" w:cs="Arial" w:eastAsia="Arial" w:hAnsi="Arial"/>
          <w:sz w:val="17"/>
          <w:szCs w:val="17"/>
          <w:b w:val="1"/>
          <w:bCs w:val="1"/>
          <w:i w:val="1"/>
          <w:iCs w:val="1"/>
          <w:color w:val="auto"/>
        </w:rPr>
        <w:t>Terminals</w:t>
      </w:r>
      <w:r>
        <w:rPr>
          <w:rFonts w:ascii="Arial" w:cs="Arial" w:eastAsia="Arial" w:hAnsi="Arial"/>
          <w:sz w:val="17"/>
          <w:szCs w:val="17"/>
          <w:color w:val="auto"/>
        </w:rPr>
        <w:t>. Our Midland terminal has access to all of the Permian JV gathering pipelines, either through 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South Texas/Eagle Ford</w:t>
      </w:r>
    </w:p>
    <w:p>
      <w:pPr>
        <w:spacing w:after="0" w:line="246" w:lineRule="exact"/>
        <w:rPr>
          <w:sz w:val="20"/>
          <w:szCs w:val="20"/>
          <w:color w:val="auto"/>
        </w:rPr>
      </w:pPr>
    </w:p>
    <w:p>
      <w:pPr>
        <w:ind w:right="160" w:firstLine="706"/>
        <w:spacing w:after="0" w:line="259" w:lineRule="auto"/>
        <w:rPr>
          <w:sz w:val="20"/>
          <w:szCs w:val="20"/>
          <w:color w:val="auto"/>
        </w:rPr>
      </w:pPr>
      <w:r>
        <w:rPr>
          <w:rFonts w:ascii="Arial" w:cs="Arial" w:eastAsia="Arial" w:hAnsi="Arial"/>
          <w:sz w:val="20"/>
          <w:szCs w:val="20"/>
          <w:b w:val="1"/>
          <w:bCs w:val="1"/>
          <w:i w:val="1"/>
          <w:iCs w:val="1"/>
          <w:color w:val="auto"/>
        </w:rPr>
        <w:t xml:space="preserve">Gathering Pipelines. </w:t>
      </w:r>
      <w:r>
        <w:rPr>
          <w:rFonts w:ascii="Arial" w:cs="Arial" w:eastAsia="Arial" w:hAnsi="Arial"/>
          <w:sz w:val="20"/>
          <w:szCs w:val="20"/>
          <w:color w:val="auto"/>
        </w:rPr>
        <w:t>We own and operate various gathering systems in the Eagle Ford producing region that connect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into our Eagle Ford joint venture pipeline system or to third-party pipelines. We acquired an additional Eagle Ford gathering system in January 2025.</w:t>
      </w:r>
    </w:p>
    <w:p>
      <w:pPr>
        <w:spacing w:after="0" w:line="196" w:lineRule="exact"/>
        <w:rPr>
          <w:sz w:val="20"/>
          <w:szCs w:val="20"/>
          <w:color w:val="auto"/>
        </w:rPr>
      </w:pPr>
    </w:p>
    <w:p>
      <w:pPr>
        <w:ind w:right="60" w:firstLine="706"/>
        <w:spacing w:after="0" w:line="266"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 50% interest in the entity that owns the Eagle Ford Pipeline through a joint venture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a subsidiary of Enterprise Products Partners, L.P. (“Enterprise Products”). We serve as the operator of the Eagle Ford Pipeline, which has a total capacity of approximately 660,000 barrels per day and connects Permian Basin, through a connection with our Cactus Pipeline, and Eagle Ford area production to Corpus Christi, Texas refiners and terminals. Additionally, the Eagle Ford Pipeline has connectivity to Houston, Texas via a connection with Enterprise Products’ pipeline at Lyssy, Texas. The Eagle Ford Pipeline is supported by long-term shipper commitments.</w:t>
      </w:r>
    </w:p>
    <w:p>
      <w:pPr>
        <w:spacing w:after="0" w:line="193" w:lineRule="exact"/>
        <w:rPr>
          <w:sz w:val="20"/>
          <w:szCs w:val="20"/>
          <w:color w:val="auto"/>
        </w:rPr>
      </w:pPr>
    </w:p>
    <w:p>
      <w:pPr>
        <w:ind w:right="40" w:firstLine="706"/>
        <w:spacing w:after="0" w:line="259" w:lineRule="auto"/>
        <w:rPr>
          <w:sz w:val="20"/>
          <w:szCs w:val="20"/>
          <w:color w:val="auto"/>
        </w:rPr>
      </w:pPr>
      <w:r>
        <w:rPr>
          <w:rFonts w:ascii="Arial" w:cs="Arial" w:eastAsia="Arial" w:hAnsi="Arial"/>
          <w:sz w:val="20"/>
          <w:szCs w:val="20"/>
          <w:b w:val="1"/>
          <w:bCs w:val="1"/>
          <w:i w:val="1"/>
          <w:iCs w:val="1"/>
          <w:color w:val="auto"/>
        </w:rPr>
        <w:t>Terminals</w:t>
      </w:r>
      <w:r>
        <w:rPr>
          <w:rFonts w:ascii="Arial" w:cs="Arial" w:eastAsia="Arial" w:hAnsi="Arial"/>
          <w:sz w:val="20"/>
          <w:szCs w:val="20"/>
          <w:color w:val="auto"/>
        </w:rPr>
        <w:t>. We own a 50% interest in the entity that owns the Eagle Ford Corpus Christi terminal through a joint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venture with a subsidiary of Enterprise Products. The Eagle Ford Corpus Christi terminal has a dock with the capacity to export crude oil and approximately one million barrels of commercial storage capacity.</w:t>
      </w:r>
    </w:p>
    <w:p>
      <w:pPr>
        <w:spacing w:after="0" w:line="196" w:lineRule="exact"/>
        <w:rPr>
          <w:sz w:val="20"/>
          <w:szCs w:val="20"/>
          <w:color w:val="auto"/>
        </w:rPr>
      </w:pPr>
    </w:p>
    <w:p>
      <w:pPr>
        <w:ind w:right="120" w:firstLine="706"/>
        <w:spacing w:after="0" w:line="259" w:lineRule="auto"/>
        <w:rPr>
          <w:sz w:val="20"/>
          <w:szCs w:val="20"/>
          <w:color w:val="auto"/>
        </w:rPr>
      </w:pPr>
      <w:r>
        <w:rPr>
          <w:rFonts w:ascii="Arial" w:cs="Arial" w:eastAsia="Arial" w:hAnsi="Arial"/>
          <w:sz w:val="20"/>
          <w:szCs w:val="20"/>
          <w:b w:val="1"/>
          <w:bCs w:val="1"/>
          <w:i w:val="1"/>
          <w:iCs w:val="1"/>
          <w:color w:val="auto"/>
        </w:rPr>
        <w:t xml:space="preserve">Condensate Processing. </w:t>
      </w:r>
      <w:r>
        <w:rPr>
          <w:rFonts w:ascii="Arial" w:cs="Arial" w:eastAsia="Arial" w:hAnsi="Arial"/>
          <w:sz w:val="20"/>
          <w:szCs w:val="20"/>
          <w:color w:val="auto"/>
        </w:rPr>
        <w:t>We own a 120,000 barrels per day condensate processing facility located in La Salle County,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Texas that stabilizes condensate that is primarily sourced from our Eagle Ford area gathering systems. The processed NGL is delivered to a third-party pipeline that delivers into Mont Belvieu, Texas.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Mid-Continent</w:t>
      </w:r>
    </w:p>
    <w:p>
      <w:pPr>
        <w:spacing w:after="0" w:line="246" w:lineRule="exact"/>
        <w:rPr>
          <w:sz w:val="20"/>
          <w:szCs w:val="20"/>
          <w:color w:val="auto"/>
        </w:rPr>
      </w:pPr>
    </w:p>
    <w:p>
      <w:pPr>
        <w:ind w:right="780" w:firstLine="706"/>
        <w:spacing w:after="0" w:line="363" w:lineRule="auto"/>
        <w:rPr>
          <w:sz w:val="20"/>
          <w:szCs w:val="20"/>
          <w:color w:val="auto"/>
        </w:rPr>
      </w:pPr>
      <w:r>
        <w:rPr>
          <w:rFonts w:ascii="Arial" w:cs="Arial" w:eastAsia="Arial" w:hAnsi="Arial"/>
          <w:sz w:val="17"/>
          <w:szCs w:val="17"/>
          <w:b w:val="1"/>
          <w:bCs w:val="1"/>
          <w:i w:val="1"/>
          <w:iCs w:val="1"/>
          <w:color w:val="auto"/>
        </w:rPr>
        <w:t xml:space="preserve">Gathering Pipelines. </w:t>
      </w:r>
      <w:r>
        <w:rPr>
          <w:rFonts w:ascii="Arial" w:cs="Arial" w:eastAsia="Arial" w:hAnsi="Arial"/>
          <w:sz w:val="17"/>
          <w:szCs w:val="17"/>
          <w:color w:val="auto"/>
        </w:rPr>
        <w:t>We own and operate gathering pipelines that source crude oil from Western and Central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Oklahoma and Southwest Kansas for transportation and delivery into our terminal facilities at Cushing, Oklahoma.</w:t>
      </w:r>
    </w:p>
    <w:p>
      <w:pPr>
        <w:spacing w:after="0" w:line="114" w:lineRule="exact"/>
        <w:rPr>
          <w:sz w:val="20"/>
          <w:szCs w:val="20"/>
          <w:color w:val="auto"/>
        </w:rPr>
      </w:pPr>
    </w:p>
    <w:p>
      <w:pPr>
        <w:ind w:right="20" w:firstLine="706"/>
        <w:spacing w:after="0" w:line="259" w:lineRule="auto"/>
        <w:rPr>
          <w:sz w:val="20"/>
          <w:szCs w:val="20"/>
          <w:color w:val="auto"/>
        </w:rPr>
      </w:pPr>
      <w:r>
        <w:rPr>
          <w:rFonts w:ascii="Arial" w:cs="Arial" w:eastAsia="Arial" w:hAnsi="Arial"/>
          <w:sz w:val="20"/>
          <w:szCs w:val="20"/>
          <w:b w:val="1"/>
          <w:bCs w:val="1"/>
          <w:i w:val="1"/>
          <w:iCs w:val="1"/>
          <w:color w:val="auto"/>
        </w:rPr>
        <w:t xml:space="preserve">Long-haul Pipelines. </w:t>
      </w:r>
      <w:r>
        <w:rPr>
          <w:rFonts w:ascii="Arial" w:cs="Arial" w:eastAsia="Arial" w:hAnsi="Arial"/>
          <w:sz w:val="20"/>
          <w:szCs w:val="20"/>
          <w:color w:val="auto"/>
        </w:rPr>
        <w:t>We own and operate various pipeline systems that extend from our Cushing terminal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Oklahoma to various refineries and/or crude oil hubs. Below is a description of some of our most significant pipeline systems in the Mid-Continent region.</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0"/>
          </w:cols>
          <w:pgMar w:left="920" w:top="575" w:right="920" w:bottom="0" w:gutter="0" w:footer="0" w:header="0"/>
          <w:type w:val="continuous"/>
        </w:sectPr>
      </w:pPr>
    </w:p>
    <w:bookmarkStart w:id="15" w:name="page16"/>
    <w:bookmarkEnd w:id="15"/>
    <w:p>
      <w:pPr>
        <w:ind w:left="1060" w:right="280" w:hanging="362"/>
        <w:spacing w:after="0" w:line="254" w:lineRule="auto"/>
        <w:tabs>
          <w:tab w:leader="none" w:pos="1060" w:val="left"/>
        </w:tabs>
        <w:numPr>
          <w:ilvl w:val="0"/>
          <w:numId w:val="1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Diamond Pipeline (Cushing to Memphis). </w:t>
      </w:r>
      <w:r>
        <w:rPr>
          <w:rFonts w:ascii="Arial" w:cs="Arial" w:eastAsia="Arial" w:hAnsi="Arial"/>
          <w:sz w:val="20"/>
          <w:szCs w:val="20"/>
          <w:color w:val="auto"/>
        </w:rPr>
        <w:t>We own a 50% interest in the entity that owns the Diamond Pipeline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through a joint venture with Valero Energy Corporation (“Valero”). We operate the Diamond Pipeline, which extends from our Cushing Terminal to Valero’s refinery in Memphis, Tennessee. The Diamond Pipeline has a total capacity of approximately 200,000 barrels per day.</w:t>
      </w:r>
    </w:p>
    <w:p>
      <w:pPr>
        <w:spacing w:after="0" w:line="202" w:lineRule="exact"/>
        <w:rPr>
          <w:rFonts w:ascii="Arial" w:cs="Arial" w:eastAsia="Arial" w:hAnsi="Arial"/>
          <w:sz w:val="20"/>
          <w:szCs w:val="20"/>
          <w:b w:val="1"/>
          <w:bCs w:val="1"/>
          <w:i w:val="1"/>
          <w:iCs w:val="1"/>
          <w:color w:val="auto"/>
        </w:rPr>
      </w:pPr>
    </w:p>
    <w:p>
      <w:pPr>
        <w:ind w:left="1060" w:right="80" w:hanging="362"/>
        <w:spacing w:after="0" w:line="303" w:lineRule="auto"/>
        <w:tabs>
          <w:tab w:leader="none" w:pos="106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Red River Pipeline (Cushing to Longview)</w:t>
      </w:r>
      <w:r>
        <w:rPr>
          <w:rFonts w:ascii="Arial" w:cs="Arial" w:eastAsia="Arial" w:hAnsi="Arial"/>
          <w:sz w:val="17"/>
          <w:szCs w:val="17"/>
          <w:color w:val="auto"/>
        </w:rPr>
        <w:t>. We own 67% of the entity that owns the Red River Pipeline through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joint venture with Delek Logistics Partners, LP.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165" w:lineRule="exact"/>
        <w:rPr>
          <w:rFonts w:ascii="Arial" w:cs="Arial" w:eastAsia="Arial" w:hAnsi="Arial"/>
          <w:sz w:val="17"/>
          <w:szCs w:val="17"/>
          <w:b w:val="1"/>
          <w:bCs w:val="1"/>
          <w:i w:val="1"/>
          <w:iCs w:val="1"/>
          <w:color w:val="auto"/>
        </w:rPr>
      </w:pPr>
    </w:p>
    <w:p>
      <w:pPr>
        <w:ind w:left="1060" w:right="100" w:hanging="362"/>
        <w:spacing w:after="0" w:line="254" w:lineRule="auto"/>
        <w:tabs>
          <w:tab w:leader="none" w:pos="1060" w:val="left"/>
        </w:tabs>
        <w:numPr>
          <w:ilvl w:val="0"/>
          <w:numId w:val="1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Midway Pipeline and Cushing Connect Pipeline</w:t>
      </w:r>
      <w:r>
        <w:rPr>
          <w:rFonts w:ascii="Arial" w:cs="Arial" w:eastAsia="Arial" w:hAnsi="Arial"/>
          <w:sz w:val="20"/>
          <w:szCs w:val="20"/>
          <w:color w:val="auto"/>
        </w:rPr>
        <w:t>. We own and operate the Midway pipeline and own a 50%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interest in the Cushing Connect pipeline, both of which originate at our Cushing terminal and terminate at refineries in Coffeyville, Kansas and Tulsa, Oklahoma, respectively. Our partner in the Cushing Connect pipeline is the refiner customer at the terminus of the pipeline.</w:t>
      </w:r>
    </w:p>
    <w:p>
      <w:pPr>
        <w:spacing w:after="0" w:line="202" w:lineRule="exact"/>
        <w:rPr>
          <w:sz w:val="20"/>
          <w:szCs w:val="20"/>
          <w:color w:val="auto"/>
        </w:rPr>
      </w:pPr>
    </w:p>
    <w:p>
      <w:pPr>
        <w:ind w:right="560" w:firstLine="706"/>
        <w:spacing w:after="0" w:line="254" w:lineRule="auto"/>
        <w:rPr>
          <w:sz w:val="20"/>
          <w:szCs w:val="20"/>
          <w:color w:val="auto"/>
        </w:rPr>
      </w:pPr>
      <w:r>
        <w:rPr>
          <w:rFonts w:ascii="Arial" w:cs="Arial" w:eastAsia="Arial" w:hAnsi="Arial"/>
          <w:sz w:val="20"/>
          <w:szCs w:val="20"/>
          <w:b w:val="1"/>
          <w:bCs w:val="1"/>
          <w:i w:val="1"/>
          <w:iCs w:val="1"/>
          <w:color w:val="auto"/>
        </w:rPr>
        <w:t>Terminals</w:t>
      </w:r>
      <w:r>
        <w:rPr>
          <w:rFonts w:ascii="Arial" w:cs="Arial" w:eastAsia="Arial" w:hAnsi="Arial"/>
          <w:sz w:val="20"/>
          <w:szCs w:val="20"/>
          <w:color w:val="auto"/>
        </w:rPr>
        <w:t>. We are a large provider of crude oil terminalling services in Cushing, Oklahoma, which is one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largest physical trading hubs in the United States and is the delivery point for the NYMEX light sweet crude oil futures contracts (the benchmark for U.S. crude oil). Our Cushing terminal has been designated by the NYMEX as an approved delivery location.</w:t>
      </w:r>
    </w:p>
    <w:p>
      <w:pPr>
        <w:spacing w:after="0" w:line="204" w:lineRule="exact"/>
        <w:rPr>
          <w:sz w:val="20"/>
          <w:szCs w:val="20"/>
          <w:color w:val="auto"/>
        </w:rPr>
      </w:pPr>
    </w:p>
    <w:p>
      <w:pPr>
        <w:ind w:right="100" w:firstLine="706"/>
        <w:spacing w:after="0" w:line="254" w:lineRule="auto"/>
        <w:rPr>
          <w:sz w:val="20"/>
          <w:szCs w:val="20"/>
          <w:color w:val="auto"/>
        </w:rPr>
      </w:pPr>
      <w:r>
        <w:rPr>
          <w:rFonts w:ascii="Arial" w:cs="Arial" w:eastAsia="Arial" w:hAnsi="Arial"/>
          <w:sz w:val="20"/>
          <w:szCs w:val="20"/>
          <w:color w:val="auto"/>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 Our Cushing terminal is also connected to a rail unloading facility.</w:t>
      </w:r>
    </w:p>
    <w:p>
      <w:pPr>
        <w:spacing w:after="0" w:line="202" w:lineRule="exact"/>
        <w:rPr>
          <w:sz w:val="20"/>
          <w:szCs w:val="20"/>
          <w:color w:val="auto"/>
        </w:rPr>
      </w:pPr>
    </w:p>
    <w:p>
      <w:pPr>
        <w:ind w:right="60" w:firstLine="706"/>
        <w:spacing w:after="0" w:line="361" w:lineRule="auto"/>
        <w:rPr>
          <w:sz w:val="20"/>
          <w:szCs w:val="20"/>
          <w:color w:val="auto"/>
        </w:rPr>
      </w:pPr>
      <w:r>
        <w:rPr>
          <w:rFonts w:ascii="Arial" w:cs="Arial" w:eastAsia="Arial" w:hAnsi="Arial"/>
          <w:sz w:val="17"/>
          <w:szCs w:val="17"/>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Gulf Coast</w:t>
      </w:r>
    </w:p>
    <w:p>
      <w:pPr>
        <w:spacing w:after="0" w:line="246" w:lineRule="exact"/>
        <w:rPr>
          <w:sz w:val="20"/>
          <w:szCs w:val="20"/>
          <w:color w:val="auto"/>
        </w:rPr>
      </w:pPr>
    </w:p>
    <w:p>
      <w:pPr>
        <w:ind w:right="40" w:firstLine="706"/>
        <w:spacing w:after="0" w:line="279" w:lineRule="auto"/>
        <w:rPr>
          <w:sz w:val="20"/>
          <w:szCs w:val="20"/>
          <w:color w:val="auto"/>
        </w:rPr>
      </w:pPr>
      <w:r>
        <w:rPr>
          <w:rFonts w:ascii="Arial" w:cs="Arial" w:eastAsia="Arial" w:hAnsi="Arial"/>
          <w:sz w:val="19"/>
          <w:szCs w:val="19"/>
          <w:b w:val="1"/>
          <w:bCs w:val="1"/>
          <w:i w:val="1"/>
          <w:iCs w:val="1"/>
          <w:color w:val="auto"/>
        </w:rPr>
        <w:t xml:space="preserve">Long-haul Pipelines. </w:t>
      </w:r>
      <w:r>
        <w:rPr>
          <w:rFonts w:ascii="Arial" w:cs="Arial" w:eastAsia="Arial" w:hAnsi="Arial"/>
          <w:sz w:val="19"/>
          <w:szCs w:val="19"/>
          <w:color w:val="auto"/>
        </w:rPr>
        <w:t>We own an approximate 54% interest in the entity that owns the Capline Pipeline, which extends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Patoka, Illinois to various terminals in St. James, Louisiana. The Capline Pipeline is supported by long-term shipper commitments, and a subsidiary of Marathon Petroleum Corporation serves as the operator.</w:t>
      </w:r>
    </w:p>
    <w:p>
      <w:pPr>
        <w:spacing w:after="0" w:line="179" w:lineRule="exact"/>
        <w:rPr>
          <w:sz w:val="20"/>
          <w:szCs w:val="20"/>
          <w:color w:val="auto"/>
        </w:rPr>
      </w:pPr>
    </w:p>
    <w:p>
      <w:pPr>
        <w:ind w:right="140" w:firstLine="706"/>
        <w:spacing w:after="0" w:line="252" w:lineRule="auto"/>
        <w:rPr>
          <w:sz w:val="20"/>
          <w:szCs w:val="20"/>
          <w:color w:val="auto"/>
        </w:rPr>
      </w:pPr>
      <w:r>
        <w:rPr>
          <w:rFonts w:ascii="Arial" w:cs="Arial" w:eastAsia="Arial" w:hAnsi="Arial"/>
          <w:sz w:val="20"/>
          <w:szCs w:val="20"/>
          <w:b w:val="1"/>
          <w:bCs w:val="1"/>
          <w:i w:val="1"/>
          <w:iCs w:val="1"/>
          <w:color w:val="auto"/>
        </w:rPr>
        <w:t>Terminals</w:t>
      </w:r>
      <w:r>
        <w:rPr>
          <w:rFonts w:ascii="Arial" w:cs="Arial" w:eastAsia="Arial" w:hAnsi="Arial"/>
          <w:sz w:val="20"/>
          <w:szCs w:val="20"/>
          <w:color w:val="auto"/>
        </w:rPr>
        <w:t>. Our terminal at St. James, Louisiana, which has 15 million barrels of commercial storage capacity, is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Rocky Mountain</w:t>
      </w:r>
    </w:p>
    <w:p>
      <w:pPr>
        <w:spacing w:after="0" w:line="246" w:lineRule="exact"/>
        <w:rPr>
          <w:sz w:val="20"/>
          <w:szCs w:val="20"/>
          <w:color w:val="auto"/>
        </w:rPr>
      </w:pPr>
    </w:p>
    <w:p>
      <w:pPr>
        <w:ind w:right="420" w:firstLine="706"/>
        <w:spacing w:after="0" w:line="273" w:lineRule="auto"/>
        <w:rPr>
          <w:sz w:val="20"/>
          <w:szCs w:val="20"/>
          <w:color w:val="auto"/>
        </w:rPr>
      </w:pPr>
      <w:r>
        <w:rPr>
          <w:rFonts w:ascii="Arial" w:cs="Arial" w:eastAsia="Arial" w:hAnsi="Arial"/>
          <w:sz w:val="20"/>
          <w:szCs w:val="20"/>
          <w:b w:val="1"/>
          <w:bCs w:val="1"/>
          <w:i w:val="1"/>
          <w:iCs w:val="1"/>
          <w:color w:val="auto"/>
        </w:rPr>
        <w:t>Gathering Pipelines</w:t>
      </w:r>
      <w:r>
        <w:rPr>
          <w:rFonts w:ascii="Arial" w:cs="Arial" w:eastAsia="Arial" w:hAnsi="Arial"/>
          <w:sz w:val="20"/>
          <w:szCs w:val="20"/>
          <w:color w:val="auto"/>
        </w:rPr>
        <w:t>. We own and operate pipelines that provide gathering services in the Bakken and the Powder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River Basin.</w:t>
      </w:r>
    </w:p>
    <w:p>
      <w:pPr>
        <w:spacing w:after="0" w:line="182"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b w:val="1"/>
          <w:bCs w:val="1"/>
          <w:i w:val="1"/>
          <w:iCs w:val="1"/>
          <w:color w:val="auto"/>
        </w:rPr>
        <w:t xml:space="preserve">Long-haul Pipelines. </w:t>
      </w:r>
      <w:r>
        <w:rPr>
          <w:rFonts w:ascii="Arial" w:cs="Arial" w:eastAsia="Arial" w:hAnsi="Arial"/>
          <w:sz w:val="17"/>
          <w:szCs w:val="17"/>
          <w:color w:val="auto"/>
        </w:rPr>
        <w:t>Our pipeline systems in the Rocky Mountain region provide access to our terminal in Cushing,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580" w:right="920" w:bottom="0" w:gutter="0" w:footer="0" w:header="0"/>
          <w:type w:val="continuous"/>
        </w:sectPr>
      </w:pPr>
    </w:p>
    <w:bookmarkStart w:id="16" w:name="page17"/>
    <w:bookmarkEnd w:id="16"/>
    <w:p>
      <w:pPr>
        <w:ind w:left="1060" w:right="40" w:hanging="362"/>
        <w:spacing w:after="0" w:line="272" w:lineRule="auto"/>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b w:val="1"/>
          <w:bCs w:val="1"/>
          <w:i w:val="1"/>
          <w:iCs w:val="1"/>
          <w:color w:val="auto"/>
        </w:rPr>
        <w:t>Saddlehorn Pipeline</w:t>
      </w:r>
      <w:r>
        <w:rPr>
          <w:rFonts w:ascii="Arial" w:cs="Arial" w:eastAsia="Arial" w:hAnsi="Arial"/>
          <w:sz w:val="19"/>
          <w:szCs w:val="19"/>
          <w:color w:val="auto"/>
        </w:rPr>
        <w:t>. We own a 40% interest in the entity that owns the Saddlehorn Pipeline which, through a UJI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arrangement, owns approximately 290,000 barrels per day of capacity in the Saddlehorn Pipeline. The pipeline extends from the Niobrara and Denver-Julesburg (“DJ”) Basin to Cushing and is operated by ONEOK. The Saddlehorn Pipeline is supported by minimum volume commitments.</w:t>
      </w:r>
    </w:p>
    <w:p>
      <w:pPr>
        <w:spacing w:after="0" w:line="185" w:lineRule="exact"/>
        <w:rPr>
          <w:rFonts w:ascii="Arial" w:cs="Arial" w:eastAsia="Arial" w:hAnsi="Arial"/>
          <w:sz w:val="19"/>
          <w:szCs w:val="19"/>
          <w:color w:val="auto"/>
        </w:rPr>
      </w:pPr>
    </w:p>
    <w:p>
      <w:pPr>
        <w:ind w:left="1060" w:right="60" w:hanging="362"/>
        <w:spacing w:after="0" w:line="250" w:lineRule="auto"/>
        <w:tabs>
          <w:tab w:leader="none" w:pos="1060" w:val="left"/>
        </w:tabs>
        <w:numPr>
          <w:ilvl w:val="0"/>
          <w:numId w:val="1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White Cliffs Pipeline. </w:t>
      </w:r>
      <w:r>
        <w:rPr>
          <w:rFonts w:ascii="Arial" w:cs="Arial" w:eastAsia="Arial" w:hAnsi="Arial"/>
          <w:sz w:val="20"/>
          <w:szCs w:val="20"/>
          <w:color w:val="auto"/>
        </w:rPr>
        <w:t>We own an approximate 36% interest in the entity that owns the White Cliffs Pipeline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Canada</w:t>
      </w:r>
    </w:p>
    <w:p>
      <w:pPr>
        <w:spacing w:after="0" w:line="246" w:lineRule="exact"/>
        <w:rPr>
          <w:sz w:val="20"/>
          <w:szCs w:val="20"/>
          <w:color w:val="auto"/>
        </w:rPr>
      </w:pPr>
    </w:p>
    <w:p>
      <w:pPr>
        <w:ind w:right="20" w:firstLine="706"/>
        <w:spacing w:after="0" w:line="363" w:lineRule="auto"/>
        <w:rPr>
          <w:sz w:val="20"/>
          <w:szCs w:val="20"/>
          <w:color w:val="auto"/>
        </w:rPr>
      </w:pPr>
      <w:r>
        <w:rPr>
          <w:rFonts w:ascii="Arial" w:cs="Arial" w:eastAsia="Arial" w:hAnsi="Arial"/>
          <w:sz w:val="17"/>
          <w:szCs w:val="17"/>
          <w:b w:val="1"/>
          <w:bCs w:val="1"/>
          <w:i w:val="1"/>
          <w:iCs w:val="1"/>
          <w:color w:val="auto"/>
        </w:rPr>
        <w:t>Gathering Pipelines</w:t>
      </w:r>
      <w:r>
        <w:rPr>
          <w:rFonts w:ascii="Arial" w:cs="Arial" w:eastAsia="Arial" w:hAnsi="Arial"/>
          <w:sz w:val="17"/>
          <w:szCs w:val="17"/>
          <w:color w:val="auto"/>
        </w:rPr>
        <w:t>. We own and operate gathering systems that source crude oil from truck terminals and pipeline-connected facilities to deliver to the Enbridge Mainline system at our Kerrobert and Regina terminals in Saskatchewan, Canada.</w:t>
      </w:r>
    </w:p>
    <w:p>
      <w:pPr>
        <w:spacing w:after="0" w:line="114" w:lineRule="exact"/>
        <w:rPr>
          <w:sz w:val="20"/>
          <w:szCs w:val="20"/>
          <w:color w:val="auto"/>
        </w:rPr>
      </w:pPr>
    </w:p>
    <w:p>
      <w:pPr>
        <w:ind w:right="140" w:firstLine="706"/>
        <w:spacing w:after="0" w:line="326" w:lineRule="auto"/>
        <w:rPr>
          <w:sz w:val="20"/>
          <w:szCs w:val="20"/>
          <w:color w:val="auto"/>
        </w:rPr>
      </w:pPr>
      <w:r>
        <w:rPr>
          <w:rFonts w:ascii="Arial" w:cs="Arial" w:eastAsia="Arial" w:hAnsi="Arial"/>
          <w:sz w:val="17"/>
          <w:szCs w:val="17"/>
          <w:b w:val="1"/>
          <w:bCs w:val="1"/>
          <w:i w:val="1"/>
          <w:iCs w:val="1"/>
          <w:color w:val="auto"/>
        </w:rPr>
        <w:t xml:space="preserve">Intra-basin Pipelines. </w:t>
      </w:r>
      <w:r>
        <w:rPr>
          <w:rFonts w:ascii="Arial" w:cs="Arial" w:eastAsia="Arial" w:hAnsi="Arial"/>
          <w:sz w:val="17"/>
          <w:szCs w:val="17"/>
          <w:color w:val="auto"/>
        </w:rPr>
        <w:t>We own and operate intra-basin pipelines with a capacity of approximately 290,000 barrels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 that deliver crude oil from northern and southern Alberta to the Edmonton, Alberta market hub. These pipelines provide shippers with flexibility to access the Enbridge and TransMountain long-haul pipelines along with the Imperial Oil Refinery.</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Western</w:t>
      </w:r>
    </w:p>
    <w:p>
      <w:pPr>
        <w:spacing w:after="0" w:line="246" w:lineRule="exact"/>
        <w:rPr>
          <w:sz w:val="20"/>
          <w:szCs w:val="20"/>
          <w:color w:val="auto"/>
        </w:rPr>
      </w:pPr>
    </w:p>
    <w:p>
      <w:pPr>
        <w:ind w:right="100" w:firstLine="706"/>
        <w:spacing w:after="0" w:line="259" w:lineRule="auto"/>
        <w:rPr>
          <w:sz w:val="20"/>
          <w:szCs w:val="20"/>
          <w:color w:val="auto"/>
        </w:rPr>
      </w:pPr>
      <w:r>
        <w:rPr>
          <w:rFonts w:ascii="Arial" w:cs="Arial" w:eastAsia="Arial" w:hAnsi="Arial"/>
          <w:sz w:val="20"/>
          <w:szCs w:val="20"/>
          <w:b w:val="1"/>
          <w:bCs w:val="1"/>
          <w:i w:val="1"/>
          <w:iCs w:val="1"/>
          <w:color w:val="auto"/>
        </w:rPr>
        <w:t xml:space="preserve">Gathering Pipelines. </w:t>
      </w:r>
      <w:r>
        <w:rPr>
          <w:rFonts w:ascii="Arial" w:cs="Arial" w:eastAsia="Arial" w:hAnsi="Arial"/>
          <w:sz w:val="20"/>
          <w:szCs w:val="20"/>
          <w:color w:val="auto"/>
        </w:rPr>
        <w:t>We own and operate a pipeline in the San Joaquin Valley in California that gathers locally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produced crude oil, which is then delivered via our Line 63 pipeline system and/or Line 2000 pipeline for transportation to Los Angeles area refiners.</w:t>
      </w:r>
    </w:p>
    <w:p>
      <w:pPr>
        <w:spacing w:after="0" w:line="196" w:lineRule="exact"/>
        <w:rPr>
          <w:sz w:val="20"/>
          <w:szCs w:val="20"/>
          <w:color w:val="auto"/>
        </w:rPr>
      </w:pPr>
    </w:p>
    <w:p>
      <w:pPr>
        <w:ind w:firstLine="706"/>
        <w:spacing w:after="0" w:line="242" w:lineRule="auto"/>
        <w:rPr>
          <w:sz w:val="20"/>
          <w:szCs w:val="20"/>
          <w:color w:val="auto"/>
        </w:rPr>
      </w:pPr>
      <w:r>
        <w:rPr>
          <w:rFonts w:ascii="Arial" w:cs="Arial" w:eastAsia="Arial" w:hAnsi="Arial"/>
          <w:sz w:val="20"/>
          <w:szCs w:val="20"/>
          <w:b w:val="1"/>
          <w:bCs w:val="1"/>
          <w:i w:val="1"/>
          <w:iCs w:val="1"/>
          <w:color w:val="auto"/>
        </w:rPr>
        <w:t xml:space="preserve">Long-haul Pipelines. </w:t>
      </w:r>
      <w:r>
        <w:rPr>
          <w:rFonts w:ascii="Arial" w:cs="Arial" w:eastAsia="Arial" w:hAnsi="Arial"/>
          <w:sz w:val="20"/>
          <w:szCs w:val="20"/>
          <w:color w:val="auto"/>
        </w:rPr>
        <w:t>We own and operate Line 63 and Line 2000 pipelines in California. Line 2000 is a mainline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NGL Segment</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NGL Market and Business Overview</w:t>
      </w:r>
    </w:p>
    <w:p>
      <w:pPr>
        <w:spacing w:after="0" w:line="248" w:lineRule="exact"/>
        <w:rPr>
          <w:sz w:val="20"/>
          <w:szCs w:val="20"/>
          <w:color w:val="auto"/>
        </w:rPr>
      </w:pPr>
    </w:p>
    <w:p>
      <w:pPr>
        <w:ind w:right="20" w:firstLine="706"/>
        <w:spacing w:after="0" w:line="251" w:lineRule="auto"/>
        <w:rPr>
          <w:sz w:val="20"/>
          <w:szCs w:val="20"/>
          <w:color w:val="auto"/>
        </w:rPr>
      </w:pPr>
      <w:r>
        <w:rPr>
          <w:rFonts w:ascii="Arial" w:cs="Arial" w:eastAsia="Arial" w:hAnsi="Arial"/>
          <w:sz w:val="20"/>
          <w:szCs w:val="20"/>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209" w:lineRule="exact"/>
        <w:rPr>
          <w:sz w:val="20"/>
          <w:szCs w:val="20"/>
          <w:color w:val="auto"/>
        </w:rPr>
      </w:pPr>
    </w:p>
    <w:p>
      <w:pPr>
        <w:ind w:right="120" w:firstLine="706"/>
        <w:spacing w:after="0" w:line="296" w:lineRule="auto"/>
        <w:rPr>
          <w:sz w:val="20"/>
          <w:szCs w:val="20"/>
          <w:color w:val="auto"/>
        </w:rPr>
      </w:pPr>
      <w:r>
        <w:rPr>
          <w:rFonts w:ascii="Arial" w:cs="Arial" w:eastAsia="Arial" w:hAnsi="Arial"/>
          <w:sz w:val="17"/>
          <w:szCs w:val="17"/>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pacing w:after="0" w:line="176" w:lineRule="exact"/>
        <w:rPr>
          <w:sz w:val="20"/>
          <w:szCs w:val="20"/>
          <w:color w:val="auto"/>
        </w:rPr>
      </w:pPr>
    </w:p>
    <w:p>
      <w:pPr>
        <w:ind w:right="100" w:firstLine="706"/>
        <w:spacing w:after="0" w:line="271" w:lineRule="auto"/>
        <w:rPr>
          <w:sz w:val="20"/>
          <w:szCs w:val="20"/>
          <w:color w:val="auto"/>
        </w:rPr>
      </w:pPr>
      <w:r>
        <w:rPr>
          <w:rFonts w:ascii="Arial" w:cs="Arial" w:eastAsia="Arial" w:hAnsi="Arial"/>
          <w:sz w:val="20"/>
          <w:szCs w:val="20"/>
          <w:color w:val="auto"/>
        </w:rPr>
        <w:t>The figure below provides an illustrative and simplified overview of the assets and activities associated with our NGL segment (within the shaded area):</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0"/>
          </w:cols>
          <w:pgMar w:left="920" w:top="580" w:right="92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579755</wp:posOffset>
            </wp:positionH>
            <wp:positionV relativeFrom="page">
              <wp:posOffset>408305</wp:posOffset>
            </wp:positionV>
            <wp:extent cx="6384925" cy="1866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384925" cy="186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NGL Segment Assets Overview</w:t>
      </w:r>
    </w:p>
    <w:p>
      <w:pPr>
        <w:spacing w:after="0" w:line="232" w:lineRule="exact"/>
        <w:rPr>
          <w:sz w:val="20"/>
          <w:szCs w:val="20"/>
          <w:color w:val="auto"/>
        </w:rPr>
      </w:pPr>
    </w:p>
    <w:p>
      <w:pPr>
        <w:jc w:val="both"/>
        <w:ind w:right="100" w:firstLine="706"/>
        <w:spacing w:after="0" w:line="241" w:lineRule="auto"/>
        <w:rPr>
          <w:sz w:val="20"/>
          <w:szCs w:val="20"/>
          <w:color w:val="auto"/>
        </w:rPr>
      </w:pPr>
      <w:r>
        <w:rPr>
          <w:rFonts w:ascii="Arial" w:cs="Arial" w:eastAsia="Arial" w:hAnsi="Arial"/>
          <w:sz w:val="20"/>
          <w:szCs w:val="20"/>
          <w:color w:val="auto"/>
        </w:rPr>
        <w:t>We operate a highly integrated network of assets, strategically positioned across Canada and the United States, with a particular focus on serving production from the liquids-rich Western Canadian Sedimentary Basin. As of December 31, 2024, the assets utilized in our NGL segment included the following:</w:t>
      </w:r>
    </w:p>
    <w:p>
      <w:pPr>
        <w:spacing w:after="0" w:line="83" w:lineRule="exact"/>
        <w:rPr>
          <w:sz w:val="20"/>
          <w:szCs w:val="20"/>
          <w:color w:val="auto"/>
        </w:rPr>
      </w:pPr>
    </w:p>
    <w:p>
      <w:pPr>
        <w:ind w:left="1060" w:hanging="362"/>
        <w:spacing w:after="0"/>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four natural gas processing plants;</w:t>
      </w:r>
    </w:p>
    <w:p>
      <w:pPr>
        <w:spacing w:after="0" w:line="107" w:lineRule="exact"/>
        <w:rPr>
          <w:rFonts w:ascii="Arial" w:cs="Arial" w:eastAsia="Arial" w:hAnsi="Arial"/>
          <w:sz w:val="20"/>
          <w:szCs w:val="20"/>
          <w:color w:val="auto"/>
        </w:rPr>
      </w:pPr>
    </w:p>
    <w:p>
      <w:pPr>
        <w:ind w:left="1060" w:right="80" w:hanging="362"/>
        <w:spacing w:after="0" w:line="271" w:lineRule="auto"/>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seven fractionation plants located throughout Canada and the United States with an aggregate useable capacity of approximately 172,000 barrels per day;</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NGL storage facilities with approximately 23 million barrels of capacity;</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approximately 1,775 miles of active NGL transportation pipelines;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16 NGL rail terminals and approximately 4,100 NGL rail cars;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approximately 220 trailers.</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Additionally, our assets include the linefill associated with our commercial activities, including approximately:</w:t>
      </w:r>
    </w:p>
    <w:p>
      <w:pPr>
        <w:spacing w:after="0" w:line="134" w:lineRule="exact"/>
        <w:rPr>
          <w:sz w:val="20"/>
          <w:szCs w:val="20"/>
          <w:color w:val="auto"/>
        </w:rPr>
      </w:pPr>
    </w:p>
    <w:p>
      <w:pPr>
        <w:ind w:left="1060" w:hanging="362"/>
        <w:spacing w:after="0"/>
        <w:tabs>
          <w:tab w:leader="none" w:pos="10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2 million barrels of NGL linefill in pipelines and storage owned by us; and</w:t>
      </w:r>
    </w:p>
    <w:p>
      <w:pPr>
        <w:spacing w:after="0" w:line="122" w:lineRule="exact"/>
        <w:rPr>
          <w:rFonts w:ascii="Arial" w:cs="Arial" w:eastAsia="Arial" w:hAnsi="Arial"/>
          <w:sz w:val="20"/>
          <w:szCs w:val="20"/>
          <w:color w:val="auto"/>
        </w:rPr>
      </w:pPr>
    </w:p>
    <w:p>
      <w:pPr>
        <w:ind w:left="1060" w:right="80" w:hanging="362"/>
        <w:spacing w:after="0" w:line="271" w:lineRule="auto"/>
        <w:tabs>
          <w:tab w:leader="none" w:pos="10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 million barrels of NGL utilized as linefill in pipelines owned by third parties or otherwise required as long-term inventory.</w:t>
      </w:r>
    </w:p>
    <w:p>
      <w:pPr>
        <w:spacing w:after="0" w:line="171" w:lineRule="exact"/>
        <w:rPr>
          <w:sz w:val="20"/>
          <w:szCs w:val="20"/>
          <w:color w:val="auto"/>
        </w:rPr>
      </w:pPr>
    </w:p>
    <w:p>
      <w:pPr>
        <w:ind w:right="280" w:firstLine="706"/>
        <w:spacing w:after="0" w:line="342" w:lineRule="auto"/>
        <w:rPr>
          <w:sz w:val="20"/>
          <w:szCs w:val="20"/>
          <w:color w:val="auto"/>
        </w:rPr>
      </w:pPr>
      <w:r>
        <w:rPr>
          <w:rFonts w:ascii="Arial" w:cs="Arial" w:eastAsia="Arial" w:hAnsi="Arial"/>
          <w:sz w:val="17"/>
          <w:szCs w:val="17"/>
          <w:color w:val="auto"/>
        </w:rPr>
        <w:t>The tables below present approximate volumes and capacities for our NGL assets and activities as of December 31, 2024 and our natural gas processing and NGL infrastructure and activities are described further below.</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5"/>
              </w:rPr>
              <w:t>Gas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3"/>
              </w:rPr>
              <w:t>Processing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1"/>
              </w:rPr>
              <w:t>Inlet</w:t>
            </w:r>
          </w:p>
        </w:tc>
        <w:tc>
          <w:tcPr>
            <w:tcW w:w="0" w:type="dxa"/>
            <w:vAlign w:val="bottom"/>
          </w:tcPr>
          <w:p>
            <w:pPr>
              <w:spacing w:after="0"/>
              <w:rPr>
                <w:sz w:val="1"/>
                <w:szCs w:val="1"/>
                <w:color w:val="auto"/>
              </w:rPr>
            </w:pPr>
          </w:p>
        </w:tc>
      </w:tr>
      <w:tr>
        <w:trPr>
          <w:trHeight w:val="157"/>
        </w:trPr>
        <w:tc>
          <w:tcPr>
            <w:tcW w:w="54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Natural Gas Processing Facilities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6"/>
              </w:rPr>
              <w:t>Ownership Interest</w:t>
            </w:r>
          </w:p>
        </w:tc>
        <w:tc>
          <w:tcPr>
            <w:tcW w:w="8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Capacity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 xml:space="preserve">Volume </w:t>
            </w:r>
            <w:r>
              <w:rPr>
                <w:rFonts w:ascii="Arial" w:cs="Arial" w:eastAsia="Arial" w:hAnsi="Arial"/>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83"/>
              </w:rPr>
              <w:t xml:space="preserve">(Bcf/d) </w:t>
            </w:r>
            <w:r>
              <w:rPr>
                <w:rFonts w:ascii="Arial" w:cs="Arial" w:eastAsia="Arial" w:hAnsi="Arial"/>
                <w:sz w:val="20"/>
                <w:szCs w:val="20"/>
                <w:b w:val="1"/>
                <w:bCs w:val="1"/>
                <w:color w:val="auto"/>
                <w:w w:val="83"/>
                <w:vertAlign w:val="superscript"/>
              </w:rPr>
              <w:t>(1)</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(Bcf/d)</w:t>
            </w:r>
          </w:p>
        </w:tc>
        <w:tc>
          <w:tcPr>
            <w:tcW w:w="0" w:type="dxa"/>
            <w:vAlign w:val="bottom"/>
          </w:tcPr>
          <w:p>
            <w:pPr>
              <w:spacing w:after="0"/>
              <w:rPr>
                <w:sz w:val="1"/>
                <w:szCs w:val="1"/>
                <w:color w:val="auto"/>
              </w:rPr>
            </w:pPr>
          </w:p>
        </w:tc>
      </w:tr>
      <w:tr>
        <w:trPr>
          <w:trHeight w:val="257"/>
        </w:trPr>
        <w:tc>
          <w:tcPr>
            <w:tcW w:w="548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Empress</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100 %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5.7</w:t>
            </w:r>
          </w:p>
        </w:tc>
        <w:tc>
          <w:tcPr>
            <w:tcW w:w="1440" w:type="dxa"/>
            <w:vAlign w:val="bottom"/>
            <w:gridSpan w:val="3"/>
          </w:tcPr>
          <w:p>
            <w:pPr>
              <w:jc w:val="right"/>
              <w:ind w:right="1"/>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542"/>
        </w:trPr>
        <w:tc>
          <w:tcPr>
            <w:tcW w:w="5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Fractionation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57"/>
        </w:trPr>
        <w:tc>
          <w:tcPr>
            <w:tcW w:w="54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NGL Fractionation Facilities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6"/>
              </w:rPr>
              <w:t>Ownership Interest</w:t>
            </w:r>
          </w:p>
        </w:tc>
        <w:tc>
          <w:tcPr>
            <w:tcW w:w="8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Capacity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 xml:space="preserve">Volume </w:t>
            </w:r>
            <w:r>
              <w:rPr>
                <w:rFonts w:ascii="Arial" w:cs="Arial" w:eastAsia="Arial" w:hAnsi="Arial"/>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84"/>
              </w:rPr>
              <w:t xml:space="preserve">(Bbls/d) </w:t>
            </w:r>
            <w:r>
              <w:rPr>
                <w:rFonts w:ascii="Arial" w:cs="Arial" w:eastAsia="Arial" w:hAnsi="Arial"/>
                <w:sz w:val="20"/>
                <w:szCs w:val="20"/>
                <w:b w:val="1"/>
                <w:bCs w:val="1"/>
                <w:color w:val="auto"/>
                <w:w w:val="84"/>
                <w:vertAlign w:val="superscript"/>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(Bbls/d)</w:t>
            </w:r>
          </w:p>
        </w:tc>
        <w:tc>
          <w:tcPr>
            <w:tcW w:w="0" w:type="dxa"/>
            <w:vAlign w:val="bottom"/>
          </w:tcPr>
          <w:p>
            <w:pPr>
              <w:spacing w:after="0"/>
              <w:rPr>
                <w:sz w:val="1"/>
                <w:szCs w:val="1"/>
                <w:color w:val="auto"/>
              </w:rPr>
            </w:pPr>
          </w:p>
        </w:tc>
      </w:tr>
      <w:tr>
        <w:trPr>
          <w:trHeight w:val="270"/>
        </w:trPr>
        <w:tc>
          <w:tcPr>
            <w:tcW w:w="548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Empress</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100 %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26,000</w:t>
            </w:r>
          </w:p>
        </w:tc>
        <w:tc>
          <w:tcPr>
            <w:tcW w:w="1440" w:type="dxa"/>
            <w:vAlign w:val="bottom"/>
            <w:gridSpan w:val="3"/>
          </w:tcPr>
          <w:p>
            <w:pPr>
              <w:jc w:val="right"/>
              <w:ind w:right="1"/>
              <w:spacing w:after="0"/>
              <w:rPr>
                <w:sz w:val="20"/>
                <w:szCs w:val="20"/>
                <w:color w:val="auto"/>
              </w:rPr>
            </w:pPr>
            <w:r>
              <w:rPr>
                <w:rFonts w:ascii="Arial" w:cs="Arial" w:eastAsia="Arial" w:hAnsi="Arial"/>
                <w:sz w:val="20"/>
                <w:szCs w:val="20"/>
                <w:color w:val="auto"/>
              </w:rPr>
              <w:t>25,100</w:t>
            </w:r>
          </w:p>
        </w:tc>
        <w:tc>
          <w:tcPr>
            <w:tcW w:w="0" w:type="dxa"/>
            <w:vAlign w:val="bottom"/>
          </w:tcPr>
          <w:p>
            <w:pPr>
              <w:spacing w:after="0"/>
              <w:rPr>
                <w:sz w:val="1"/>
                <w:szCs w:val="1"/>
                <w:color w:val="auto"/>
              </w:rPr>
            </w:pPr>
          </w:p>
        </w:tc>
      </w:tr>
      <w:tr>
        <w:trPr>
          <w:trHeight w:val="294"/>
        </w:trPr>
        <w:tc>
          <w:tcPr>
            <w:tcW w:w="548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Fort Saskatchewan</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100 %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44,500</w:t>
            </w:r>
          </w:p>
        </w:tc>
        <w:tc>
          <w:tcPr>
            <w:tcW w:w="1440" w:type="dxa"/>
            <w:vAlign w:val="bottom"/>
            <w:gridSpan w:val="3"/>
          </w:tcPr>
          <w:p>
            <w:pPr>
              <w:jc w:val="right"/>
              <w:ind w:right="1"/>
              <w:spacing w:after="0"/>
              <w:rPr>
                <w:sz w:val="20"/>
                <w:szCs w:val="20"/>
                <w:color w:val="auto"/>
              </w:rPr>
            </w:pPr>
            <w:r>
              <w:rPr>
                <w:rFonts w:ascii="Arial" w:cs="Arial" w:eastAsia="Arial" w:hAnsi="Arial"/>
                <w:sz w:val="20"/>
                <w:szCs w:val="20"/>
                <w:color w:val="auto"/>
              </w:rPr>
              <w:t>35,500</w:t>
            </w:r>
          </w:p>
        </w:tc>
        <w:tc>
          <w:tcPr>
            <w:tcW w:w="0" w:type="dxa"/>
            <w:vAlign w:val="bottom"/>
          </w:tcPr>
          <w:p>
            <w:pPr>
              <w:spacing w:after="0"/>
              <w:rPr>
                <w:sz w:val="1"/>
                <w:szCs w:val="1"/>
                <w:color w:val="auto"/>
              </w:rPr>
            </w:pPr>
          </w:p>
        </w:tc>
      </w:tr>
      <w:tr>
        <w:trPr>
          <w:trHeight w:val="294"/>
        </w:trPr>
        <w:tc>
          <w:tcPr>
            <w:tcW w:w="548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Sarnia</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61-85%</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76,000</w:t>
            </w:r>
          </w:p>
        </w:tc>
        <w:tc>
          <w:tcPr>
            <w:tcW w:w="1440" w:type="dxa"/>
            <w:vAlign w:val="bottom"/>
            <w:gridSpan w:val="3"/>
          </w:tcPr>
          <w:p>
            <w:pPr>
              <w:jc w:val="right"/>
              <w:ind w:right="1"/>
              <w:spacing w:after="0"/>
              <w:rPr>
                <w:sz w:val="20"/>
                <w:szCs w:val="20"/>
                <w:color w:val="auto"/>
              </w:rPr>
            </w:pPr>
            <w:r>
              <w:rPr>
                <w:rFonts w:ascii="Arial" w:cs="Arial" w:eastAsia="Arial" w:hAnsi="Arial"/>
                <w:sz w:val="20"/>
                <w:szCs w:val="20"/>
                <w:color w:val="auto"/>
              </w:rPr>
              <w:t>64,100</w:t>
            </w:r>
          </w:p>
        </w:tc>
        <w:tc>
          <w:tcPr>
            <w:tcW w:w="0" w:type="dxa"/>
            <w:vAlign w:val="bottom"/>
          </w:tcPr>
          <w:p>
            <w:pPr>
              <w:spacing w:after="0"/>
              <w:rPr>
                <w:sz w:val="1"/>
                <w:szCs w:val="1"/>
                <w:color w:val="auto"/>
              </w:rPr>
            </w:pPr>
          </w:p>
        </w:tc>
      </w:tr>
      <w:tr>
        <w:trPr>
          <w:trHeight w:val="298"/>
        </w:trPr>
        <w:tc>
          <w:tcPr>
            <w:tcW w:w="548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Other</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82-100%</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25,500</w:t>
            </w:r>
          </w:p>
        </w:tc>
        <w:tc>
          <w:tcPr>
            <w:tcW w:w="80" w:type="dxa"/>
            <w:vAlign w:val="bottom"/>
            <w:gridSpan w:val="2"/>
          </w:tcPr>
          <w:p>
            <w:pPr>
              <w:spacing w:after="0"/>
              <w:rPr>
                <w:sz w:val="24"/>
                <w:szCs w:val="24"/>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7,000</w:t>
            </w:r>
          </w:p>
        </w:tc>
        <w:tc>
          <w:tcPr>
            <w:tcW w:w="0" w:type="dxa"/>
            <w:vAlign w:val="bottom"/>
          </w:tcPr>
          <w:p>
            <w:pPr>
              <w:spacing w:after="0"/>
              <w:rPr>
                <w:sz w:val="1"/>
                <w:szCs w:val="1"/>
                <w:color w:val="auto"/>
              </w:rPr>
            </w:pPr>
          </w:p>
        </w:tc>
      </w:tr>
      <w:tr>
        <w:trPr>
          <w:trHeight w:val="254"/>
        </w:trPr>
        <w:tc>
          <w:tcPr>
            <w:tcW w:w="5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172,000</w:t>
            </w:r>
          </w:p>
        </w:tc>
        <w:tc>
          <w:tcPr>
            <w:tcW w:w="1440" w:type="dxa"/>
            <w:vAlign w:val="bottom"/>
            <w:gridSpan w:val="3"/>
          </w:tcPr>
          <w:p>
            <w:pPr>
              <w:jc w:val="right"/>
              <w:ind w:right="1"/>
              <w:spacing w:after="0"/>
              <w:rPr>
                <w:sz w:val="20"/>
                <w:szCs w:val="20"/>
                <w:color w:val="auto"/>
              </w:rPr>
            </w:pPr>
            <w:r>
              <w:rPr>
                <w:rFonts w:ascii="Arial" w:cs="Arial" w:eastAsia="Arial" w:hAnsi="Arial"/>
                <w:sz w:val="20"/>
                <w:szCs w:val="20"/>
                <w:color w:val="auto"/>
              </w:rPr>
              <w:t>131,700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-1717040</wp:posOffset>
            </wp:positionV>
            <wp:extent cx="6363335" cy="202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363335" cy="2025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-964565</wp:posOffset>
            </wp:positionV>
            <wp:extent cx="6372860" cy="971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372860" cy="971550"/>
                    </a:xfrm>
                    <a:prstGeom prst="rect">
                      <a:avLst/>
                    </a:prstGeom>
                    <a:noFill/>
                  </pic:spPr>
                </pic:pic>
              </a:graphicData>
            </a:graphic>
          </wp:anchor>
        </w:drawing>
      </w:r>
    </w:p>
    <w:p>
      <w:pPr>
        <w:sectPr>
          <w:pgSz w:w="11880" w:h="15480" w:orient="portrait"/>
          <w:cols w:equalWidth="0" w:num="1">
            <w:col w:w="10020"/>
          </w:cols>
          <w:pgMar w:left="920" w:top="144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20"/>
          </w:cols>
          <w:pgMar w:left="920" w:top="1440" w:right="940" w:bottom="0" w:gutter="0" w:footer="0" w:header="0"/>
          <w:type w:val="continuous"/>
        </w:sectPr>
      </w:pPr>
    </w:p>
    <w:bookmarkStart w:id="18" w:name="page19"/>
    <w:bookmarkEnd w:id="18"/>
    <w:tbl>
      <w:tblPr>
        <w:tblLayout w:type="fixed"/>
        <w:tblInd w:w="4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3"/>
              </w:rPr>
              <w:t>Storage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5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NGL Storage Facilities</w:t>
            </w: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93"/>
              </w:rPr>
              <w:t>Ownership Interest</w:t>
            </w:r>
          </w:p>
        </w:tc>
        <w:tc>
          <w:tcPr>
            <w:tcW w:w="6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 xml:space="preserve">Capacity </w:t>
            </w:r>
            <w:r>
              <w:rPr>
                <w:rFonts w:ascii="Arial" w:cs="Arial" w:eastAsia="Arial" w:hAnsi="Arial"/>
                <w:sz w:val="18"/>
                <w:szCs w:val="18"/>
                <w:b w:val="1"/>
                <w:bCs w:val="1"/>
                <w:color w:val="auto"/>
                <w:w w:val="96"/>
                <w:vertAlign w:val="superscript"/>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(MMBbls)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Fort Saskatchewan</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20"/>
                <w:szCs w:val="20"/>
                <w:color w:val="auto"/>
              </w:rPr>
              <w:t>48-100%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50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Sarnia</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20"/>
                <w:szCs w:val="20"/>
                <w:color w:val="auto"/>
              </w:rPr>
              <w:t>70 %</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0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Empress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20"/>
                <w:szCs w:val="20"/>
                <w:color w:val="auto"/>
              </w:rPr>
              <w:t>100 %</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50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Other</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20"/>
                <w:szCs w:val="20"/>
                <w:color w:val="auto"/>
              </w:rPr>
              <w:t>50-100%</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3"/>
            <w:vMerge w:val="restart"/>
          </w:tcPr>
          <w:p>
            <w:pPr>
              <w:jc w:val="center"/>
              <w:ind w:right="140"/>
              <w:spacing w:after="0"/>
              <w:rPr>
                <w:sz w:val="20"/>
                <w:szCs w:val="20"/>
                <w:color w:val="auto"/>
              </w:rPr>
            </w:pPr>
            <w:r>
              <w:rPr>
                <w:rFonts w:ascii="Arial" w:cs="Arial" w:eastAsia="Arial" w:hAnsi="Arial"/>
                <w:sz w:val="17"/>
                <w:szCs w:val="17"/>
                <w:b w:val="1"/>
                <w:bCs w:val="1"/>
                <w:color w:val="auto"/>
                <w:w w:val="92"/>
              </w:rPr>
              <w:t>Approximate</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9"/>
              </w:rPr>
              <w:t>Average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4"/>
              </w:rPr>
              <w:t xml:space="preserve">Volumes </w:t>
            </w:r>
            <w:r>
              <w:rPr>
                <w:rFonts w:ascii="Arial" w:cs="Arial" w:eastAsia="Arial" w:hAnsi="Arial"/>
                <w:sz w:val="19"/>
                <w:szCs w:val="19"/>
                <w:b w:val="1"/>
                <w:bCs w:val="1"/>
                <w:color w:val="auto"/>
                <w:w w:val="94"/>
                <w:vertAlign w:val="superscript"/>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500" w:type="dxa"/>
            <w:vAlign w:val="bottom"/>
          </w:tcPr>
          <w:p>
            <w:pPr>
              <w:spacing w:after="0"/>
              <w:rPr>
                <w:sz w:val="19"/>
                <w:szCs w:val="19"/>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7"/>
              </w:rPr>
              <w:t>Ownership Interest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7"/>
                <w:szCs w:val="17"/>
                <w:b w:val="1"/>
                <w:bCs w:val="1"/>
                <w:color w:val="auto"/>
                <w:w w:val="86"/>
              </w:rPr>
              <w:t xml:space="preserve">System Miles </w:t>
            </w:r>
            <w:r>
              <w:rPr>
                <w:rFonts w:ascii="Arial" w:cs="Arial" w:eastAsia="Arial" w:hAnsi="Arial"/>
                <w:sz w:val="21"/>
                <w:szCs w:val="21"/>
                <w:b w:val="1"/>
                <w:bCs w:val="1"/>
                <w:color w:val="auto"/>
                <w:w w:val="86"/>
                <w:vertAlign w:val="superscript"/>
              </w:rPr>
              <w:t>(3)</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(MBbls/d)</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50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NGL Pipelines</w:t>
            </w:r>
          </w:p>
        </w:tc>
        <w:tc>
          <w:tcPr>
            <w:tcW w:w="1580" w:type="dxa"/>
            <w:vAlign w:val="bottom"/>
          </w:tcPr>
          <w:p>
            <w:pPr>
              <w:jc w:val="right"/>
              <w:spacing w:after="0"/>
              <w:rPr>
                <w:sz w:val="20"/>
                <w:szCs w:val="20"/>
                <w:color w:val="auto"/>
              </w:rPr>
            </w:pPr>
            <w:r>
              <w:rPr>
                <w:rFonts w:ascii="Arial" w:cs="Arial" w:eastAsia="Arial" w:hAnsi="Arial"/>
                <w:sz w:val="20"/>
                <w:szCs w:val="20"/>
                <w:color w:val="auto"/>
              </w:rPr>
              <w:t>50-100%</w:t>
            </w:r>
          </w:p>
        </w:tc>
        <w:tc>
          <w:tcPr>
            <w:tcW w:w="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1,775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5500" w:type="dxa"/>
            <w:vAlign w:val="bottom"/>
          </w:tcPr>
          <w:p>
            <w:pPr>
              <w:spacing w:after="0"/>
              <w:rPr>
                <w:sz w:val="24"/>
                <w:szCs w:val="24"/>
                <w:color w:val="auto"/>
              </w:rPr>
            </w:pPr>
          </w:p>
        </w:tc>
        <w:tc>
          <w:tcPr>
            <w:tcW w:w="158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7"/>
              </w:rPr>
              <w:t>Ownership Interest</w:t>
            </w:r>
          </w:p>
        </w:tc>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Number of</w:t>
            </w: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Rack Spots</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Storage Spots</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00" w:type="dxa"/>
            <w:vAlign w:val="bottom"/>
          </w:tcPr>
          <w:p>
            <w:pPr>
              <w:ind w:left="20"/>
              <w:spacing w:after="0"/>
              <w:rPr>
                <w:sz w:val="20"/>
                <w:szCs w:val="20"/>
                <w:color w:val="auto"/>
              </w:rPr>
            </w:pPr>
            <w:r>
              <w:rPr>
                <w:rFonts w:ascii="Arial" w:cs="Arial" w:eastAsia="Arial" w:hAnsi="Arial"/>
                <w:sz w:val="20"/>
                <w:szCs w:val="20"/>
                <w:b w:val="1"/>
                <w:bCs w:val="1"/>
                <w:i w:val="1"/>
                <w:iCs w:val="1"/>
                <w:color w:val="auto"/>
              </w:rPr>
              <w:t>NGL Rail Facilities</w:t>
            </w:r>
          </w:p>
        </w:tc>
        <w:tc>
          <w:tcPr>
            <w:tcW w:w="1580" w:type="dxa"/>
            <w:vAlign w:val="bottom"/>
          </w:tcPr>
          <w:p>
            <w:pPr>
              <w:jc w:val="right"/>
              <w:spacing w:after="0"/>
              <w:rPr>
                <w:sz w:val="20"/>
                <w:szCs w:val="20"/>
                <w:color w:val="auto"/>
              </w:rPr>
            </w:pPr>
            <w:r>
              <w:rPr>
                <w:rFonts w:ascii="Arial" w:cs="Arial" w:eastAsia="Arial" w:hAnsi="Arial"/>
                <w:sz w:val="20"/>
                <w:szCs w:val="20"/>
                <w:color w:val="auto"/>
              </w:rPr>
              <w:t>75-100%</w:t>
            </w:r>
          </w:p>
        </w:tc>
        <w:tc>
          <w:tcPr>
            <w:tcW w:w="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0"/>
                <w:szCs w:val="20"/>
                <w:color w:val="auto"/>
              </w:rPr>
              <w:t>264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1,543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-2339975</wp:posOffset>
            </wp:positionV>
            <wp:extent cx="6344920" cy="971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344920" cy="97155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-821690</wp:posOffset>
            </wp:positionV>
            <wp:extent cx="6391275" cy="202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391275" cy="20256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-180975</wp:posOffset>
            </wp:positionV>
            <wp:extent cx="6391275" cy="202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391275" cy="2025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266700</wp:posOffset>
                </wp:positionV>
                <wp:extent cx="205295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29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1pt" to="161.3pt,21pt" o:allowincell="f" strokecolor="#000000" strokeweight="1pt"/>
            </w:pict>
          </mc:Fallback>
        </mc:AlternateContent>
      </w:r>
    </w:p>
    <w:p>
      <w:pPr>
        <w:sectPr>
          <w:pgSz w:w="11880" w:h="15480" w:orient="portrait"/>
          <w:cols w:equalWidth="0" w:num="1">
            <w:col w:w="10040"/>
          </w:cols>
          <w:pgMar w:left="920" w:top="656" w:right="920" w:bottom="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Represents total capacity of the facilities, net to our ownership interest.</w:t>
      </w:r>
    </w:p>
    <w:p>
      <w:pPr>
        <w:spacing w:after="0" w:line="123"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Average daily volumes are calculated as the total volumes for the year, net to our interest, divided by the number of days in the year.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Includes total mileage of pipelines in which we own a less than 100% interest.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Processing and NGL Infrastructure</w:t>
      </w:r>
    </w:p>
    <w:p>
      <w:pPr>
        <w:spacing w:after="0" w:line="200" w:lineRule="exact"/>
        <w:rPr>
          <w:sz w:val="20"/>
          <w:szCs w:val="20"/>
          <w:color w:val="auto"/>
        </w:rPr>
      </w:pPr>
    </w:p>
    <w:p>
      <w:pPr>
        <w:sectPr>
          <w:pgSz w:w="11880" w:h="15480" w:orient="portrait"/>
          <w:cols w:equalWidth="0" w:num="2">
            <w:col w:w="140" w:space="560"/>
            <w:col w:w="9340"/>
          </w:cols>
          <w:pgMar w:left="920" w:top="656" w:right="920" w:bottom="0" w:gutter="0" w:footer="0" w:header="0"/>
          <w:type w:val="continuous"/>
        </w:sectPr>
      </w:pPr>
    </w:p>
    <w:p>
      <w:pPr>
        <w:spacing w:after="0" w:line="32" w:lineRule="exact"/>
        <w:rPr>
          <w:sz w:val="20"/>
          <w:szCs w:val="20"/>
          <w:color w:val="auto"/>
        </w:rPr>
      </w:pPr>
    </w:p>
    <w:p>
      <w:pPr>
        <w:ind w:firstLine="706"/>
        <w:spacing w:after="0" w:line="268" w:lineRule="auto"/>
        <w:rPr>
          <w:sz w:val="20"/>
          <w:szCs w:val="20"/>
          <w:color w:val="auto"/>
        </w:rPr>
      </w:pPr>
      <w:r>
        <w:rPr>
          <w:rFonts w:ascii="Arial" w:cs="Arial" w:eastAsia="Arial" w:hAnsi="Arial"/>
          <w:sz w:val="19"/>
          <w:szCs w:val="19"/>
          <w:color w:val="auto"/>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Empress Facility</w:t>
      </w:r>
    </w:p>
    <w:p>
      <w:pPr>
        <w:spacing w:after="0" w:line="248" w:lineRule="exact"/>
        <w:rPr>
          <w:sz w:val="20"/>
          <w:szCs w:val="20"/>
          <w:color w:val="auto"/>
        </w:rPr>
      </w:pPr>
    </w:p>
    <w:p>
      <w:pPr>
        <w:ind w:right="40" w:firstLine="706"/>
        <w:spacing w:after="0" w:line="303" w:lineRule="auto"/>
        <w:rPr>
          <w:sz w:val="20"/>
          <w:szCs w:val="20"/>
          <w:color w:val="auto"/>
        </w:rPr>
      </w:pPr>
      <w:r>
        <w:rPr>
          <w:rFonts w:ascii="Arial" w:cs="Arial" w:eastAsia="Arial" w:hAnsi="Arial"/>
          <w:sz w:val="17"/>
          <w:szCs w:val="17"/>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166" w:lineRule="exact"/>
        <w:rPr>
          <w:sz w:val="20"/>
          <w:szCs w:val="20"/>
          <w:color w:val="auto"/>
        </w:rPr>
      </w:pPr>
    </w:p>
    <w:p>
      <w:pPr>
        <w:ind w:right="100" w:firstLine="706"/>
        <w:spacing w:after="0" w:line="306" w:lineRule="auto"/>
        <w:rPr>
          <w:sz w:val="20"/>
          <w:szCs w:val="20"/>
          <w:color w:val="auto"/>
        </w:rPr>
      </w:pPr>
      <w:r>
        <w:rPr>
          <w:rFonts w:ascii="Arial" w:cs="Arial" w:eastAsia="Arial" w:hAnsi="Arial"/>
          <w:sz w:val="17"/>
          <w:szCs w:val="17"/>
          <w:color w:val="auto"/>
        </w:rPr>
        <w:t>Our Empress plants are capable of processing up to 5.7 Bcf of natural gas per day; however, supply available to these plants is typically in the 3.5 to 4.5 Bcf per day range. These plants produce approximately 65,000 to 100,000 barrels per day of ethane, and 40,000 to 60,000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Co-Ed Pipeline</w:t>
      </w:r>
    </w:p>
    <w:p>
      <w:pPr>
        <w:spacing w:after="0" w:line="248" w:lineRule="exact"/>
        <w:rPr>
          <w:sz w:val="20"/>
          <w:szCs w:val="20"/>
          <w:color w:val="auto"/>
        </w:rPr>
      </w:pPr>
    </w:p>
    <w:p>
      <w:pPr>
        <w:ind w:firstLine="706"/>
        <w:spacing w:after="0" w:line="278" w:lineRule="auto"/>
        <w:rPr>
          <w:sz w:val="20"/>
          <w:szCs w:val="20"/>
          <w:color w:val="auto"/>
        </w:rPr>
      </w:pPr>
      <w:r>
        <w:rPr>
          <w:rFonts w:ascii="Arial" w:cs="Arial" w:eastAsia="Arial" w:hAnsi="Arial"/>
          <w:sz w:val="19"/>
          <w:szCs w:val="19"/>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ectPr>
          <w:pgSz w:w="11880" w:h="15480" w:orient="portrait"/>
          <w:cols w:equalWidth="0" w:num="1">
            <w:col w:w="10040"/>
          </w:cols>
          <w:pgMar w:left="920" w:top="656"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656" w:right="920" w:bottom="0" w:gutter="0" w:footer="0" w:header="0"/>
          <w:type w:val="continuous"/>
        </w:sectPr>
      </w:pPr>
    </w:p>
    <w:bookmarkStart w:id="19" w:name="page20"/>
    <w:bookmarkEnd w:id="19"/>
    <w:p>
      <w:pPr>
        <w:ind w:left="707"/>
        <w:spacing w:after="0"/>
        <w:rPr>
          <w:sz w:val="20"/>
          <w:szCs w:val="20"/>
          <w:color w:val="auto"/>
        </w:rPr>
      </w:pPr>
      <w:r>
        <w:rPr>
          <w:rFonts w:ascii="Arial" w:cs="Arial" w:eastAsia="Arial" w:hAnsi="Arial"/>
          <w:sz w:val="20"/>
          <w:szCs w:val="20"/>
          <w:b w:val="1"/>
          <w:bCs w:val="1"/>
          <w:i w:val="1"/>
          <w:iCs w:val="1"/>
          <w:color w:val="auto"/>
        </w:rPr>
        <w:t>Fort Saskatchewan Complex</w:t>
      </w:r>
    </w:p>
    <w:p>
      <w:pPr>
        <w:spacing w:after="0" w:line="248" w:lineRule="exact"/>
        <w:rPr>
          <w:sz w:val="20"/>
          <w:szCs w:val="20"/>
          <w:color w:val="auto"/>
        </w:rPr>
      </w:pPr>
    </w:p>
    <w:p>
      <w:pPr>
        <w:ind w:left="7" w:right="200" w:firstLine="706"/>
        <w:spacing w:after="0" w:line="249" w:lineRule="auto"/>
        <w:rPr>
          <w:sz w:val="20"/>
          <w:szCs w:val="20"/>
          <w:color w:val="auto"/>
        </w:rPr>
      </w:pPr>
      <w:r>
        <w:rPr>
          <w:rFonts w:ascii="Arial" w:cs="Arial" w:eastAsia="Arial" w:hAnsi="Arial"/>
          <w:sz w:val="20"/>
          <w:szCs w:val="20"/>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44,500 barrels per day of propane, butane and condensate. The remaining throughput capacity is used to produce a propane and butane mix, which is transported via the Enbridge pipeline system to our Sarnia facility for further fractionation.</w:t>
      </w:r>
    </w:p>
    <w:p>
      <w:pPr>
        <w:spacing w:after="0" w:line="204" w:lineRule="exact"/>
        <w:rPr>
          <w:sz w:val="20"/>
          <w:szCs w:val="20"/>
          <w:color w:val="auto"/>
        </w:rPr>
      </w:pPr>
    </w:p>
    <w:p>
      <w:pPr>
        <w:ind w:left="707"/>
        <w:spacing w:after="0"/>
        <w:rPr>
          <w:sz w:val="20"/>
          <w:szCs w:val="20"/>
          <w:color w:val="auto"/>
        </w:rPr>
      </w:pPr>
      <w:r>
        <w:rPr>
          <w:rFonts w:ascii="Arial" w:cs="Arial" w:eastAsia="Arial" w:hAnsi="Arial"/>
          <w:sz w:val="20"/>
          <w:szCs w:val="20"/>
          <w:b w:val="1"/>
          <w:bCs w:val="1"/>
          <w:i w:val="1"/>
          <w:iCs w:val="1"/>
          <w:color w:val="auto"/>
        </w:rPr>
        <w:t>Sarnia Area</w:t>
      </w:r>
    </w:p>
    <w:p>
      <w:pPr>
        <w:spacing w:after="0" w:line="248" w:lineRule="exact"/>
        <w:rPr>
          <w:sz w:val="20"/>
          <w:szCs w:val="20"/>
          <w:color w:val="auto"/>
        </w:rPr>
      </w:pPr>
    </w:p>
    <w:p>
      <w:pPr>
        <w:ind w:left="707"/>
        <w:spacing w:after="0"/>
        <w:rPr>
          <w:sz w:val="20"/>
          <w:szCs w:val="20"/>
          <w:color w:val="auto"/>
        </w:rPr>
      </w:pPr>
      <w:r>
        <w:rPr>
          <w:rFonts w:ascii="Arial" w:cs="Arial" w:eastAsia="Arial" w:hAnsi="Arial"/>
          <w:sz w:val="17"/>
          <w:szCs w:val="17"/>
          <w:color w:val="auto"/>
        </w:rPr>
        <w:t>Our Sarnia Area assets in Southwestern Ontario consist of (i) our Sarnia facility, (ii) our Windsor storage terminal and</w:t>
      </w:r>
    </w:p>
    <w:p>
      <w:pPr>
        <w:spacing w:after="0" w:line="59" w:lineRule="exact"/>
        <w:rPr>
          <w:sz w:val="20"/>
          <w:szCs w:val="20"/>
          <w:color w:val="auto"/>
        </w:rPr>
      </w:pPr>
    </w:p>
    <w:p>
      <w:pPr>
        <w:ind w:left="7" w:right="40" w:hanging="7"/>
        <w:spacing w:after="0" w:line="296" w:lineRule="auto"/>
        <w:tabs>
          <w:tab w:leader="none" w:pos="3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Impact of Commodity Price Volatility and Dynamic Market Conditions on Our Business Model</w:t>
      </w:r>
    </w:p>
    <w:p>
      <w:pPr>
        <w:spacing w:after="0" w:line="248" w:lineRule="exact"/>
        <w:rPr>
          <w:sz w:val="20"/>
          <w:szCs w:val="20"/>
          <w:color w:val="auto"/>
        </w:rPr>
      </w:pPr>
    </w:p>
    <w:p>
      <w:pPr>
        <w:ind w:left="7" w:right="240" w:firstLine="706"/>
        <w:spacing w:after="0" w:line="306" w:lineRule="auto"/>
        <w:rPr>
          <w:sz w:val="20"/>
          <w:szCs w:val="20"/>
          <w:color w:val="auto"/>
        </w:rPr>
      </w:pPr>
      <w:r>
        <w:rPr>
          <w:rFonts w:ascii="Arial" w:cs="Arial" w:eastAsia="Arial" w:hAnsi="Arial"/>
          <w:sz w:val="17"/>
          <w:szCs w:val="17"/>
          <w:color w:val="auto"/>
        </w:rPr>
        <w:t>Crude oil, NGL and natural gas commodity prices have historically been very volatile. For example, in 2024, the prompt month NYMEX light, sweet futures contract (commonly referred to as “WTI”) price ranged from a low of approximately $66 per barrel to a high of approximately $87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165" w:lineRule="exact"/>
        <w:rPr>
          <w:sz w:val="20"/>
          <w:szCs w:val="20"/>
          <w:color w:val="auto"/>
        </w:rPr>
      </w:pPr>
    </w:p>
    <w:p>
      <w:pPr>
        <w:ind w:left="7" w:firstLine="706"/>
        <w:spacing w:after="0" w:line="262" w:lineRule="auto"/>
        <w:rPr>
          <w:sz w:val="20"/>
          <w:szCs w:val="20"/>
          <w:color w:val="auto"/>
        </w:rPr>
      </w:pPr>
      <w:r>
        <w:rPr>
          <w:rFonts w:ascii="Arial" w:cs="Arial" w:eastAsia="Arial" w:hAnsi="Arial"/>
          <w:sz w:val="19"/>
          <w:szCs w:val="19"/>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02" w:lineRule="exact"/>
        <w:rPr>
          <w:sz w:val="20"/>
          <w:szCs w:val="20"/>
          <w:color w:val="auto"/>
        </w:rPr>
      </w:pPr>
    </w:p>
    <w:p>
      <w:pPr>
        <w:ind w:left="7" w:right="20" w:firstLine="706"/>
        <w:spacing w:after="0" w:line="271" w:lineRule="auto"/>
        <w:rPr>
          <w:sz w:val="20"/>
          <w:szCs w:val="20"/>
          <w:color w:val="auto"/>
        </w:rPr>
      </w:pPr>
      <w:r>
        <w:rPr>
          <w:rFonts w:ascii="Arial" w:cs="Arial" w:eastAsia="Arial" w:hAnsi="Arial"/>
          <w:sz w:val="20"/>
          <w:szCs w:val="20"/>
          <w:color w:val="auto"/>
        </w:rPr>
        <w:t>In addition, relative contribution levels will vary from quarter-to-quarter due to seasonality, particularly with respect to our NGL merchant activities.</w:t>
      </w:r>
    </w:p>
    <w:p>
      <w:pPr>
        <w:sectPr>
          <w:pgSz w:w="11880" w:h="15480" w:orient="portrait"/>
          <w:cols w:equalWidth="0" w:num="1">
            <w:col w:w="10047"/>
          </w:cols>
          <w:pgMar w:left="913"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7"/>
          </w:cols>
          <w:pgMar w:left="913" w:top="575" w:right="920" w:bottom="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auto"/>
        </w:rPr>
        <w:t>Risk Management</w:t>
      </w:r>
    </w:p>
    <w:p>
      <w:pPr>
        <w:spacing w:after="0" w:line="248" w:lineRule="exact"/>
        <w:rPr>
          <w:sz w:val="20"/>
          <w:szCs w:val="20"/>
          <w:color w:val="auto"/>
        </w:rPr>
      </w:pPr>
    </w:p>
    <w:p>
      <w:pPr>
        <w:ind w:firstLine="706"/>
        <w:spacing w:after="0" w:line="293" w:lineRule="auto"/>
        <w:rPr>
          <w:sz w:val="20"/>
          <w:szCs w:val="20"/>
          <w:color w:val="auto"/>
        </w:rPr>
      </w:pPr>
      <w:r>
        <w:rPr>
          <w:rFonts w:ascii="Arial" w:cs="Arial" w:eastAsia="Arial" w:hAnsi="Arial"/>
          <w:sz w:val="17"/>
          <w:szCs w:val="17"/>
          <w:color w:val="auto"/>
        </w:rPr>
        <w:t>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177" w:lineRule="exact"/>
        <w:rPr>
          <w:sz w:val="20"/>
          <w:szCs w:val="20"/>
          <w:color w:val="auto"/>
        </w:rPr>
      </w:pPr>
    </w:p>
    <w:p>
      <w:pPr>
        <w:ind w:right="20" w:firstLine="706"/>
        <w:spacing w:after="0" w:line="299"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w:t>
      </w:r>
    </w:p>
    <w:p>
      <w:pPr>
        <w:spacing w:after="0" w:line="248" w:lineRule="exact"/>
        <w:rPr>
          <w:sz w:val="20"/>
          <w:szCs w:val="20"/>
          <w:color w:val="auto"/>
        </w:rPr>
      </w:pPr>
    </w:p>
    <w:p>
      <w:pPr>
        <w:ind w:firstLine="706"/>
        <w:spacing w:after="0" w:line="249" w:lineRule="auto"/>
        <w:rPr>
          <w:sz w:val="20"/>
          <w:szCs w:val="20"/>
          <w:color w:val="auto"/>
        </w:rPr>
      </w:pPr>
      <w:r>
        <w:rPr>
          <w:rFonts w:ascii="Arial" w:cs="Arial" w:eastAsia="Arial" w:hAnsi="Arial"/>
          <w:sz w:val="20"/>
          <w:szCs w:val="20"/>
          <w:color w:val="auto"/>
        </w:rPr>
        <w:t>Our merchant activities in our Crude Oil and NGL segments require significant extensions of credit by our suppliers.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202" w:lineRule="exact"/>
        <w:rPr>
          <w:sz w:val="20"/>
          <w:szCs w:val="20"/>
          <w:color w:val="auto"/>
        </w:rPr>
      </w:pPr>
    </w:p>
    <w:p>
      <w:pPr>
        <w:ind w:right="20" w:firstLine="706"/>
        <w:spacing w:after="0" w:line="251" w:lineRule="auto"/>
        <w:rPr>
          <w:sz w:val="20"/>
          <w:szCs w:val="20"/>
          <w:color w:val="auto"/>
        </w:rPr>
      </w:pPr>
      <w:r>
        <w:rPr>
          <w:rFonts w:ascii="Arial" w:cs="Arial" w:eastAsia="Arial" w:hAnsi="Arial"/>
          <w:sz w:val="20"/>
          <w:szCs w:val="20"/>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48" w:lineRule="exact"/>
        <w:rPr>
          <w:sz w:val="20"/>
          <w:szCs w:val="20"/>
          <w:color w:val="auto"/>
        </w:rPr>
      </w:pPr>
    </w:p>
    <w:p>
      <w:pPr>
        <w:ind w:right="80" w:firstLine="706"/>
        <w:spacing w:after="0" w:line="300" w:lineRule="auto"/>
        <w:rPr>
          <w:sz w:val="20"/>
          <w:szCs w:val="20"/>
          <w:color w:val="auto"/>
        </w:rPr>
      </w:pPr>
      <w:r>
        <w:rPr>
          <w:rFonts w:ascii="Arial" w:cs="Arial" w:eastAsia="Arial" w:hAnsi="Arial"/>
          <w:sz w:val="17"/>
          <w:szCs w:val="17"/>
          <w:color w:val="auto"/>
        </w:rPr>
        <w:t>ExxonMobil Corporation and its subsidiaries accounted for 30%, 26% and 20% of our revenues for the years ended December 31, 2024, 2023 and 2022, respectively. BP p.l.c. and its subsidiaries accounted for 10% of our revenues for the year ended December 31, 2023. No other customers accounted for 10% or more of our revenues during any of the three years ended December 31, 2024.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15 to our Consolidated Financial Statements.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575" w:right="92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Competition</w:t>
      </w:r>
    </w:p>
    <w:p>
      <w:pPr>
        <w:spacing w:after="0" w:line="248" w:lineRule="exact"/>
        <w:rPr>
          <w:sz w:val="20"/>
          <w:szCs w:val="20"/>
          <w:color w:val="auto"/>
        </w:rPr>
      </w:pPr>
    </w:p>
    <w:p>
      <w:pPr>
        <w:ind w:right="20" w:firstLine="706"/>
        <w:spacing w:after="0" w:line="295"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200" w:lineRule="exact"/>
        <w:rPr>
          <w:sz w:val="20"/>
          <w:szCs w:val="20"/>
          <w:color w:val="auto"/>
        </w:rPr>
      </w:pPr>
    </w:p>
    <w:p>
      <w:pPr>
        <w:spacing w:after="0" w:line="210" w:lineRule="exact"/>
        <w:rPr>
          <w:sz w:val="20"/>
          <w:szCs w:val="20"/>
          <w:color w:val="auto"/>
        </w:rPr>
      </w:pPr>
    </w:p>
    <w:p>
      <w:pPr>
        <w:ind w:firstLine="706"/>
        <w:spacing w:after="0" w:line="325" w:lineRule="auto"/>
        <w:rPr>
          <w:sz w:val="20"/>
          <w:szCs w:val="20"/>
          <w:color w:val="auto"/>
        </w:rPr>
      </w:pPr>
      <w:r>
        <w:rPr>
          <w:rFonts w:ascii="Arial" w:cs="Arial" w:eastAsia="Arial" w:hAnsi="Arial"/>
          <w:sz w:val="17"/>
          <w:szCs w:val="17"/>
          <w:color w:val="auto"/>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spacing w:after="0" w:line="147" w:lineRule="exact"/>
        <w:rPr>
          <w:sz w:val="20"/>
          <w:szCs w:val="20"/>
          <w:color w:val="auto"/>
        </w:rPr>
      </w:pPr>
    </w:p>
    <w:p>
      <w:pPr>
        <w:ind w:firstLine="706"/>
        <w:spacing w:after="0" w:line="264" w:lineRule="auto"/>
        <w:rPr>
          <w:sz w:val="20"/>
          <w:szCs w:val="20"/>
          <w:color w:val="auto"/>
        </w:rPr>
      </w:pPr>
      <w:r>
        <w:rPr>
          <w:rFonts w:ascii="Arial" w:cs="Arial" w:eastAsia="Arial" w:hAnsi="Arial"/>
          <w:sz w:val="19"/>
          <w:szCs w:val="19"/>
          <w:color w:val="auto"/>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Ongoing Activities Related to Strategic Transactions</w:t>
      </w:r>
    </w:p>
    <w:p>
      <w:pPr>
        <w:spacing w:after="0" w:line="248" w:lineRule="exact"/>
        <w:rPr>
          <w:sz w:val="20"/>
          <w:szCs w:val="20"/>
          <w:color w:val="auto"/>
        </w:rPr>
      </w:pPr>
    </w:p>
    <w:p>
      <w:pPr>
        <w:ind w:right="20" w:firstLine="706"/>
        <w:spacing w:after="0" w:line="264"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9" w:lineRule="exact"/>
        <w:rPr>
          <w:sz w:val="20"/>
          <w:szCs w:val="20"/>
          <w:color w:val="auto"/>
        </w:rPr>
      </w:pPr>
    </w:p>
    <w:p>
      <w:pPr>
        <w:ind w:firstLine="706"/>
        <w:spacing w:after="0" w:line="263"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r>
        <w:rPr>
          <w:rFonts w:ascii="Arial" w:cs="Arial" w:eastAsia="Arial" w:hAnsi="Arial"/>
          <w:sz w:val="19"/>
          <w:szCs w:val="19"/>
          <w:b w:val="1"/>
          <w:bCs w:val="1"/>
          <w:i w:val="1"/>
          <w:iCs w:val="1"/>
          <w:color w:val="auto"/>
        </w:rPr>
        <w:t>.</w:t>
      </w:r>
      <w:r>
        <w:rPr>
          <w:rFonts w:ascii="Arial" w:cs="Arial" w:eastAsia="Arial" w:hAnsi="Arial"/>
          <w:sz w:val="19"/>
          <w:szCs w:val="19"/>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Joint Venture and Joint Ownership Arrangements</w:t>
      </w:r>
    </w:p>
    <w:p>
      <w:pPr>
        <w:spacing w:after="0" w:line="248" w:lineRule="exact"/>
        <w:rPr>
          <w:sz w:val="20"/>
          <w:szCs w:val="20"/>
          <w:color w:val="auto"/>
        </w:rPr>
      </w:pPr>
    </w:p>
    <w:p>
      <w:pPr>
        <w:ind w:right="100" w:firstLine="706"/>
        <w:spacing w:after="0" w:line="325" w:lineRule="auto"/>
        <w:rPr>
          <w:sz w:val="20"/>
          <w:szCs w:val="20"/>
          <w:color w:val="auto"/>
        </w:rPr>
      </w:pPr>
      <w:r>
        <w:rPr>
          <w:rFonts w:ascii="Arial" w:cs="Arial" w:eastAsia="Arial" w:hAnsi="Arial"/>
          <w:sz w:val="17"/>
          <w:szCs w:val="17"/>
          <w:color w:val="auto"/>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20"/>
          </w:cols>
          <w:pgMar w:left="920" w:top="575" w:right="940" w:bottom="0" w:gutter="0" w:footer="0" w:header="0"/>
          <w:type w:val="continuous"/>
        </w:sectPr>
      </w:pPr>
    </w:p>
    <w:bookmarkStart w:id="22" w:name="page23"/>
    <w:bookmarkEnd w:id="22"/>
    <w:p>
      <w:pPr>
        <w:ind w:left="707"/>
        <w:spacing w:after="0"/>
        <w:rPr>
          <w:sz w:val="20"/>
          <w:szCs w:val="20"/>
          <w:color w:val="auto"/>
        </w:rPr>
      </w:pPr>
      <w:r>
        <w:rPr>
          <w:rFonts w:ascii="Arial" w:cs="Arial" w:eastAsia="Arial" w:hAnsi="Arial"/>
          <w:sz w:val="20"/>
          <w:szCs w:val="20"/>
          <w:color w:val="auto"/>
        </w:rPr>
        <w:t>The following table summarizes our significant joint ventures as of December 31, 2024:</w:t>
      </w:r>
    </w:p>
    <w:p>
      <w:pPr>
        <w:spacing w:after="0" w:line="314"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Joint Venture</w:t>
            </w:r>
          </w:p>
        </w:tc>
        <w:tc>
          <w:tcPr>
            <w:tcW w:w="0" w:type="dxa"/>
            <w:vAlign w:val="bottom"/>
          </w:tcPr>
          <w:p>
            <w:pPr>
              <w:spacing w:after="0"/>
              <w:rPr>
                <w:sz w:val="1"/>
                <w:szCs w:val="1"/>
                <w:color w:val="auto"/>
              </w:rPr>
            </w:pPr>
          </w:p>
        </w:tc>
      </w:tr>
      <w:tr>
        <w:trPr>
          <w:trHeight w:val="157"/>
        </w:trPr>
        <w:tc>
          <w:tcPr>
            <w:tcW w:w="5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Entity</w:t>
            </w:r>
          </w:p>
        </w:tc>
        <w:tc>
          <w:tcPr>
            <w:tcW w:w="60" w:type="dxa"/>
            <w:vAlign w:val="bottom"/>
          </w:tcPr>
          <w:p>
            <w:pPr>
              <w:spacing w:after="0"/>
              <w:rPr>
                <w:sz w:val="13"/>
                <w:szCs w:val="13"/>
                <w:color w:val="auto"/>
              </w:rPr>
            </w:pPr>
          </w:p>
        </w:tc>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Type of Operation</w:t>
            </w:r>
          </w:p>
        </w:tc>
        <w:tc>
          <w:tcPr>
            <w:tcW w:w="8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1"/>
              </w:rPr>
              <w:t>Ownership</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Percentage</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20"/>
                <w:szCs w:val="20"/>
                <w:color w:val="auto"/>
              </w:rPr>
              <w:t>BridgeTex Pipeline Company, LLC</w:t>
            </w:r>
          </w:p>
        </w:tc>
        <w:tc>
          <w:tcPr>
            <w:tcW w:w="60" w:type="dxa"/>
            <w:vAlign w:val="bottom"/>
          </w:tcPr>
          <w:p>
            <w:pPr>
              <w:spacing w:after="0"/>
              <w:rPr>
                <w:sz w:val="23"/>
                <w:szCs w:val="23"/>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20%</w:t>
            </w:r>
          </w:p>
        </w:tc>
        <w:tc>
          <w:tcPr>
            <w:tcW w:w="0" w:type="dxa"/>
            <w:vAlign w:val="bottom"/>
          </w:tcPr>
          <w:p>
            <w:pPr>
              <w:spacing w:after="0"/>
              <w:rPr>
                <w:sz w:val="1"/>
                <w:szCs w:val="1"/>
                <w:color w:val="auto"/>
              </w:rPr>
            </w:pPr>
          </w:p>
        </w:tc>
      </w:tr>
      <w:tr>
        <w:trPr>
          <w:trHeight w:val="333"/>
        </w:trPr>
        <w:tc>
          <w:tcPr>
            <w:tcW w:w="5040" w:type="dxa"/>
            <w:vAlign w:val="bottom"/>
          </w:tcPr>
          <w:p>
            <w:pPr>
              <w:ind w:left="40"/>
              <w:spacing w:after="0"/>
              <w:rPr>
                <w:sz w:val="20"/>
                <w:szCs w:val="20"/>
                <w:color w:val="auto"/>
              </w:rPr>
            </w:pPr>
            <w:r>
              <w:rPr>
                <w:rFonts w:ascii="Arial" w:cs="Arial" w:eastAsia="Arial" w:hAnsi="Arial"/>
                <w:sz w:val="20"/>
                <w:szCs w:val="20"/>
                <w:color w:val="auto"/>
              </w:rPr>
              <w:t xml:space="preserve">Cactus II Pipeline LLC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88"/>
              </w:rPr>
              <w:t xml:space="preserve">Crude Oil Pipeline </w:t>
            </w:r>
            <w:r>
              <w:rPr>
                <w:rFonts w:ascii="Arial" w:cs="Arial" w:eastAsia="Arial" w:hAnsi="Arial"/>
                <w:sz w:val="25"/>
                <w:szCs w:val="25"/>
                <w:color w:val="auto"/>
                <w:w w:val="88"/>
                <w:vertAlign w:val="superscript"/>
              </w:rPr>
              <w:t>(1)</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70%</w:t>
            </w:r>
          </w:p>
        </w:tc>
        <w:tc>
          <w:tcPr>
            <w:tcW w:w="0" w:type="dxa"/>
            <w:vAlign w:val="bottom"/>
          </w:tcPr>
          <w:p>
            <w:pPr>
              <w:spacing w:after="0"/>
              <w:rPr>
                <w:sz w:val="1"/>
                <w:szCs w:val="1"/>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20"/>
                <w:szCs w:val="20"/>
                <w:color w:val="auto"/>
              </w:rPr>
              <w:t>Capline Pipeline Company LLC</w:t>
            </w:r>
          </w:p>
        </w:tc>
        <w:tc>
          <w:tcPr>
            <w:tcW w:w="6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54%</w:t>
            </w:r>
          </w:p>
        </w:tc>
        <w:tc>
          <w:tcPr>
            <w:tcW w:w="0" w:type="dxa"/>
            <w:vAlign w:val="bottom"/>
          </w:tcPr>
          <w:p>
            <w:pPr>
              <w:spacing w:after="0"/>
              <w:rPr>
                <w:sz w:val="1"/>
                <w:szCs w:val="1"/>
                <w:color w:val="auto"/>
              </w:rPr>
            </w:pPr>
          </w:p>
        </w:tc>
      </w:tr>
      <w:tr>
        <w:trPr>
          <w:trHeight w:val="315"/>
        </w:trPr>
        <w:tc>
          <w:tcPr>
            <w:tcW w:w="5040" w:type="dxa"/>
            <w:vAlign w:val="bottom"/>
          </w:tcPr>
          <w:p>
            <w:pPr>
              <w:ind w:left="40"/>
              <w:spacing w:after="0"/>
              <w:rPr>
                <w:sz w:val="20"/>
                <w:szCs w:val="20"/>
                <w:color w:val="auto"/>
              </w:rPr>
            </w:pPr>
            <w:r>
              <w:rPr>
                <w:rFonts w:ascii="Arial" w:cs="Arial" w:eastAsia="Arial" w:hAnsi="Arial"/>
                <w:sz w:val="20"/>
                <w:szCs w:val="20"/>
                <w:color w:val="auto"/>
              </w:rPr>
              <w:t>Diamond Pipeline LLC</w:t>
            </w:r>
          </w:p>
        </w:tc>
        <w:tc>
          <w:tcPr>
            <w:tcW w:w="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88"/>
              </w:rPr>
              <w:t xml:space="preserve">Crude Oil Pipeline </w:t>
            </w:r>
            <w:r>
              <w:rPr>
                <w:rFonts w:ascii="Arial" w:cs="Arial" w:eastAsia="Arial" w:hAnsi="Arial"/>
                <w:sz w:val="25"/>
                <w:szCs w:val="25"/>
                <w:color w:val="auto"/>
                <w:w w:val="88"/>
                <w:vertAlign w:val="superscript"/>
              </w:rPr>
              <w:t>(1)</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94"/>
        </w:trPr>
        <w:tc>
          <w:tcPr>
            <w:tcW w:w="5040" w:type="dxa"/>
            <w:vAlign w:val="bottom"/>
          </w:tcPr>
          <w:p>
            <w:pPr>
              <w:ind w:left="40"/>
              <w:spacing w:after="0"/>
              <w:rPr>
                <w:sz w:val="20"/>
                <w:szCs w:val="20"/>
                <w:color w:val="auto"/>
              </w:rPr>
            </w:pPr>
            <w:r>
              <w:rPr>
                <w:rFonts w:ascii="Arial" w:cs="Arial" w:eastAsia="Arial" w:hAnsi="Arial"/>
                <w:sz w:val="20"/>
                <w:szCs w:val="20"/>
                <w:color w:val="auto"/>
              </w:rPr>
              <w:t>Eagle Ford Pipeline LLC</w:t>
            </w:r>
          </w:p>
        </w:tc>
        <w:tc>
          <w:tcPr>
            <w:tcW w:w="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88"/>
              </w:rPr>
              <w:t xml:space="preserve">Crude Oil Pipeline </w:t>
            </w:r>
            <w:r>
              <w:rPr>
                <w:rFonts w:ascii="Arial" w:cs="Arial" w:eastAsia="Arial" w:hAnsi="Arial"/>
                <w:sz w:val="25"/>
                <w:szCs w:val="25"/>
                <w:color w:val="auto"/>
                <w:w w:val="88"/>
                <w:vertAlign w:val="superscript"/>
              </w:rPr>
              <w:t>(1)</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94"/>
        </w:trPr>
        <w:tc>
          <w:tcPr>
            <w:tcW w:w="5040" w:type="dxa"/>
            <w:vAlign w:val="bottom"/>
          </w:tcPr>
          <w:p>
            <w:pPr>
              <w:ind w:left="40"/>
              <w:spacing w:after="0"/>
              <w:rPr>
                <w:sz w:val="20"/>
                <w:szCs w:val="20"/>
                <w:color w:val="auto"/>
              </w:rPr>
            </w:pPr>
            <w:r>
              <w:rPr>
                <w:rFonts w:ascii="Arial" w:cs="Arial" w:eastAsia="Arial" w:hAnsi="Arial"/>
                <w:sz w:val="20"/>
                <w:szCs w:val="20"/>
                <w:color w:val="auto"/>
              </w:rPr>
              <w:t>Eagle Ford Terminals Corpus Christi LLC</w:t>
            </w:r>
          </w:p>
        </w:tc>
        <w:tc>
          <w:tcPr>
            <w:tcW w:w="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89"/>
              </w:rPr>
              <w:t xml:space="preserve">Crude Oil Terminal and Dock </w:t>
            </w:r>
            <w:r>
              <w:rPr>
                <w:rFonts w:ascii="Arial" w:cs="Arial" w:eastAsia="Arial" w:hAnsi="Arial"/>
                <w:sz w:val="25"/>
                <w:szCs w:val="25"/>
                <w:color w:val="auto"/>
                <w:w w:val="89"/>
                <w:vertAlign w:val="superscript"/>
              </w:rPr>
              <w:t>(1)</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94"/>
        </w:trPr>
        <w:tc>
          <w:tcPr>
            <w:tcW w:w="5040" w:type="dxa"/>
            <w:vAlign w:val="bottom"/>
          </w:tcPr>
          <w:p>
            <w:pPr>
              <w:ind w:left="40"/>
              <w:spacing w:after="0"/>
              <w:rPr>
                <w:sz w:val="20"/>
                <w:szCs w:val="20"/>
                <w:color w:val="auto"/>
              </w:rPr>
            </w:pPr>
            <w:r>
              <w:rPr>
                <w:rFonts w:ascii="Arial" w:cs="Arial" w:eastAsia="Arial" w:hAnsi="Arial"/>
                <w:sz w:val="20"/>
                <w:szCs w:val="20"/>
                <w:color w:val="auto"/>
              </w:rPr>
              <w:t xml:space="preserve">Plains Oryx Permian Basin LLC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87"/>
              </w:rPr>
              <w:t xml:space="preserve">Crude Oil Pipelines and Related Assets </w:t>
            </w:r>
            <w:r>
              <w:rPr>
                <w:rFonts w:ascii="Arial" w:cs="Arial" w:eastAsia="Arial" w:hAnsi="Arial"/>
                <w:sz w:val="25"/>
                <w:szCs w:val="25"/>
                <w:color w:val="auto"/>
                <w:w w:val="87"/>
                <w:vertAlign w:val="superscript"/>
              </w:rPr>
              <w:t>(1)</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65%</w:t>
            </w:r>
          </w:p>
        </w:tc>
        <w:tc>
          <w:tcPr>
            <w:tcW w:w="0" w:type="dxa"/>
            <w:vAlign w:val="bottom"/>
          </w:tcPr>
          <w:p>
            <w:pPr>
              <w:spacing w:after="0"/>
              <w:rPr>
                <w:sz w:val="1"/>
                <w:szCs w:val="1"/>
                <w:color w:val="auto"/>
              </w:rPr>
            </w:pPr>
          </w:p>
        </w:tc>
      </w:tr>
      <w:tr>
        <w:trPr>
          <w:trHeight w:val="294"/>
        </w:trPr>
        <w:tc>
          <w:tcPr>
            <w:tcW w:w="5040" w:type="dxa"/>
            <w:vAlign w:val="bottom"/>
          </w:tcPr>
          <w:p>
            <w:pPr>
              <w:ind w:left="40"/>
              <w:spacing w:after="0"/>
              <w:rPr>
                <w:sz w:val="20"/>
                <w:szCs w:val="20"/>
                <w:color w:val="auto"/>
              </w:rPr>
            </w:pPr>
            <w:r>
              <w:rPr>
                <w:rFonts w:ascii="Arial" w:cs="Arial" w:eastAsia="Arial" w:hAnsi="Arial"/>
                <w:sz w:val="20"/>
                <w:szCs w:val="20"/>
                <w:color w:val="auto"/>
              </w:rPr>
              <w:t xml:space="preserve">Red River Pipeline Company LLC </w:t>
            </w:r>
            <w:r>
              <w:rPr>
                <w:rFonts w:ascii="Arial" w:cs="Arial" w:eastAsia="Arial" w:hAnsi="Arial"/>
                <w:sz w:val="25"/>
                <w:szCs w:val="25"/>
                <w:color w:val="auto"/>
                <w:vertAlign w:val="superscript"/>
              </w:rPr>
              <w:t>(2) (3)</w:t>
            </w:r>
          </w:p>
        </w:tc>
        <w:tc>
          <w:tcPr>
            <w:tcW w:w="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88"/>
              </w:rPr>
              <w:t xml:space="preserve">Crude Oil Pipeline </w:t>
            </w:r>
            <w:r>
              <w:rPr>
                <w:rFonts w:ascii="Arial" w:cs="Arial" w:eastAsia="Arial" w:hAnsi="Arial"/>
                <w:sz w:val="25"/>
                <w:szCs w:val="25"/>
                <w:color w:val="auto"/>
                <w:w w:val="88"/>
                <w:vertAlign w:val="superscript"/>
              </w:rPr>
              <w:t>(1)</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67%</w:t>
            </w:r>
          </w:p>
        </w:tc>
        <w:tc>
          <w:tcPr>
            <w:tcW w:w="0" w:type="dxa"/>
            <w:vAlign w:val="bottom"/>
          </w:tcPr>
          <w:p>
            <w:pPr>
              <w:spacing w:after="0"/>
              <w:rPr>
                <w:sz w:val="1"/>
                <w:szCs w:val="1"/>
                <w:color w:val="auto"/>
              </w:rPr>
            </w:pPr>
          </w:p>
        </w:tc>
      </w:tr>
      <w:tr>
        <w:trPr>
          <w:trHeight w:val="312"/>
        </w:trPr>
        <w:tc>
          <w:tcPr>
            <w:tcW w:w="5040" w:type="dxa"/>
            <w:vAlign w:val="bottom"/>
          </w:tcPr>
          <w:p>
            <w:pPr>
              <w:ind w:left="40"/>
              <w:spacing w:after="0"/>
              <w:rPr>
                <w:sz w:val="20"/>
                <w:szCs w:val="20"/>
                <w:color w:val="auto"/>
              </w:rPr>
            </w:pPr>
            <w:r>
              <w:rPr>
                <w:rFonts w:ascii="Arial" w:cs="Arial" w:eastAsia="Arial" w:hAnsi="Arial"/>
                <w:sz w:val="20"/>
                <w:szCs w:val="20"/>
                <w:color w:val="auto"/>
              </w:rPr>
              <w:t xml:space="preserve">Saddlehorn Pipeline Company, LLC </w:t>
            </w:r>
            <w:r>
              <w:rPr>
                <w:rFonts w:ascii="Arial" w:cs="Arial" w:eastAsia="Arial" w:hAnsi="Arial"/>
                <w:sz w:val="25"/>
                <w:szCs w:val="25"/>
                <w:color w:val="auto"/>
                <w:vertAlign w:val="superscript"/>
              </w:rPr>
              <w:t>(3)</w:t>
            </w:r>
          </w:p>
        </w:tc>
        <w:tc>
          <w:tcPr>
            <w:tcW w:w="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40%</w:t>
            </w:r>
          </w:p>
        </w:tc>
        <w:tc>
          <w:tcPr>
            <w:tcW w:w="0" w:type="dxa"/>
            <w:vAlign w:val="bottom"/>
          </w:tcPr>
          <w:p>
            <w:pPr>
              <w:spacing w:after="0"/>
              <w:rPr>
                <w:sz w:val="1"/>
                <w:szCs w:val="1"/>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20"/>
                <w:szCs w:val="20"/>
                <w:color w:val="auto"/>
              </w:rPr>
              <w:t>White Cliffs Pipeline, L.L.C.</w:t>
            </w:r>
          </w:p>
        </w:tc>
        <w:tc>
          <w:tcPr>
            <w:tcW w:w="6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36%</w:t>
            </w:r>
          </w:p>
        </w:tc>
        <w:tc>
          <w:tcPr>
            <w:tcW w:w="0" w:type="dxa"/>
            <w:vAlign w:val="bottom"/>
          </w:tcPr>
          <w:p>
            <w:pPr>
              <w:spacing w:after="0"/>
              <w:rPr>
                <w:sz w:val="1"/>
                <w:szCs w:val="1"/>
                <w:color w:val="auto"/>
              </w:rPr>
            </w:pPr>
          </w:p>
        </w:tc>
      </w:tr>
      <w:tr>
        <w:trPr>
          <w:trHeight w:val="357"/>
        </w:trPr>
        <w:tc>
          <w:tcPr>
            <w:tcW w:w="5040" w:type="dxa"/>
            <w:vAlign w:val="bottom"/>
          </w:tcPr>
          <w:p>
            <w:pPr>
              <w:ind w:left="40"/>
              <w:spacing w:after="0"/>
              <w:rPr>
                <w:sz w:val="20"/>
                <w:szCs w:val="20"/>
                <w:color w:val="auto"/>
              </w:rPr>
            </w:pPr>
            <w:r>
              <w:rPr>
                <w:rFonts w:ascii="Arial" w:cs="Arial" w:eastAsia="Arial" w:hAnsi="Arial"/>
                <w:sz w:val="20"/>
                <w:szCs w:val="20"/>
                <w:color w:val="auto"/>
              </w:rPr>
              <w:t xml:space="preserve">Wink to Webster Pipeline LLC </w:t>
            </w:r>
            <w:r>
              <w:rPr>
                <w:rFonts w:ascii="Arial" w:cs="Arial" w:eastAsia="Arial" w:hAnsi="Arial"/>
                <w:sz w:val="25"/>
                <w:szCs w:val="25"/>
                <w:color w:val="auto"/>
                <w:vertAlign w:val="superscript"/>
              </w:rPr>
              <w:t>(3)</w:t>
            </w:r>
          </w:p>
        </w:tc>
        <w:tc>
          <w:tcPr>
            <w:tcW w:w="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-2096770</wp:posOffset>
            </wp:positionV>
            <wp:extent cx="6410325" cy="2181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6410325" cy="2181860"/>
                    </a:xfrm>
                    <a:prstGeom prst="rect">
                      <a:avLst/>
                    </a:prstGeom>
                    <a:noFill/>
                  </pic:spPr>
                </pic:pic>
              </a:graphicData>
            </a:graphic>
          </wp:anchor>
        </w:drawing>
      </w:r>
    </w:p>
    <w:p>
      <w:pPr>
        <w:sectPr>
          <w:pgSz w:w="11880" w:h="15480" w:orient="portrait"/>
          <w:cols w:equalWidth="0" w:num="1">
            <w:col w:w="10047"/>
          </w:cols>
          <w:pgMar w:left="913" w:top="582" w:right="920" w:bottom="0" w:gutter="0" w:footer="0" w:header="0"/>
        </w:sectPr>
      </w:pPr>
    </w:p>
    <w:p>
      <w:pPr>
        <w:spacing w:after="0" w:line="259" w:lineRule="exact"/>
        <w:rPr>
          <w:sz w:val="20"/>
          <w:szCs w:val="20"/>
          <w:color w:val="auto"/>
        </w:rPr>
      </w:pPr>
    </w:p>
    <w:p>
      <w:pPr>
        <w:ind w:left="7"/>
        <w:spacing w:after="0"/>
        <w:rPr>
          <w:sz w:val="20"/>
          <w:szCs w:val="20"/>
          <w:color w:val="auto"/>
        </w:rPr>
      </w:pPr>
      <w:r>
        <w:rPr>
          <w:rFonts w:ascii="Arial" w:cs="Arial" w:eastAsia="Arial" w:hAnsi="Arial"/>
          <w:sz w:val="11"/>
          <w:szCs w:val="11"/>
          <w:color w:val="auto"/>
        </w:rPr>
        <w:t>(1)</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(2)</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Assets are operated by Plains.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consolidate the entity based on control, with our partner’s interest accounted for as a noncontrolling interest.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Entity owns a UJI in the crude oil pipeline.</w:t>
      </w:r>
    </w:p>
    <w:p>
      <w:pPr>
        <w:spacing w:after="0" w:line="200" w:lineRule="exact"/>
        <w:rPr>
          <w:sz w:val="20"/>
          <w:szCs w:val="20"/>
          <w:color w:val="auto"/>
        </w:rPr>
      </w:pPr>
    </w:p>
    <w:p>
      <w:pPr>
        <w:sectPr>
          <w:pgSz w:w="11880" w:h="15480" w:orient="portrait"/>
          <w:cols w:equalWidth="0" w:num="2">
            <w:col w:w="147" w:space="560"/>
            <w:col w:w="9340"/>
          </w:cols>
          <w:pgMar w:left="913" w:top="582" w:right="920" w:bottom="0" w:gutter="0" w:footer="0" w:header="0"/>
          <w:type w:val="continuous"/>
        </w:sectPr>
      </w:pPr>
    </w:p>
    <w:p>
      <w:pPr>
        <w:spacing w:after="0" w:line="40" w:lineRule="exact"/>
        <w:rPr>
          <w:sz w:val="20"/>
          <w:szCs w:val="20"/>
          <w:color w:val="auto"/>
        </w:rPr>
      </w:pPr>
    </w:p>
    <w:p>
      <w:pPr>
        <w:ind w:left="7" w:right="500" w:firstLine="706"/>
        <w:spacing w:after="0" w:line="298" w:lineRule="auto"/>
        <w:rPr>
          <w:sz w:val="20"/>
          <w:szCs w:val="20"/>
          <w:color w:val="auto"/>
        </w:rPr>
      </w:pPr>
      <w:r>
        <w:rPr>
          <w:rFonts w:ascii="Arial" w:cs="Arial" w:eastAsia="Arial" w:hAnsi="Arial"/>
          <w:sz w:val="19"/>
          <w:szCs w:val="19"/>
          <w:color w:val="auto"/>
        </w:rPr>
        <w:t>The following table summarizes our significant UJIs as of December 31, 2024, excluding UJIs that are indirectly owned by us through joint ventures (e.g., Wink to Webster, Saddlehorn and Red River joint ventures):</w:t>
      </w:r>
    </w:p>
    <w:p>
      <w:pPr>
        <w:sectPr>
          <w:pgSz w:w="11880" w:h="15480" w:orient="portrait"/>
          <w:cols w:equalWidth="0" w:num="1">
            <w:col w:w="10047"/>
          </w:cols>
          <w:pgMar w:left="913" w:top="582" w:right="920" w:bottom="0" w:gutter="0" w:footer="0" w:header="0"/>
          <w:type w:val="continuous"/>
        </w:sectPr>
      </w:pPr>
    </w:p>
    <w:p>
      <w:pPr>
        <w:spacing w:after="0" w:line="339" w:lineRule="exact"/>
        <w:rPr>
          <w:sz w:val="20"/>
          <w:szCs w:val="20"/>
          <w:color w:val="auto"/>
        </w:rPr>
      </w:pPr>
    </w:p>
    <w:p>
      <w:pPr>
        <w:ind w:left="47"/>
        <w:spacing w:after="0"/>
        <w:rPr>
          <w:sz w:val="20"/>
          <w:szCs w:val="20"/>
          <w:color w:val="auto"/>
        </w:rPr>
      </w:pPr>
      <w:r>
        <w:rPr>
          <w:rFonts w:ascii="Arial" w:cs="Arial" w:eastAsia="Arial" w:hAnsi="Arial"/>
          <w:sz w:val="16"/>
          <w:szCs w:val="16"/>
          <w:b w:val="1"/>
          <w:bCs w:val="1"/>
          <w:color w:val="auto"/>
        </w:rPr>
        <w:t>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410325" cy="958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410325" cy="958850"/>
                    </a:xfrm>
                    <a:prstGeom prst="rect">
                      <a:avLst/>
                    </a:prstGeom>
                    <a:noFill/>
                  </pic:spPr>
                </pic:pic>
              </a:graphicData>
            </a:graphic>
          </wp:anchor>
        </w:drawing>
      </w:r>
    </w:p>
    <w:p>
      <w:pPr>
        <w:spacing w:after="0" w:line="26" w:lineRule="exact"/>
        <w:rPr>
          <w:sz w:val="20"/>
          <w:szCs w:val="20"/>
          <w:color w:val="auto"/>
        </w:rPr>
      </w:pPr>
    </w:p>
    <w:p>
      <w:pPr>
        <w:ind w:left="47"/>
        <w:spacing w:after="0"/>
        <w:rPr>
          <w:sz w:val="20"/>
          <w:szCs w:val="20"/>
          <w:color w:val="auto"/>
        </w:rPr>
      </w:pPr>
      <w:r>
        <w:rPr>
          <w:rFonts w:ascii="Arial" w:cs="Arial" w:eastAsia="Arial" w:hAnsi="Arial"/>
          <w:sz w:val="20"/>
          <w:szCs w:val="20"/>
          <w:color w:val="auto"/>
        </w:rPr>
        <w:t xml:space="preserve">Basin Pipeline </w:t>
      </w:r>
      <w:r>
        <w:rPr>
          <w:rFonts w:ascii="Arial" w:cs="Arial" w:eastAsia="Arial" w:hAnsi="Arial"/>
          <w:sz w:val="25"/>
          <w:szCs w:val="25"/>
          <w:color w:val="auto"/>
          <w:vertAlign w:val="superscript"/>
        </w:rPr>
        <w:t>(1)</w:t>
      </w:r>
    </w:p>
    <w:p>
      <w:pPr>
        <w:spacing w:after="0" w:line="7" w:lineRule="exact"/>
        <w:rPr>
          <w:sz w:val="20"/>
          <w:szCs w:val="20"/>
          <w:color w:val="auto"/>
        </w:rPr>
      </w:pPr>
    </w:p>
    <w:p>
      <w:pPr>
        <w:ind w:left="47"/>
        <w:spacing w:after="0"/>
        <w:rPr>
          <w:sz w:val="20"/>
          <w:szCs w:val="20"/>
          <w:color w:val="auto"/>
        </w:rPr>
      </w:pPr>
      <w:r>
        <w:rPr>
          <w:rFonts w:ascii="Arial" w:cs="Arial" w:eastAsia="Arial" w:hAnsi="Arial"/>
          <w:sz w:val="20"/>
          <w:szCs w:val="20"/>
          <w:color w:val="auto"/>
        </w:rPr>
        <w:t xml:space="preserve">Fort Saskatchewan NGL Storage </w:t>
      </w:r>
      <w:r>
        <w:rPr>
          <w:rFonts w:ascii="Arial" w:cs="Arial" w:eastAsia="Arial" w:hAnsi="Arial"/>
          <w:sz w:val="25"/>
          <w:szCs w:val="25"/>
          <w:color w:val="auto"/>
          <w:vertAlign w:val="superscript"/>
        </w:rPr>
        <w:t>(2)</w:t>
      </w:r>
    </w:p>
    <w:p>
      <w:pPr>
        <w:spacing w:after="0" w:line="7" w:lineRule="exact"/>
        <w:rPr>
          <w:sz w:val="20"/>
          <w:szCs w:val="20"/>
          <w:color w:val="auto"/>
        </w:rPr>
      </w:pPr>
    </w:p>
    <w:p>
      <w:pPr>
        <w:ind w:left="47"/>
        <w:spacing w:after="0"/>
        <w:rPr>
          <w:sz w:val="20"/>
          <w:szCs w:val="20"/>
          <w:color w:val="auto"/>
        </w:rPr>
      </w:pPr>
      <w:r>
        <w:rPr>
          <w:rFonts w:ascii="Arial" w:cs="Arial" w:eastAsia="Arial" w:hAnsi="Arial"/>
          <w:sz w:val="20"/>
          <w:szCs w:val="20"/>
          <w:color w:val="auto"/>
        </w:rPr>
        <w:t xml:space="preserve">Kerrobert Storage and Pipeline Assets </w:t>
      </w:r>
      <w:r>
        <w:rPr>
          <w:rFonts w:ascii="Arial" w:cs="Arial" w:eastAsia="Arial" w:hAnsi="Arial"/>
          <w:sz w:val="25"/>
          <w:szCs w:val="25"/>
          <w:color w:val="auto"/>
          <w:vertAlign w:val="superscript"/>
        </w:rPr>
        <w:t>(1)</w:t>
      </w:r>
    </w:p>
    <w:p>
      <w:pPr>
        <w:spacing w:after="0" w:line="7" w:lineRule="exact"/>
        <w:rPr>
          <w:sz w:val="20"/>
          <w:szCs w:val="20"/>
          <w:color w:val="auto"/>
        </w:rPr>
      </w:pPr>
    </w:p>
    <w:p>
      <w:pPr>
        <w:ind w:left="47"/>
        <w:spacing w:after="0"/>
        <w:rPr>
          <w:sz w:val="20"/>
          <w:szCs w:val="20"/>
          <w:color w:val="auto"/>
        </w:rPr>
      </w:pPr>
      <w:r>
        <w:rPr>
          <w:rFonts w:ascii="Arial" w:cs="Arial" w:eastAsia="Arial" w:hAnsi="Arial"/>
          <w:sz w:val="20"/>
          <w:szCs w:val="20"/>
          <w:color w:val="auto"/>
        </w:rPr>
        <w:t xml:space="preserve">Sarnia NGL Storage and Fractionation </w:t>
      </w:r>
      <w:r>
        <w:rPr>
          <w:rFonts w:ascii="Arial" w:cs="Arial" w:eastAsia="Arial" w:hAnsi="Arial"/>
          <w:sz w:val="25"/>
          <w:szCs w:val="25"/>
          <w:color w:val="auto"/>
          <w:vertAlign w:val="superscript"/>
        </w:rPr>
        <w:t>(2)</w:t>
      </w:r>
    </w:p>
    <w:p>
      <w:pPr>
        <w:spacing w:after="0" w:line="7" w:lineRule="exact"/>
        <w:rPr>
          <w:sz w:val="20"/>
          <w:szCs w:val="20"/>
          <w:color w:val="auto"/>
        </w:rPr>
      </w:pPr>
    </w:p>
    <w:p>
      <w:pPr>
        <w:ind w:left="47"/>
        <w:spacing w:after="0"/>
        <w:rPr>
          <w:sz w:val="20"/>
          <w:szCs w:val="20"/>
          <w:color w:val="auto"/>
        </w:rPr>
      </w:pPr>
      <w:r>
        <w:rPr>
          <w:rFonts w:ascii="Arial" w:cs="Arial" w:eastAsia="Arial" w:hAnsi="Arial"/>
          <w:sz w:val="20"/>
          <w:szCs w:val="20"/>
          <w:color w:val="auto"/>
        </w:rPr>
        <w:t xml:space="preserve">Sunrise II Pipeline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107315</wp:posOffset>
                </wp:positionV>
                <wp:extent cx="220281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8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5pt" to="173.45pt,8.45pt" o:allowincell="f" strokecolor="#000000" strokeweight="1pt"/>
            </w:pict>
          </mc:Fallback>
        </mc:AlternateContent>
      </w:r>
    </w:p>
    <w:p>
      <w:pPr>
        <w:spacing w:after="0" w:line="272" w:lineRule="exact"/>
        <w:rPr>
          <w:sz w:val="20"/>
          <w:szCs w:val="20"/>
          <w:color w:val="auto"/>
        </w:rPr>
      </w:pPr>
    </w:p>
    <w:p>
      <w:pPr>
        <w:ind w:left="707" w:hanging="707"/>
        <w:spacing w:after="0"/>
        <w:tabs>
          <w:tab w:leader="none" w:pos="707" w:val="left"/>
        </w:tabs>
        <w:numPr>
          <w:ilvl w:val="0"/>
          <w:numId w:val="19"/>
        </w:numPr>
        <w:rPr>
          <w:rFonts w:ascii="Arial" w:cs="Arial" w:eastAsia="Arial" w:hAnsi="Arial"/>
          <w:sz w:val="25"/>
          <w:szCs w:val="25"/>
          <w:color w:val="auto"/>
          <w:vertAlign w:val="superscript"/>
        </w:rPr>
      </w:pPr>
      <w:r>
        <w:rPr>
          <w:rFonts w:ascii="Arial" w:cs="Arial" w:eastAsia="Arial" w:hAnsi="Arial"/>
          <w:sz w:val="20"/>
          <w:szCs w:val="20"/>
          <w:color w:val="auto"/>
        </w:rPr>
        <w:t>Asset is operated by Plains.</w:t>
      </w:r>
    </w:p>
    <w:p>
      <w:pPr>
        <w:spacing w:after="0" w:line="98" w:lineRule="exact"/>
        <w:rPr>
          <w:rFonts w:ascii="Arial" w:cs="Arial" w:eastAsia="Arial" w:hAnsi="Arial"/>
          <w:sz w:val="25"/>
          <w:szCs w:val="25"/>
          <w:color w:val="auto"/>
          <w:vertAlign w:val="superscript"/>
        </w:rPr>
      </w:pPr>
    </w:p>
    <w:p>
      <w:pPr>
        <w:ind w:left="707" w:hanging="707"/>
        <w:spacing w:after="0"/>
        <w:tabs>
          <w:tab w:leader="none" w:pos="707"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Certain of these assets are operated by Plains.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Type of</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6"/>
              </w:rPr>
              <w:t>UJI</w:t>
            </w:r>
          </w:p>
        </w:tc>
        <w:tc>
          <w:tcPr>
            <w:tcW w:w="0" w:type="dxa"/>
            <w:vAlign w:val="bottom"/>
          </w:tcPr>
          <w:p>
            <w:pPr>
              <w:spacing w:after="0"/>
              <w:rPr>
                <w:sz w:val="1"/>
                <w:szCs w:val="1"/>
                <w:color w:val="auto"/>
              </w:rPr>
            </w:pPr>
          </w:p>
        </w:tc>
      </w:tr>
      <w:tr>
        <w:trPr>
          <w:trHeight w:val="157"/>
        </w:trPr>
        <w:tc>
          <w:tcPr>
            <w:tcW w:w="2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1"/>
              </w:rPr>
              <w:t>Ownership</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Operation</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Percentage</w:t>
            </w:r>
          </w:p>
        </w:tc>
        <w:tc>
          <w:tcPr>
            <w:tcW w:w="0" w:type="dxa"/>
            <w:vAlign w:val="bottom"/>
          </w:tcPr>
          <w:p>
            <w:pPr>
              <w:spacing w:after="0"/>
              <w:rPr>
                <w:sz w:val="1"/>
                <w:szCs w:val="1"/>
                <w:color w:val="auto"/>
              </w:rPr>
            </w:pPr>
          </w:p>
        </w:tc>
      </w:tr>
      <w:tr>
        <w:trPr>
          <w:trHeight w:val="270"/>
        </w:trPr>
        <w:tc>
          <w:tcPr>
            <w:tcW w:w="236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87%</w:t>
            </w:r>
          </w:p>
        </w:tc>
        <w:tc>
          <w:tcPr>
            <w:tcW w:w="0" w:type="dxa"/>
            <w:vAlign w:val="bottom"/>
          </w:tcPr>
          <w:p>
            <w:pPr>
              <w:spacing w:after="0"/>
              <w:rPr>
                <w:sz w:val="1"/>
                <w:szCs w:val="1"/>
                <w:color w:val="auto"/>
              </w:rPr>
            </w:pPr>
          </w:p>
        </w:tc>
      </w:tr>
      <w:tr>
        <w:trPr>
          <w:trHeight w:val="294"/>
        </w:trPr>
        <w:tc>
          <w:tcPr>
            <w:tcW w:w="2360" w:type="dxa"/>
            <w:vAlign w:val="bottom"/>
          </w:tcPr>
          <w:p>
            <w:pPr>
              <w:jc w:val="center"/>
              <w:spacing w:after="0"/>
              <w:rPr>
                <w:sz w:val="20"/>
                <w:szCs w:val="20"/>
                <w:color w:val="auto"/>
              </w:rPr>
            </w:pPr>
            <w:r>
              <w:rPr>
                <w:rFonts w:ascii="Arial" w:cs="Arial" w:eastAsia="Arial" w:hAnsi="Arial"/>
                <w:sz w:val="20"/>
                <w:szCs w:val="20"/>
                <w:color w:val="auto"/>
                <w:w w:val="95"/>
              </w:rPr>
              <w:t>NGL Facility</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48%</w:t>
            </w:r>
          </w:p>
        </w:tc>
        <w:tc>
          <w:tcPr>
            <w:tcW w:w="0" w:type="dxa"/>
            <w:vAlign w:val="bottom"/>
          </w:tcPr>
          <w:p>
            <w:pPr>
              <w:spacing w:after="0"/>
              <w:rPr>
                <w:sz w:val="1"/>
                <w:szCs w:val="1"/>
                <w:color w:val="auto"/>
              </w:rPr>
            </w:pPr>
          </w:p>
        </w:tc>
      </w:tr>
      <w:tr>
        <w:trPr>
          <w:trHeight w:val="294"/>
        </w:trPr>
        <w:tc>
          <w:tcPr>
            <w:tcW w:w="2360" w:type="dxa"/>
            <w:vAlign w:val="bottom"/>
          </w:tcPr>
          <w:p>
            <w:pPr>
              <w:jc w:val="center"/>
              <w:spacing w:after="0"/>
              <w:rPr>
                <w:sz w:val="20"/>
                <w:szCs w:val="20"/>
                <w:color w:val="auto"/>
              </w:rPr>
            </w:pPr>
            <w:r>
              <w:rPr>
                <w:rFonts w:ascii="Arial" w:cs="Arial" w:eastAsia="Arial" w:hAnsi="Arial"/>
                <w:sz w:val="20"/>
                <w:szCs w:val="20"/>
                <w:color w:val="auto"/>
                <w:w w:val="92"/>
              </w:rPr>
              <w:t>NGL Pipeline and Facility</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94"/>
        </w:trPr>
        <w:tc>
          <w:tcPr>
            <w:tcW w:w="2360" w:type="dxa"/>
            <w:vAlign w:val="bottom"/>
          </w:tcPr>
          <w:p>
            <w:pPr>
              <w:jc w:val="center"/>
              <w:spacing w:after="0"/>
              <w:rPr>
                <w:sz w:val="20"/>
                <w:szCs w:val="20"/>
                <w:color w:val="auto"/>
              </w:rPr>
            </w:pPr>
            <w:r>
              <w:rPr>
                <w:rFonts w:ascii="Arial" w:cs="Arial" w:eastAsia="Arial" w:hAnsi="Arial"/>
                <w:sz w:val="20"/>
                <w:szCs w:val="20"/>
                <w:color w:val="auto"/>
                <w:w w:val="95"/>
              </w:rPr>
              <w:t>NGL Facility</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61% to 85%</w:t>
            </w:r>
          </w:p>
        </w:tc>
        <w:tc>
          <w:tcPr>
            <w:tcW w:w="0" w:type="dxa"/>
            <w:vAlign w:val="bottom"/>
          </w:tcPr>
          <w:p>
            <w:pPr>
              <w:spacing w:after="0"/>
              <w:rPr>
                <w:sz w:val="1"/>
                <w:szCs w:val="1"/>
                <w:color w:val="auto"/>
              </w:rPr>
            </w:pPr>
          </w:p>
        </w:tc>
      </w:tr>
      <w:tr>
        <w:trPr>
          <w:trHeight w:val="294"/>
        </w:trPr>
        <w:tc>
          <w:tcPr>
            <w:tcW w:w="236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5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80%</w:t>
            </w:r>
          </w:p>
        </w:tc>
        <w:tc>
          <w:tcPr>
            <w:tcW w:w="0" w:type="dxa"/>
            <w:vAlign w:val="bottom"/>
          </w:tcPr>
          <w:p>
            <w:pPr>
              <w:spacing w:after="0"/>
              <w:rPr>
                <w:sz w:val="1"/>
                <w:szCs w:val="1"/>
                <w:color w:val="auto"/>
              </w:rPr>
            </w:pPr>
          </w:p>
        </w:tc>
      </w:tr>
    </w:tbl>
    <w:p>
      <w:pPr>
        <w:spacing w:after="0" w:line="1145" w:lineRule="exact"/>
        <w:rPr>
          <w:sz w:val="20"/>
          <w:szCs w:val="20"/>
          <w:color w:val="auto"/>
        </w:rPr>
      </w:pPr>
    </w:p>
    <w:p>
      <w:pPr>
        <w:sectPr>
          <w:pgSz w:w="11880" w:h="15480" w:orient="portrait"/>
          <w:cols w:equalWidth="0" w:num="2">
            <w:col w:w="5447" w:space="720"/>
            <w:col w:w="3880"/>
          </w:cols>
          <w:pgMar w:left="913" w:top="582" w:right="920" w:bottom="0" w:gutter="0" w:footer="0" w:header="0"/>
          <w:type w:val="continuous"/>
        </w:sectPr>
      </w:pPr>
    </w:p>
    <w:p>
      <w:pPr>
        <w:spacing w:after="0" w:line="1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48" w:lineRule="exact"/>
        <w:rPr>
          <w:sz w:val="20"/>
          <w:szCs w:val="20"/>
          <w:color w:val="auto"/>
        </w:rPr>
      </w:pPr>
    </w:p>
    <w:p>
      <w:pPr>
        <w:ind w:left="7" w:right="40" w:firstLine="706"/>
        <w:spacing w:after="0" w:line="262" w:lineRule="auto"/>
        <w:rPr>
          <w:sz w:val="20"/>
          <w:szCs w:val="20"/>
          <w:color w:val="auto"/>
        </w:rPr>
      </w:pPr>
      <w:r>
        <w:rPr>
          <w:rFonts w:ascii="Arial" w:cs="Arial" w:eastAsia="Arial" w:hAnsi="Arial"/>
          <w:sz w:val="19"/>
          <w:szCs w:val="19"/>
          <w:color w:val="auto"/>
        </w:rPr>
        <w:t>Since PAA’s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2024, we have completed several acquisitions for an aggregate of approximately $3.0 billion (which figure excludes the value of our Permian JV formed in October 2021), and we have completed asset sales and sales of partial interests in assets to strategic joint venture partners totaling more than $4.9 billion. In addition, in the first quarter of 2025, PAA closed two additional acquisitions for approximately $580 million, net to our interest. See Note 7 to our Consolidated Financial Statements for additional information.</w:t>
      </w:r>
    </w:p>
    <w:p>
      <w:pPr>
        <w:sectPr>
          <w:pgSz w:w="11880" w:h="15480" w:orient="portrait"/>
          <w:cols w:equalWidth="0" w:num="1">
            <w:col w:w="10047"/>
          </w:cols>
          <w:pgMar w:left="913" w:top="582"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7"/>
          </w:cols>
          <w:pgMar w:left="913" w:top="582" w:right="92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i w:val="1"/>
          <w:iCs w:val="1"/>
          <w:color w:val="auto"/>
        </w:rPr>
        <w:t>Capital Projects</w:t>
      </w:r>
    </w:p>
    <w:p>
      <w:pPr>
        <w:spacing w:after="0" w:line="248" w:lineRule="exact"/>
        <w:rPr>
          <w:sz w:val="20"/>
          <w:szCs w:val="20"/>
          <w:color w:val="auto"/>
        </w:rPr>
      </w:pPr>
    </w:p>
    <w:p>
      <w:pPr>
        <w:jc w:val="both"/>
        <w:ind w:right="60" w:firstLine="706"/>
        <w:spacing w:after="0" w:line="254" w:lineRule="auto"/>
        <w:rPr>
          <w:sz w:val="20"/>
          <w:szCs w:val="20"/>
          <w:color w:val="auto"/>
        </w:rPr>
      </w:pPr>
      <w:r>
        <w:rPr>
          <w:rFonts w:ascii="Arial" w:cs="Arial" w:eastAsia="Arial" w:hAnsi="Arial"/>
          <w:sz w:val="20"/>
          <w:szCs w:val="20"/>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2025 capital plan consists of capital-efficient, highly contracted projects that help address industry needs.</w:t>
      </w:r>
    </w:p>
    <w:p>
      <w:pPr>
        <w:spacing w:after="0" w:line="202" w:lineRule="exact"/>
        <w:rPr>
          <w:sz w:val="20"/>
          <w:szCs w:val="20"/>
          <w:color w:val="auto"/>
        </w:rPr>
      </w:pPr>
    </w:p>
    <w:p>
      <w:pPr>
        <w:ind w:right="100" w:firstLine="706"/>
        <w:spacing w:after="0" w:line="250" w:lineRule="auto"/>
        <w:rPr>
          <w:sz w:val="20"/>
          <w:szCs w:val="20"/>
          <w:color w:val="auto"/>
        </w:rPr>
      </w:pPr>
      <w:r>
        <w:rPr>
          <w:rFonts w:ascii="Arial" w:cs="Arial" w:eastAsia="Arial" w:hAnsi="Arial"/>
          <w:sz w:val="20"/>
          <w:szCs w:val="20"/>
          <w:color w:val="auto"/>
        </w:rPr>
        <w:t>Total investment capital for the year ending December 31, 2025 is currently projected to be approximately $500 million ($400 million net to our interest), of which over half is expected to be associated with the Permian JV. Additionally, maintenance capital for 2025 is currently projected to be approximately $260 million ($240 million net to our interest).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48" w:lineRule="exact"/>
        <w:rPr>
          <w:sz w:val="20"/>
          <w:szCs w:val="20"/>
          <w:color w:val="auto"/>
        </w:rPr>
      </w:pPr>
    </w:p>
    <w:p>
      <w:pPr>
        <w:ind w:firstLine="706"/>
        <w:spacing w:after="0" w:line="294" w:lineRule="auto"/>
        <w:rPr>
          <w:sz w:val="20"/>
          <w:szCs w:val="20"/>
          <w:color w:val="auto"/>
        </w:rPr>
      </w:pPr>
      <w:r>
        <w:rPr>
          <w:rFonts w:ascii="Arial" w:cs="Arial" w:eastAsia="Arial" w:hAnsi="Arial"/>
          <w:sz w:val="17"/>
          <w:szCs w:val="17"/>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 Impacting PAA’s Business—PAA’s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76" w:lineRule="exact"/>
        <w:rPr>
          <w:sz w:val="20"/>
          <w:szCs w:val="20"/>
          <w:color w:val="auto"/>
        </w:rPr>
      </w:pPr>
    </w:p>
    <w:p>
      <w:pPr>
        <w:ind w:right="160" w:firstLine="706"/>
        <w:spacing w:after="0" w:line="258" w:lineRule="auto"/>
        <w:rPr>
          <w:sz w:val="20"/>
          <w:szCs w:val="20"/>
          <w:color w:val="auto"/>
        </w:rPr>
      </w:pPr>
      <w:r>
        <w:rPr>
          <w:rFonts w:ascii="Arial" w:cs="Arial" w:eastAsia="Arial" w:hAnsi="Arial"/>
          <w:sz w:val="20"/>
          <w:szCs w:val="20"/>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 Safety and Environmental Regulation</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General</w:t>
      </w:r>
    </w:p>
    <w:p>
      <w:pPr>
        <w:spacing w:after="0" w:line="248" w:lineRule="exact"/>
        <w:rPr>
          <w:sz w:val="20"/>
          <w:szCs w:val="20"/>
          <w:color w:val="auto"/>
        </w:rPr>
      </w:pPr>
    </w:p>
    <w:p>
      <w:pPr>
        <w:ind w:right="60" w:firstLine="706"/>
        <w:spacing w:after="0" w:line="293" w:lineRule="auto"/>
        <w:rPr>
          <w:sz w:val="20"/>
          <w:szCs w:val="20"/>
          <w:color w:val="auto"/>
        </w:rPr>
      </w:pPr>
      <w:r>
        <w:rPr>
          <w:rFonts w:ascii="Arial" w:cs="Arial" w:eastAsia="Arial" w:hAnsi="Arial"/>
          <w:sz w:val="17"/>
          <w:szCs w:val="17"/>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40"/>
          </w:cols>
          <w:pgMar w:left="920" w:top="575" w:right="920" w:bottom="0" w:gutter="0" w:footer="0" w:header="0"/>
          <w:type w:val="continuous"/>
        </w:sectPr>
      </w:pPr>
    </w:p>
    <w:bookmarkStart w:id="24" w:name="page25"/>
    <w:bookmarkEnd w:id="24"/>
    <w:p>
      <w:pPr>
        <w:ind w:left="700"/>
        <w:spacing w:after="0"/>
        <w:rPr>
          <w:sz w:val="20"/>
          <w:szCs w:val="20"/>
          <w:color w:val="auto"/>
        </w:rPr>
      </w:pPr>
      <w:r>
        <w:rPr>
          <w:rFonts w:ascii="Arial" w:cs="Arial" w:eastAsia="Arial" w:hAnsi="Arial"/>
          <w:sz w:val="20"/>
          <w:szCs w:val="20"/>
          <w:b w:val="1"/>
          <w:bCs w:val="1"/>
          <w:color w:val="auto"/>
        </w:rPr>
        <w:t>Pipeline Safety/Integrity Management</w:t>
      </w:r>
    </w:p>
    <w:p>
      <w:pPr>
        <w:spacing w:after="0" w:line="248" w:lineRule="exact"/>
        <w:rPr>
          <w:sz w:val="20"/>
          <w:szCs w:val="20"/>
          <w:color w:val="auto"/>
        </w:rPr>
      </w:pPr>
    </w:p>
    <w:p>
      <w:pPr>
        <w:ind w:right="60" w:firstLine="706"/>
        <w:spacing w:after="0" w:line="296" w:lineRule="auto"/>
        <w:rPr>
          <w:sz w:val="20"/>
          <w:szCs w:val="20"/>
          <w:color w:val="auto"/>
        </w:rPr>
      </w:pPr>
      <w:r>
        <w:rPr>
          <w:rFonts w:ascii="Arial" w:cs="Arial" w:eastAsia="Arial" w:hAnsi="Arial"/>
          <w:sz w:val="17"/>
          <w:szCs w:val="17"/>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United States</w:t>
      </w:r>
    </w:p>
    <w:p>
      <w:pPr>
        <w:spacing w:after="0" w:line="248" w:lineRule="exact"/>
        <w:rPr>
          <w:sz w:val="20"/>
          <w:szCs w:val="20"/>
          <w:color w:val="auto"/>
        </w:rPr>
      </w:pPr>
    </w:p>
    <w:p>
      <w:pPr>
        <w:ind w:firstLine="706"/>
        <w:spacing w:after="0" w:line="295" w:lineRule="auto"/>
        <w:rPr>
          <w:sz w:val="20"/>
          <w:szCs w:val="20"/>
          <w:color w:val="auto"/>
        </w:rPr>
      </w:pPr>
      <w:r>
        <w:rPr>
          <w:rFonts w:ascii="Arial" w:cs="Arial" w:eastAsia="Arial" w:hAnsi="Arial"/>
          <w:sz w:val="17"/>
          <w:szCs w:val="17"/>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$40 million in 2024. Based on currently available information, our preliminary estimate for 2025 is that we will incur approximately $50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$17 million in 2024, and our preliminary estimate for 2025 is that we will incur approximately $15 million of such costs.</w:t>
      </w:r>
    </w:p>
    <w:p>
      <w:pPr>
        <w:spacing w:after="0" w:line="174" w:lineRule="exact"/>
        <w:rPr>
          <w:sz w:val="20"/>
          <w:szCs w:val="20"/>
          <w:color w:val="auto"/>
        </w:rPr>
      </w:pPr>
    </w:p>
    <w:p>
      <w:pPr>
        <w:ind w:right="60" w:firstLine="706"/>
        <w:spacing w:after="0" w:line="271" w:lineRule="auto"/>
        <w:rPr>
          <w:sz w:val="20"/>
          <w:szCs w:val="20"/>
          <w:color w:val="auto"/>
        </w:rPr>
      </w:pPr>
      <w:r>
        <w:rPr>
          <w:rFonts w:ascii="Arial" w:cs="Arial" w:eastAsia="Arial" w:hAnsi="Arial"/>
          <w:sz w:val="19"/>
          <w:szCs w:val="19"/>
          <w:color w:val="auto"/>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189" w:lineRule="exact"/>
        <w:rPr>
          <w:sz w:val="20"/>
          <w:szCs w:val="20"/>
          <w:color w:val="auto"/>
        </w:rPr>
      </w:pPr>
    </w:p>
    <w:p>
      <w:pPr>
        <w:ind w:right="120" w:firstLine="706"/>
        <w:spacing w:after="0" w:line="325" w:lineRule="auto"/>
        <w:rPr>
          <w:sz w:val="20"/>
          <w:szCs w:val="20"/>
          <w:color w:val="auto"/>
        </w:rPr>
      </w:pPr>
      <w:r>
        <w:rPr>
          <w:rFonts w:ascii="Arial" w:cs="Arial" w:eastAsia="Arial" w:hAnsi="Arial"/>
          <w:sz w:val="17"/>
          <w:szCs w:val="17"/>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47" w:lineRule="exact"/>
        <w:rPr>
          <w:sz w:val="20"/>
          <w:szCs w:val="20"/>
          <w:color w:val="auto"/>
        </w:rPr>
      </w:pPr>
    </w:p>
    <w:p>
      <w:pPr>
        <w:ind w:right="120" w:firstLine="706"/>
        <w:spacing w:after="0" w:line="300" w:lineRule="auto"/>
        <w:rPr>
          <w:sz w:val="20"/>
          <w:szCs w:val="20"/>
          <w:color w:val="auto"/>
        </w:rPr>
      </w:pPr>
      <w:r>
        <w:rPr>
          <w:rFonts w:ascii="Arial" w:cs="Arial" w:eastAsia="Arial" w:hAnsi="Arial"/>
          <w:sz w:val="17"/>
          <w:szCs w:val="17"/>
          <w:color w:val="auto"/>
        </w:rPr>
        <w:t>The DOT has also generally adopted American Petroleum Institute Standard 653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$35 million in 2024. For 2025, we have budgeted approximately $45 million in connection with continued compliance activities with respect to API 653 and similar Environmental Protection Agency (“EPA”) regulations for tanks not regulated by the DOT. Certain storage tanks may be taken out of service if we believe the cost of compliance will exceed the value of the storage tanks and replacement tankage may be constructed.</w:t>
      </w:r>
    </w:p>
    <w:p>
      <w:pPr>
        <w:spacing w:after="0" w:line="171" w:lineRule="exact"/>
        <w:rPr>
          <w:sz w:val="20"/>
          <w:szCs w:val="20"/>
          <w:color w:val="auto"/>
        </w:rPr>
      </w:pPr>
    </w:p>
    <w:p>
      <w:pPr>
        <w:ind w:right="60" w:firstLine="706"/>
        <w:spacing w:after="0" w:line="251" w:lineRule="auto"/>
        <w:rPr>
          <w:sz w:val="20"/>
          <w:szCs w:val="20"/>
          <w:color w:val="auto"/>
        </w:rPr>
      </w:pPr>
      <w:r>
        <w:rPr>
          <w:rFonts w:ascii="Arial" w:cs="Arial" w:eastAsia="Arial" w:hAnsi="Arial"/>
          <w:sz w:val="20"/>
          <w:szCs w:val="20"/>
          <w:color w:val="auto"/>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40"/>
          </w:cols>
          <w:pgMar w:left="920" w:top="575" w:right="920" w:bottom="0" w:gutter="0" w:footer="0" w:header="0"/>
          <w:type w:val="continuous"/>
        </w:sectPr>
      </w:pPr>
    </w:p>
    <w:bookmarkStart w:id="25" w:name="page26"/>
    <w:bookmarkEnd w:id="25"/>
    <w:p>
      <w:pPr>
        <w:ind w:left="700"/>
        <w:spacing w:after="0"/>
        <w:rPr>
          <w:sz w:val="20"/>
          <w:szCs w:val="20"/>
          <w:color w:val="auto"/>
        </w:rPr>
      </w:pPr>
      <w:r>
        <w:rPr>
          <w:rFonts w:ascii="Arial" w:cs="Arial" w:eastAsia="Arial" w:hAnsi="Arial"/>
          <w:sz w:val="20"/>
          <w:szCs w:val="20"/>
          <w:b w:val="1"/>
          <w:bCs w:val="1"/>
          <w:i w:val="1"/>
          <w:iCs w:val="1"/>
          <w:color w:val="auto"/>
        </w:rPr>
        <w:t>Canada</w:t>
      </w:r>
    </w:p>
    <w:p>
      <w:pPr>
        <w:spacing w:after="0" w:line="248" w:lineRule="exact"/>
        <w:rPr>
          <w:sz w:val="20"/>
          <w:szCs w:val="20"/>
          <w:color w:val="auto"/>
        </w:rPr>
      </w:pPr>
    </w:p>
    <w:p>
      <w:pPr>
        <w:ind w:right="100" w:firstLine="706"/>
        <w:spacing w:after="0" w:line="266" w:lineRule="auto"/>
        <w:rPr>
          <w:sz w:val="20"/>
          <w:szCs w:val="20"/>
          <w:color w:val="auto"/>
        </w:rPr>
      </w:pPr>
      <w:r>
        <w:rPr>
          <w:rFonts w:ascii="Arial" w:cs="Arial" w:eastAsia="Arial" w:hAnsi="Arial"/>
          <w:sz w:val="19"/>
          <w:szCs w:val="19"/>
          <w:color w:val="auto"/>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$100 million in 2024. Our preliminary estimate for 2025 is approximately $85 million of costs on such projects.</w:t>
      </w:r>
    </w:p>
    <w:p>
      <w:pPr>
        <w:spacing w:after="0" w:line="193" w:lineRule="exact"/>
        <w:rPr>
          <w:sz w:val="20"/>
          <w:szCs w:val="20"/>
          <w:color w:val="auto"/>
        </w:rPr>
      </w:pPr>
    </w:p>
    <w:p>
      <w:pPr>
        <w:ind w:right="100" w:firstLine="706"/>
        <w:spacing w:after="0" w:line="325" w:lineRule="auto"/>
        <w:rPr>
          <w:sz w:val="20"/>
          <w:szCs w:val="20"/>
          <w:color w:val="auto"/>
        </w:rPr>
      </w:pPr>
      <w:r>
        <w:rPr>
          <w:rFonts w:ascii="Arial" w:cs="Arial" w:eastAsia="Arial" w:hAnsi="Arial"/>
          <w:sz w:val="17"/>
          <w:szCs w:val="17"/>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Occupational Safety and Health</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United States</w:t>
      </w:r>
    </w:p>
    <w:p>
      <w:pPr>
        <w:spacing w:after="0" w:line="248" w:lineRule="exact"/>
        <w:rPr>
          <w:sz w:val="20"/>
          <w:szCs w:val="20"/>
          <w:color w:val="auto"/>
        </w:rPr>
      </w:pPr>
    </w:p>
    <w:p>
      <w:pPr>
        <w:ind w:right="80" w:firstLine="706"/>
        <w:spacing w:after="0" w:line="297" w:lineRule="auto"/>
        <w:rPr>
          <w:sz w:val="20"/>
          <w:szCs w:val="20"/>
          <w:color w:val="auto"/>
        </w:rPr>
      </w:pPr>
      <w:r>
        <w:rPr>
          <w:rFonts w:ascii="Arial" w:cs="Arial" w:eastAsia="Arial" w:hAnsi="Arial"/>
          <w:sz w:val="17"/>
          <w:szCs w:val="17"/>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and the Emergency Planning and Community Right-to-Know Act require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Canada</w:t>
      </w:r>
    </w:p>
    <w:p>
      <w:pPr>
        <w:spacing w:after="0" w:line="248" w:lineRule="exact"/>
        <w:rPr>
          <w:sz w:val="20"/>
          <w:szCs w:val="20"/>
          <w:color w:val="auto"/>
        </w:rPr>
      </w:pPr>
    </w:p>
    <w:p>
      <w:pPr>
        <w:ind w:firstLine="706"/>
        <w:spacing w:after="0" w:line="250" w:lineRule="auto"/>
        <w:rPr>
          <w:sz w:val="20"/>
          <w:szCs w:val="20"/>
          <w:color w:val="auto"/>
        </w:rPr>
      </w:pPr>
      <w:r>
        <w:rPr>
          <w:rFonts w:ascii="Arial" w:cs="Arial" w:eastAsia="Arial" w:hAnsi="Arial"/>
          <w:sz w:val="20"/>
          <w:szCs w:val="20"/>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Solid Waste</w:t>
      </w:r>
    </w:p>
    <w:p>
      <w:pPr>
        <w:spacing w:after="0" w:line="248" w:lineRule="exact"/>
        <w:rPr>
          <w:sz w:val="20"/>
          <w:szCs w:val="20"/>
          <w:color w:val="auto"/>
        </w:rPr>
      </w:pPr>
    </w:p>
    <w:p>
      <w:pPr>
        <w:ind w:right="100" w:firstLine="706"/>
        <w:spacing w:after="0" w:line="303" w:lineRule="auto"/>
        <w:rPr>
          <w:sz w:val="20"/>
          <w:szCs w:val="20"/>
          <w:color w:val="auto"/>
        </w:rPr>
      </w:pPr>
      <w:r>
        <w:rPr>
          <w:rFonts w:ascii="Arial" w:cs="Arial" w:eastAsia="Arial" w:hAnsi="Arial"/>
          <w:sz w:val="17"/>
          <w:szCs w:val="17"/>
          <w:color w:val="auto"/>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Hazardous Substances</w:t>
      </w:r>
    </w:p>
    <w:p>
      <w:pPr>
        <w:spacing w:after="0" w:line="248" w:lineRule="exact"/>
        <w:rPr>
          <w:sz w:val="20"/>
          <w:szCs w:val="20"/>
          <w:color w:val="auto"/>
        </w:rPr>
      </w:pPr>
    </w:p>
    <w:p>
      <w:pPr>
        <w:ind w:firstLine="706"/>
        <w:spacing w:after="0" w:line="262" w:lineRule="auto"/>
        <w:rPr>
          <w:sz w:val="20"/>
          <w:szCs w:val="20"/>
          <w:color w:val="auto"/>
        </w:rPr>
      </w:pPr>
      <w:r>
        <w:rPr>
          <w:rFonts w:ascii="Arial" w:cs="Arial" w:eastAsia="Arial" w:hAnsi="Arial"/>
          <w:sz w:val="19"/>
          <w:szCs w:val="19"/>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575" w:right="920" w:bottom="0" w:gutter="0" w:footer="0" w:header="0"/>
          <w:type w:val="continuous"/>
        </w:sectPr>
      </w:pPr>
    </w:p>
    <w:bookmarkStart w:id="26" w:name="page27"/>
    <w:bookmarkEnd w:id="26"/>
    <w:p>
      <w:pPr>
        <w:ind w:right="140" w:firstLine="706"/>
        <w:spacing w:after="0" w:line="271" w:lineRule="auto"/>
        <w:rPr>
          <w:sz w:val="20"/>
          <w:szCs w:val="20"/>
          <w:color w:val="auto"/>
        </w:rPr>
      </w:pPr>
      <w:r>
        <w:rPr>
          <w:rFonts w:ascii="Arial" w:cs="Arial" w:eastAsia="Arial" w:hAnsi="Arial"/>
          <w:sz w:val="19"/>
          <w:szCs w:val="19"/>
          <w:color w:val="auto"/>
        </w:rPr>
        <w:t>We are subject to the EPA’s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Environmental Remediation</w:t>
      </w:r>
    </w:p>
    <w:p>
      <w:pPr>
        <w:spacing w:after="0" w:line="248" w:lineRule="exact"/>
        <w:rPr>
          <w:sz w:val="20"/>
          <w:szCs w:val="20"/>
          <w:color w:val="auto"/>
        </w:rPr>
      </w:pPr>
    </w:p>
    <w:p>
      <w:pPr>
        <w:ind w:firstLine="706"/>
        <w:spacing w:after="0" w:line="268" w:lineRule="auto"/>
        <w:rPr>
          <w:sz w:val="20"/>
          <w:szCs w:val="20"/>
          <w:color w:val="auto"/>
        </w:rPr>
      </w:pPr>
      <w:r>
        <w:rPr>
          <w:rFonts w:ascii="Arial" w:cs="Arial" w:eastAsia="Arial" w:hAnsi="Arial"/>
          <w:sz w:val="19"/>
          <w:szCs w:val="19"/>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Air Emissions</w:t>
      </w:r>
    </w:p>
    <w:p>
      <w:pPr>
        <w:spacing w:after="0" w:line="248" w:lineRule="exact"/>
        <w:rPr>
          <w:sz w:val="20"/>
          <w:szCs w:val="20"/>
          <w:color w:val="auto"/>
        </w:rPr>
      </w:pPr>
    </w:p>
    <w:p>
      <w:pPr>
        <w:jc w:val="both"/>
        <w:ind w:right="80" w:firstLine="706"/>
        <w:spacing w:after="0" w:line="258" w:lineRule="auto"/>
        <w:rPr>
          <w:sz w:val="20"/>
          <w:szCs w:val="20"/>
          <w:color w:val="auto"/>
        </w:rPr>
      </w:pPr>
      <w:r>
        <w:rPr>
          <w:rFonts w:ascii="Arial" w:cs="Arial" w:eastAsia="Arial" w:hAnsi="Arial"/>
          <w:sz w:val="20"/>
          <w:szCs w:val="20"/>
          <w:color w:val="auto"/>
        </w:rPr>
        <w:t>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w:t>
      </w:r>
    </w:p>
    <w:p>
      <w:pPr>
        <w:spacing w:after="0" w:line="199" w:lineRule="exact"/>
        <w:rPr>
          <w:sz w:val="20"/>
          <w:szCs w:val="20"/>
          <w:color w:val="auto"/>
        </w:rPr>
      </w:pPr>
    </w:p>
    <w:p>
      <w:pPr>
        <w:ind w:right="20" w:firstLine="706"/>
        <w:spacing w:after="0" w:line="306" w:lineRule="auto"/>
        <w:rPr>
          <w:sz w:val="20"/>
          <w:szCs w:val="20"/>
          <w:color w:val="auto"/>
        </w:rPr>
      </w:pPr>
      <w:r>
        <w:rPr>
          <w:rFonts w:ascii="Arial" w:cs="Arial" w:eastAsia="Arial" w:hAnsi="Arial"/>
          <w:sz w:val="17"/>
          <w:szCs w:val="17"/>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Climate Change Initiatives</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United States</w:t>
      </w:r>
    </w:p>
    <w:p>
      <w:pPr>
        <w:spacing w:after="0" w:line="248" w:lineRule="exact"/>
        <w:rPr>
          <w:sz w:val="20"/>
          <w:szCs w:val="20"/>
          <w:color w:val="auto"/>
        </w:rPr>
      </w:pPr>
    </w:p>
    <w:p>
      <w:pPr>
        <w:ind w:right="180" w:firstLine="706"/>
        <w:spacing w:after="0" w:line="297" w:lineRule="auto"/>
        <w:rPr>
          <w:sz w:val="20"/>
          <w:szCs w:val="20"/>
          <w:color w:val="auto"/>
        </w:rPr>
      </w:pPr>
      <w:r>
        <w:rPr>
          <w:rFonts w:ascii="Arial" w:cs="Arial" w:eastAsia="Arial" w:hAnsi="Arial"/>
          <w:sz w:val="17"/>
          <w:szCs w:val="17"/>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climate-related mitigation funds, and regulations that directly limit GHG emissions from certain sources. Additionally, certain laws, like the Inflation Reduction Act of 2022 (“IRA”), have been enacted to advance climate-related objectives and provide substantial financial support for alternative or lower GHG-emitting energy production. These proposals and related legislation and policy initiatives could increase operating costs within the oil and gas industry and accelerate the transition away from fossil fuels, which could in turn reduce demand for our products and services and adversely affect our business and results of operations.</w:t>
      </w:r>
    </w:p>
    <w:p>
      <w:pPr>
        <w:spacing w:after="0" w:line="175" w:lineRule="exact"/>
        <w:rPr>
          <w:sz w:val="20"/>
          <w:szCs w:val="20"/>
          <w:color w:val="auto"/>
        </w:rPr>
      </w:pPr>
    </w:p>
    <w:p>
      <w:pPr>
        <w:ind w:right="120" w:firstLine="706"/>
        <w:spacing w:after="0" w:line="294" w:lineRule="auto"/>
        <w:rPr>
          <w:sz w:val="20"/>
          <w:szCs w:val="20"/>
          <w:color w:val="auto"/>
        </w:rPr>
      </w:pPr>
      <w:r>
        <w:rPr>
          <w:rFonts w:ascii="Arial" w:cs="Arial" w:eastAsia="Arial" w:hAnsi="Arial"/>
          <w:sz w:val="17"/>
          <w:szCs w:val="17"/>
          <w:color w:val="auto"/>
        </w:rPr>
        <w:t>In addition, following the U.S. Supreme Court (“SCOTUS”)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performance standards for reducing methane emissions from oil and gas operations through limitations on venting and flaring and the implementation of enhanced emission leak detection and repair requirements. For 2024, one of our facilities was subject to the federal GHG reporting requirements for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The EPA, under the Biden Administration, revisited federal regulations promulgated during the first Trump Administration regarding methane and promulgated final rules establishing new or more stringent standards for existing and new sources in the oil and gas sector, including the transmission and storage segments. The IRA also imposed a first-ever federal fee on excess methane emissions. Separately, the Bureau of Land Management has also finalized rules to limit venting, flaring, and methane leaks for oil and gas operations on federal lands. Whether or how the current Trump Administration or U.S. Congress may pursue changes to these regulations cannot be predicted at this time.</w:t>
      </w:r>
    </w:p>
    <w:p>
      <w:pPr>
        <w:spacing w:after="0" w:line="200" w:lineRule="exact"/>
        <w:rPr>
          <w:sz w:val="20"/>
          <w:szCs w:val="20"/>
          <w:color w:val="auto"/>
        </w:rPr>
      </w:pPr>
    </w:p>
    <w:p>
      <w:pPr>
        <w:spacing w:after="0" w:line="211" w:lineRule="exact"/>
        <w:rPr>
          <w:sz w:val="20"/>
          <w:szCs w:val="20"/>
          <w:color w:val="auto"/>
        </w:rPr>
      </w:pPr>
    </w:p>
    <w:p>
      <w:pPr>
        <w:ind w:right="60" w:firstLine="706"/>
        <w:spacing w:after="0" w:line="258" w:lineRule="auto"/>
        <w:rPr>
          <w:sz w:val="20"/>
          <w:szCs w:val="20"/>
          <w:color w:val="auto"/>
        </w:rPr>
      </w:pPr>
      <w:r>
        <w:rPr>
          <w:rFonts w:ascii="Arial" w:cs="Arial" w:eastAsia="Arial" w:hAnsi="Arial"/>
          <w:sz w:val="20"/>
          <w:szCs w:val="20"/>
          <w:color w:val="auto"/>
        </w:rPr>
        <w:t>At the state level, California has implemented a GHG cap-and-trade program. California finished fuels providers, including Plains Marketing and Plains Midstream Canada, are required to purchase GHG emission credits for finished fuel sold in or imported into California.</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40"/>
          </w:cols>
          <w:pgMar w:left="920" w:top="582" w:right="920" w:bottom="0" w:gutter="0" w:footer="0" w:header="0"/>
          <w:type w:val="continuous"/>
        </w:sectPr>
      </w:pPr>
    </w:p>
    <w:bookmarkStart w:id="27" w:name="page28"/>
    <w:bookmarkEnd w:id="27"/>
    <w:p>
      <w:pPr>
        <w:ind w:right="240" w:firstLine="706"/>
        <w:spacing w:after="0" w:line="268" w:lineRule="auto"/>
        <w:rPr>
          <w:sz w:val="20"/>
          <w:szCs w:val="20"/>
          <w:color w:val="auto"/>
        </w:rPr>
      </w:pPr>
      <w:r>
        <w:rPr>
          <w:rFonts w:ascii="Arial" w:cs="Arial" w:eastAsia="Arial" w:hAnsi="Arial"/>
          <w:sz w:val="19"/>
          <w:szCs w:val="19"/>
          <w:color w:val="auto"/>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Canada</w:t>
      </w:r>
    </w:p>
    <w:p>
      <w:pPr>
        <w:spacing w:after="0" w:line="248" w:lineRule="exact"/>
        <w:rPr>
          <w:sz w:val="20"/>
          <w:szCs w:val="20"/>
          <w:color w:val="auto"/>
        </w:rPr>
      </w:pPr>
    </w:p>
    <w:p>
      <w:pPr>
        <w:ind w:right="220" w:firstLine="706"/>
        <w:spacing w:after="0" w:line="266" w:lineRule="auto"/>
        <w:rPr>
          <w:sz w:val="20"/>
          <w:szCs w:val="20"/>
          <w:color w:val="auto"/>
        </w:rPr>
      </w:pPr>
      <w:r>
        <w:rPr>
          <w:rFonts w:ascii="Arial" w:cs="Arial" w:eastAsia="Arial" w:hAnsi="Arial"/>
          <w:sz w:val="19"/>
          <w:szCs w:val="19"/>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Water</w:t>
      </w:r>
    </w:p>
    <w:p>
      <w:pPr>
        <w:spacing w:after="0" w:line="248" w:lineRule="exact"/>
        <w:rPr>
          <w:sz w:val="20"/>
          <w:szCs w:val="20"/>
          <w:color w:val="auto"/>
        </w:rPr>
      </w:pPr>
    </w:p>
    <w:p>
      <w:pPr>
        <w:ind w:right="340" w:firstLine="706"/>
        <w:spacing w:after="0" w:line="250" w:lineRule="auto"/>
        <w:rPr>
          <w:sz w:val="20"/>
          <w:szCs w:val="20"/>
          <w:color w:val="auto"/>
        </w:rPr>
      </w:pPr>
      <w:r>
        <w:rPr>
          <w:rFonts w:ascii="Arial" w:cs="Arial" w:eastAsia="Arial" w:hAnsi="Arial"/>
          <w:sz w:val="20"/>
          <w:szCs w:val="20"/>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209" w:lineRule="exact"/>
        <w:rPr>
          <w:sz w:val="20"/>
          <w:szCs w:val="20"/>
          <w:color w:val="auto"/>
        </w:rPr>
      </w:pPr>
    </w:p>
    <w:p>
      <w:pPr>
        <w:ind w:right="60" w:firstLine="706"/>
        <w:spacing w:after="0" w:line="251" w:lineRule="auto"/>
        <w:rPr>
          <w:sz w:val="20"/>
          <w:szCs w:val="20"/>
          <w:color w:val="auto"/>
        </w:rPr>
      </w:pPr>
      <w:r>
        <w:rPr>
          <w:rFonts w:ascii="Arial" w:cs="Arial" w:eastAsia="Arial" w:hAnsi="Arial"/>
          <w:sz w:val="20"/>
          <w:szCs w:val="20"/>
          <w:color w:val="auto"/>
        </w:rPr>
        <w:t>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209" w:lineRule="exact"/>
        <w:rPr>
          <w:sz w:val="20"/>
          <w:szCs w:val="20"/>
          <w:color w:val="auto"/>
        </w:rPr>
      </w:pPr>
    </w:p>
    <w:p>
      <w:pPr>
        <w:ind w:right="60" w:firstLine="706"/>
        <w:spacing w:after="0" w:line="250" w:lineRule="auto"/>
        <w:rPr>
          <w:sz w:val="20"/>
          <w:szCs w:val="20"/>
          <w:color w:val="auto"/>
        </w:rPr>
      </w:pPr>
      <w:r>
        <w:rPr>
          <w:rFonts w:ascii="Arial" w:cs="Arial" w:eastAsia="Arial" w:hAnsi="Arial"/>
          <w:sz w:val="20"/>
          <w:szCs w:val="20"/>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spacing w:after="0" w:line="209" w:lineRule="exact"/>
        <w:rPr>
          <w:sz w:val="20"/>
          <w:szCs w:val="20"/>
          <w:color w:val="auto"/>
        </w:rPr>
      </w:pPr>
    </w:p>
    <w:p>
      <w:pPr>
        <w:ind w:firstLine="706"/>
        <w:spacing w:after="0" w:line="250" w:lineRule="auto"/>
        <w:rPr>
          <w:sz w:val="20"/>
          <w:szCs w:val="20"/>
          <w:color w:val="auto"/>
        </w:rPr>
      </w:pPr>
      <w:r>
        <w:rPr>
          <w:rFonts w:ascii="Arial" w:cs="Arial" w:eastAsia="Arial" w:hAnsi="Arial"/>
          <w:sz w:val="20"/>
          <w:szCs w:val="20"/>
          <w:color w:val="auto"/>
        </w:rPr>
        <w:t>In January 2021, the Corps published a reissuance of NWP 12, but this permit is being challenged in federal court on the same grounds that were litigated in an April 2020 case surrounding a failure to conduct Endangered Species Act consultations. In May 2022, the Corps announced it was beginning a formal review of NWP 12 and may make changes to the program.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40"/>
          </w:cols>
          <w:pgMar w:left="920" w:top="582" w:right="920" w:bottom="0" w:gutter="0" w:footer="0" w:header="0"/>
          <w:type w:val="continuous"/>
        </w:sectPr>
      </w:pPr>
    </w:p>
    <w:bookmarkStart w:id="28" w:name="page29"/>
    <w:bookmarkEnd w:id="28"/>
    <w:p>
      <w:pPr>
        <w:ind w:right="20" w:firstLine="706"/>
        <w:spacing w:after="0" w:line="292" w:lineRule="auto"/>
        <w:rPr>
          <w:sz w:val="20"/>
          <w:szCs w:val="20"/>
          <w:color w:val="auto"/>
        </w:rPr>
      </w:pPr>
      <w:r>
        <w:rPr>
          <w:rFonts w:ascii="Arial" w:cs="Arial" w:eastAsia="Arial" w:hAnsi="Arial"/>
          <w:sz w:val="17"/>
          <w:szCs w:val="17"/>
          <w:color w:val="auto"/>
        </w:rPr>
        <w:t xml:space="preserve">Also, there continues to be uncertainty on the federal government’s applicable jurisdictional reach under the CWA over waters of the United States (“WOTUS”), including wetlands. The EPA and the Corps have pursued multiple rulemakings under the Obama, Trump, and Biden Administrations in attempts to determine the scope of such reach. Following legal actions, implementation of the most recent rule is currently split across the country. The rule is subject to an injunction in 27 states resulting in implementation of the pre-2015 rule adjusted to take in into account jurisdictional limitations decided by SCOTUS in </w:t>
      </w:r>
      <w:r>
        <w:rPr>
          <w:rFonts w:ascii="Arial" w:cs="Arial" w:eastAsia="Arial" w:hAnsi="Arial"/>
          <w:sz w:val="17"/>
          <w:szCs w:val="17"/>
          <w:b w:val="1"/>
          <w:bCs w:val="1"/>
          <w:i w:val="1"/>
          <w:iCs w:val="1"/>
          <w:color w:val="auto"/>
        </w:rPr>
        <w:t>Sackett v. EPA</w:t>
      </w:r>
      <w:r>
        <w:rPr>
          <w:rFonts w:ascii="Arial" w:cs="Arial" w:eastAsia="Arial" w:hAnsi="Arial"/>
          <w:sz w:val="17"/>
          <w:szCs w:val="17"/>
          <w:color w:val="auto"/>
        </w:rPr>
        <w:t xml:space="preserve">. The other 23 states are subject to a WOTUS-defining rule published in September 2023. Further, the current Trump Administration may pursue a new rulemaking to further revise or clarify the extent of federal jurisdiction under the CWA, though the substance and timing of such action cannot be predicted. In addition, on January 8, 2025, the Corps published revisions to their Ordinary High Water Mark Manual, a key technical document used by the Corps to make jurisdictional determinations. At this time, it is difficult to judge how impactful these revisions will be. In an April 2020 decision, </w:t>
      </w:r>
      <w:r>
        <w:rPr>
          <w:rFonts w:ascii="Arial" w:cs="Arial" w:eastAsia="Arial" w:hAnsi="Arial"/>
          <w:sz w:val="17"/>
          <w:szCs w:val="17"/>
          <w:b w:val="1"/>
          <w:bCs w:val="1"/>
          <w:i w:val="1"/>
          <w:iCs w:val="1"/>
          <w:color w:val="auto"/>
        </w:rPr>
        <w:t>Maui v.</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Hawaii Wildlife Fund</w:t>
      </w:r>
      <w:r>
        <w:rPr>
          <w:rFonts w:ascii="Arial" w:cs="Arial" w:eastAsia="Arial" w:hAnsi="Arial"/>
          <w:sz w:val="17"/>
          <w:szCs w:val="17"/>
          <w:color w:val="auto"/>
        </w:rPr>
        <w:t>, SCOTUS held that, in certain cases, discharges from a point source to groundwater could fall within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scope of the CWA and require a permit. The Court rejected the EPA’s and Corps’ assertion that groundwater should be totally excluded from the CWA. In response to SCOTUS’ decision, EPA published a draft </w:t>
      </w:r>
      <w:r>
        <w:rPr>
          <w:rFonts w:ascii="Arial" w:cs="Arial" w:eastAsia="Arial" w:hAnsi="Arial"/>
          <w:sz w:val="17"/>
          <w:szCs w:val="17"/>
          <w:b w:val="1"/>
          <w:bCs w:val="1"/>
          <w:i w:val="1"/>
          <w:iCs w:val="1"/>
          <w:color w:val="auto"/>
        </w:rPr>
        <w:t>Maui</w:t>
      </w:r>
      <w:r>
        <w:rPr>
          <w:rFonts w:ascii="Arial" w:cs="Arial" w:eastAsia="Arial" w:hAnsi="Arial"/>
          <w:sz w:val="17"/>
          <w:szCs w:val="17"/>
          <w:color w:val="auto"/>
        </w:rPr>
        <w:t xml:space="preserve"> Guidance on November 27, 2023 which was intended to clarify when certain discharges to groundwater may require a CWA permit. Preliminarily, it appears that this draft guidance requires additional clarity and considerations to better understand permitting requirements specific to groundwater discharges. To date, the guidance has not been finalized and whether or how the current Trump Administration will pursue revisions to the guidance is uncertain.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200" w:lineRule="exact"/>
        <w:rPr>
          <w:sz w:val="20"/>
          <w:szCs w:val="20"/>
          <w:color w:val="auto"/>
        </w:rPr>
      </w:pPr>
    </w:p>
    <w:p>
      <w:pPr>
        <w:spacing w:after="0" w:line="213"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Endangered Species</w:t>
      </w:r>
    </w:p>
    <w:p>
      <w:pPr>
        <w:spacing w:after="0" w:line="248" w:lineRule="exact"/>
        <w:rPr>
          <w:sz w:val="20"/>
          <w:szCs w:val="20"/>
          <w:color w:val="auto"/>
        </w:rPr>
      </w:pPr>
    </w:p>
    <w:p>
      <w:pPr>
        <w:ind w:firstLine="706"/>
        <w:spacing w:after="0" w:line="297" w:lineRule="auto"/>
        <w:rPr>
          <w:sz w:val="20"/>
          <w:szCs w:val="20"/>
          <w:color w:val="auto"/>
        </w:rPr>
      </w:pPr>
      <w:r>
        <w:rPr>
          <w:rFonts w:ascii="Arial" w:cs="Arial" w:eastAsia="Arial" w:hAnsi="Arial"/>
          <w:sz w:val="17"/>
          <w:szCs w:val="17"/>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Regulations</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Transportation Regulation</w:t>
      </w:r>
    </w:p>
    <w:p>
      <w:pPr>
        <w:spacing w:after="0" w:line="248" w:lineRule="exact"/>
        <w:rPr>
          <w:sz w:val="20"/>
          <w:szCs w:val="20"/>
          <w:color w:val="auto"/>
        </w:rPr>
      </w:pPr>
    </w:p>
    <w:p>
      <w:pPr>
        <w:ind w:firstLine="706"/>
        <w:spacing w:after="0" w:line="258" w:lineRule="auto"/>
        <w:rPr>
          <w:sz w:val="20"/>
          <w:szCs w:val="20"/>
          <w:color w:val="auto"/>
        </w:rPr>
      </w:pPr>
      <w:r>
        <w:rPr>
          <w:rFonts w:ascii="Arial" w:cs="Arial" w:eastAsia="Arial" w:hAnsi="Arial"/>
          <w:sz w:val="20"/>
          <w:szCs w:val="20"/>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97" w:lineRule="exact"/>
        <w:rPr>
          <w:sz w:val="20"/>
          <w:szCs w:val="20"/>
          <w:color w:val="auto"/>
        </w:rPr>
      </w:pPr>
    </w:p>
    <w:p>
      <w:pPr>
        <w:ind w:right="60" w:firstLine="706"/>
        <w:spacing w:after="0" w:line="301" w:lineRule="auto"/>
        <w:rPr>
          <w:sz w:val="20"/>
          <w:szCs w:val="20"/>
          <w:color w:val="auto"/>
        </w:rPr>
      </w:pPr>
      <w:r>
        <w:rPr>
          <w:rFonts w:ascii="Arial" w:cs="Arial" w:eastAsia="Arial" w:hAnsi="Arial"/>
          <w:sz w:val="17"/>
          <w:szCs w:val="17"/>
          <w:b w:val="1"/>
          <w:bCs w:val="1"/>
          <w:i w:val="1"/>
          <w:iCs w:val="1"/>
          <w:color w:val="auto"/>
        </w:rPr>
        <w:t xml:space="preserve">Interstate Liquids Regulation in the United States. </w:t>
      </w:r>
      <w:r>
        <w:rPr>
          <w:rFonts w:ascii="Arial" w:cs="Arial" w:eastAsia="Arial" w:hAnsi="Arial"/>
          <w:sz w:val="17"/>
          <w:szCs w:val="17"/>
          <w:color w:val="auto"/>
        </w:rPr>
        <w:t>Our common carrier pipeline operations with interstate movements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0"/>
          </w:cols>
          <w:pgMar w:left="920" w:top="582" w:right="920" w:bottom="0" w:gutter="0" w:footer="0" w:header="0"/>
          <w:type w:val="continuous"/>
        </w:sectPr>
      </w:pPr>
    </w:p>
    <w:bookmarkStart w:id="29" w:name="page30"/>
    <w:bookmarkEnd w:id="29"/>
    <w:p>
      <w:pPr>
        <w:ind w:firstLine="706"/>
        <w:spacing w:after="0" w:line="291" w:lineRule="auto"/>
        <w:rPr>
          <w:sz w:val="20"/>
          <w:szCs w:val="20"/>
          <w:color w:val="auto"/>
        </w:rPr>
      </w:pPr>
      <w:r>
        <w:rPr>
          <w:rFonts w:ascii="Arial" w:cs="Arial" w:eastAsia="Arial" w:hAnsi="Arial"/>
          <w:sz w:val="17"/>
          <w:szCs w:val="17"/>
          <w:color w:val="auto"/>
        </w:rPr>
        <w:t xml:space="preserve">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FERC reduced the oil pricing index factor for oil pipelines to use for the current five-year period. The ceiling levels computed for July 1, 2022 to June 30, 2023, as well as the ceiling levels for July 1, 2023 to June 30, 2024, and the resulting rates currently in effect for certain of our liquids pipelines, were computed to account for the appropriate index factor. Some parties sought rehearing of the January 20 order on rehearing, which was denied by FERC on May 6, 2022. Certain parties subsequently appealed the January 20 and May 6 orders to the U.S. Court of Appeals for the District of Columbia (“D.C. Circuit”). On July 26, 2024, the D.C. Circuit ruled in </w:t>
      </w:r>
      <w:r>
        <w:rPr>
          <w:rFonts w:ascii="Arial" w:cs="Arial" w:eastAsia="Arial" w:hAnsi="Arial"/>
          <w:sz w:val="17"/>
          <w:szCs w:val="17"/>
          <w:b w:val="1"/>
          <w:bCs w:val="1"/>
          <w:i w:val="1"/>
          <w:iCs w:val="1"/>
          <w:color w:val="auto"/>
        </w:rPr>
        <w:t>LEPA v. FERC</w:t>
      </w:r>
      <w:r>
        <w:rPr>
          <w:rFonts w:ascii="Arial" w:cs="Arial" w:eastAsia="Arial" w:hAnsi="Arial"/>
          <w:sz w:val="17"/>
          <w:szCs w:val="17"/>
          <w:color w:val="auto"/>
        </w:rPr>
        <w:t xml:space="preserve"> that FERC violated the Administrative Procedure Act because the January 20 order modified the index level without following notice and comment. As a result, the D.C. Circuit vacated the January 20 order and on September 17, 2024, the Commission reinstated the index level established by its original December 17 Order Establishing Index Level, directed pipelines to file an informational filing to show their recomputed ceiling levels reflecting the reinstated index level, and stated that pipelines may file to prospectively increase their indexed rates to their recomputed levels. On October 17, 2024, FERC issued a Supplemental Notice of Proposed Rulemaking (“Supplemental NOPR”) that proposes a reduction to the currently effective index by one percent. The Supplemental NOPR could result in the reimplementation through a notice-and-comment rulemaking of the same rulings that were vacated by the D.C. Circuit in </w:t>
      </w:r>
      <w:r>
        <w:rPr>
          <w:rFonts w:ascii="Arial" w:cs="Arial" w:eastAsia="Arial" w:hAnsi="Arial"/>
          <w:sz w:val="17"/>
          <w:szCs w:val="17"/>
          <w:b w:val="1"/>
          <w:bCs w:val="1"/>
          <w:i w:val="1"/>
          <w:iCs w:val="1"/>
          <w:color w:val="auto"/>
        </w:rPr>
        <w:t>LEPA v. FERC</w:t>
      </w:r>
      <w:r>
        <w:rPr>
          <w:rFonts w:ascii="Arial" w:cs="Arial" w:eastAsia="Arial" w:hAnsi="Arial"/>
          <w:sz w:val="17"/>
          <w:szCs w:val="17"/>
          <w:color w:val="auto"/>
        </w:rPr>
        <w:t>. FERC has also retained cost-of-service ratemaking, market-based rates and settlement rates as alternatives to the indexing approach that may be used in certain specified circumstances.</w:t>
      </w:r>
    </w:p>
    <w:p>
      <w:pPr>
        <w:spacing w:after="0" w:line="200" w:lineRule="exact"/>
        <w:rPr>
          <w:sz w:val="20"/>
          <w:szCs w:val="20"/>
          <w:color w:val="auto"/>
        </w:rPr>
      </w:pPr>
    </w:p>
    <w:p>
      <w:pPr>
        <w:spacing w:after="0" w:line="227" w:lineRule="exact"/>
        <w:rPr>
          <w:sz w:val="20"/>
          <w:szCs w:val="20"/>
          <w:color w:val="auto"/>
        </w:rPr>
      </w:pPr>
    </w:p>
    <w:p>
      <w:pPr>
        <w:ind w:right="20" w:firstLine="706"/>
        <w:spacing w:after="0" w:line="264" w:lineRule="auto"/>
        <w:rPr>
          <w:sz w:val="20"/>
          <w:szCs w:val="20"/>
          <w:color w:val="auto"/>
        </w:rPr>
      </w:pPr>
      <w:r>
        <w:rPr>
          <w:rFonts w:ascii="Arial" w:cs="Arial" w:eastAsia="Arial" w:hAnsi="Arial"/>
          <w:sz w:val="19"/>
          <w:szCs w:val="19"/>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99" w:lineRule="exact"/>
        <w:rPr>
          <w:sz w:val="20"/>
          <w:szCs w:val="20"/>
          <w:color w:val="auto"/>
        </w:rPr>
      </w:pPr>
    </w:p>
    <w:p>
      <w:pPr>
        <w:ind w:right="40" w:firstLine="706"/>
        <w:spacing w:after="0" w:line="254" w:lineRule="auto"/>
        <w:rPr>
          <w:sz w:val="20"/>
          <w:szCs w:val="20"/>
          <w:color w:val="auto"/>
        </w:rPr>
      </w:pPr>
      <w:r>
        <w:rPr>
          <w:rFonts w:ascii="Arial" w:cs="Arial" w:eastAsia="Arial" w:hAnsi="Arial"/>
          <w:sz w:val="20"/>
          <w:szCs w:val="20"/>
          <w:color w:val="auto"/>
        </w:rPr>
        <w:t>The Energy Policy Act of 2005 authorized FERC to impose civil penalties for violations of the ICA and FERC regulations thereunder, up to a maximum amount that is adjusted annually for inflation, which for 2025 equals $16,590 per day, per violation. Should we fail to comply with applicable statutes, rules, regulations and orders administered by FERC, we could be subject to substantial penalties and fines.</w:t>
      </w:r>
    </w:p>
    <w:p>
      <w:pPr>
        <w:spacing w:after="0" w:line="201" w:lineRule="exact"/>
        <w:rPr>
          <w:sz w:val="20"/>
          <w:szCs w:val="20"/>
          <w:color w:val="auto"/>
        </w:rPr>
      </w:pPr>
    </w:p>
    <w:p>
      <w:pPr>
        <w:ind w:firstLine="706"/>
        <w:spacing w:after="0" w:line="254" w:lineRule="auto"/>
        <w:rPr>
          <w:sz w:val="20"/>
          <w:szCs w:val="20"/>
          <w:color w:val="auto"/>
        </w:rPr>
      </w:pPr>
      <w:r>
        <w:rPr>
          <w:rFonts w:ascii="Arial" w:cs="Arial" w:eastAsia="Arial" w:hAnsi="Arial"/>
          <w:sz w:val="20"/>
          <w:szCs w:val="20"/>
          <w:b w:val="1"/>
          <w:bCs w:val="1"/>
          <w:i w:val="1"/>
          <w:iCs w:val="1"/>
          <w:color w:val="auto"/>
        </w:rPr>
        <w:t xml:space="preserve">Intrastate Regulation in the United States. </w:t>
      </w:r>
      <w:r>
        <w:rPr>
          <w:rFonts w:ascii="Arial" w:cs="Arial" w:eastAsia="Arial" w:hAnsi="Arial"/>
          <w:sz w:val="20"/>
          <w:szCs w:val="20"/>
          <w:color w:val="auto"/>
        </w:rPr>
        <w:t>Our intrastate liquids pipeline transportation activities are subject to various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state laws and regulations, as well as orders of state regulatory bodies, including the Railroad Commission of Texas and the California Public Utility Commission (“CPUC”). The CPUC prohibits certain of our subsidiaries from acting as guarantors of our senior notes and credit facilities.</w:t>
      </w:r>
    </w:p>
    <w:p>
      <w:pPr>
        <w:spacing w:after="0" w:line="202" w:lineRule="exact"/>
        <w:rPr>
          <w:sz w:val="20"/>
          <w:szCs w:val="20"/>
          <w:color w:val="auto"/>
        </w:rPr>
      </w:pPr>
    </w:p>
    <w:p>
      <w:pPr>
        <w:ind w:right="40" w:firstLine="706"/>
        <w:spacing w:after="0" w:line="307" w:lineRule="auto"/>
        <w:rPr>
          <w:sz w:val="20"/>
          <w:szCs w:val="20"/>
          <w:color w:val="auto"/>
        </w:rPr>
      </w:pPr>
      <w:r>
        <w:rPr>
          <w:rFonts w:ascii="Arial" w:cs="Arial" w:eastAsia="Arial" w:hAnsi="Arial"/>
          <w:sz w:val="17"/>
          <w:szCs w:val="17"/>
          <w:b w:val="1"/>
          <w:bCs w:val="1"/>
          <w:i w:val="1"/>
          <w:iCs w:val="1"/>
          <w:color w:val="auto"/>
        </w:rPr>
        <w:t xml:space="preserve">Canadian Regulation. </w:t>
      </w:r>
      <w:r>
        <w:rPr>
          <w:rFonts w:ascii="Arial" w:cs="Arial" w:eastAsia="Arial" w:hAnsi="Arial"/>
          <w:sz w:val="17"/>
          <w:szCs w:val="17"/>
          <w:color w:val="auto"/>
        </w:rPr>
        <w:t>Our Canadian pipeline assets are subject to regulation by the CER and by provincial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582" w:right="920" w:bottom="0" w:gutter="0" w:footer="0" w:header="0"/>
          <w:type w:val="continuous"/>
        </w:sectPr>
      </w:pPr>
    </w:p>
    <w:bookmarkStart w:id="30" w:name="page31"/>
    <w:bookmarkEnd w:id="30"/>
    <w:p>
      <w:pPr>
        <w:ind w:left="700"/>
        <w:spacing w:after="0"/>
        <w:rPr>
          <w:sz w:val="20"/>
          <w:szCs w:val="20"/>
          <w:color w:val="auto"/>
        </w:rPr>
      </w:pPr>
      <w:r>
        <w:rPr>
          <w:rFonts w:ascii="Arial" w:cs="Arial" w:eastAsia="Arial" w:hAnsi="Arial"/>
          <w:sz w:val="20"/>
          <w:szCs w:val="20"/>
          <w:b w:val="1"/>
          <w:bCs w:val="1"/>
          <w:color w:val="auto"/>
        </w:rPr>
        <w:t>Trucking Regulation</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United States</w:t>
      </w:r>
    </w:p>
    <w:p>
      <w:pPr>
        <w:spacing w:after="0" w:line="248" w:lineRule="exact"/>
        <w:rPr>
          <w:sz w:val="20"/>
          <w:szCs w:val="20"/>
          <w:color w:val="auto"/>
        </w:rPr>
      </w:pPr>
    </w:p>
    <w:p>
      <w:pPr>
        <w:ind w:right="100" w:firstLine="706"/>
        <w:spacing w:after="0" w:line="266" w:lineRule="auto"/>
        <w:rPr>
          <w:sz w:val="20"/>
          <w:szCs w:val="20"/>
          <w:color w:val="auto"/>
        </w:rPr>
      </w:pPr>
      <w:r>
        <w:rPr>
          <w:rFonts w:ascii="Arial" w:cs="Arial" w:eastAsia="Arial" w:hAnsi="Arial"/>
          <w:sz w:val="19"/>
          <w:szCs w:val="19"/>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Canada</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provinces in which they are operated. These regulatory agencies do not set freight rates, but do establish and administer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rules and regulations relating to other matters including equipment, facility inspection, reporting and safety. We are licensed to</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operate both intra- and inter-provincially under the direction of the National Safety Code (“NSC”) that is administered by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Transport Canada. Our for-hire service is primarily the transportation of crude oil, condensates and NGL. We are required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under the NSC to, among other things, monitor (i) driver operations, (ii) log book maintenance, (iii) truck manifest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preparations, (iv) safety placard placement on the trucks and trailers, (v) operation and equipment safety and (vi) many other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aspects of trucking operations. We are also subject to Occupational Health and Safety regulations with respect to our Canadian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trucking operations.</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Railcar Regulation</w:t>
      </w:r>
    </w:p>
    <w:p>
      <w:pPr>
        <w:spacing w:after="0" w:line="248" w:lineRule="exact"/>
        <w:rPr>
          <w:sz w:val="20"/>
          <w:szCs w:val="20"/>
          <w:color w:val="auto"/>
        </w:rPr>
      </w:pPr>
    </w:p>
    <w:p>
      <w:pPr>
        <w:ind w:right="40" w:firstLine="706"/>
        <w:spacing w:after="0" w:line="299" w:lineRule="auto"/>
        <w:rPr>
          <w:sz w:val="20"/>
          <w:szCs w:val="20"/>
          <w:color w:val="auto"/>
        </w:rPr>
      </w:pPr>
      <w:r>
        <w:rPr>
          <w:rFonts w:ascii="Arial" w:cs="Arial" w:eastAsia="Arial" w:hAnsi="Arial"/>
          <w:sz w:val="17"/>
          <w:szCs w:val="17"/>
          <w:color w:val="auto"/>
        </w:rPr>
        <w:t>We own and operate a number of railcar loading and unloading facilities in the United States and Canada. In connection with these operations, we own and lease a significant number of railcars. Our railcar operations are subject to the regulatory jurisdiction of the Federal Railroad Administration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Indigenous Protections</w:t>
      </w:r>
    </w:p>
    <w:p>
      <w:pPr>
        <w:spacing w:after="0" w:line="248" w:lineRule="exact"/>
        <w:rPr>
          <w:sz w:val="20"/>
          <w:szCs w:val="20"/>
          <w:color w:val="auto"/>
        </w:rPr>
      </w:pPr>
    </w:p>
    <w:p>
      <w:pPr>
        <w:ind w:right="40" w:firstLine="706"/>
        <w:spacing w:after="0" w:line="312" w:lineRule="auto"/>
        <w:rPr>
          <w:sz w:val="20"/>
          <w:szCs w:val="20"/>
          <w:color w:val="auto"/>
        </w:rPr>
      </w:pPr>
      <w:r>
        <w:rPr>
          <w:rFonts w:ascii="Arial" w:cs="Arial" w:eastAsia="Arial" w:hAnsi="Arial"/>
          <w:sz w:val="17"/>
          <w:szCs w:val="17"/>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Transportation Security Administration Security Directives</w:t>
      </w:r>
    </w:p>
    <w:p>
      <w:pPr>
        <w:spacing w:after="0" w:line="248" w:lineRule="exact"/>
        <w:rPr>
          <w:sz w:val="20"/>
          <w:szCs w:val="20"/>
          <w:color w:val="auto"/>
        </w:rPr>
      </w:pPr>
    </w:p>
    <w:p>
      <w:pPr>
        <w:ind w:right="340" w:firstLine="706"/>
        <w:spacing w:after="0" w:line="312" w:lineRule="auto"/>
        <w:rPr>
          <w:sz w:val="20"/>
          <w:szCs w:val="20"/>
          <w:color w:val="auto"/>
        </w:rPr>
      </w:pPr>
      <w:r>
        <w:rPr>
          <w:rFonts w:ascii="Arial" w:cs="Arial" w:eastAsia="Arial" w:hAnsi="Arial"/>
          <w:sz w:val="17"/>
          <w:szCs w:val="17"/>
          <w:color w:val="auto"/>
        </w:rPr>
        <w:t>In response to cybersecurity incidents affecting the pipeline industry, the United States Department of Homeland Security’s Transportation Security Administration has issued comprehensive security directives that include various cybersecurity and reporting requirements for critical infrastructure pipeline owners and/or operators. Compliance with these security directives may have a significant impact on our operations and results of operations.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Cross Border Regulation</w:t>
      </w:r>
    </w:p>
    <w:p>
      <w:pPr>
        <w:spacing w:after="0" w:line="248" w:lineRule="exact"/>
        <w:rPr>
          <w:sz w:val="20"/>
          <w:szCs w:val="20"/>
          <w:color w:val="auto"/>
        </w:rPr>
      </w:pPr>
    </w:p>
    <w:p>
      <w:pPr>
        <w:ind w:firstLine="706"/>
        <w:spacing w:after="0" w:line="263" w:lineRule="auto"/>
        <w:rPr>
          <w:sz w:val="20"/>
          <w:szCs w:val="20"/>
          <w:color w:val="auto"/>
        </w:rPr>
      </w:pPr>
      <w:r>
        <w:rPr>
          <w:rFonts w:ascii="Arial" w:cs="Arial" w:eastAsia="Arial" w:hAnsi="Arial"/>
          <w:sz w:val="19"/>
          <w:szCs w:val="19"/>
          <w:color w:val="auto"/>
        </w:rPr>
        <w:t>As a result of our cross border activities, including the transportation and importation of crude oil and NGL between the United States and Canada, we are subject to a variety of legal requirements including export license requirements, trade tariffs, Canadian and U.S. customs and taxes, and requirements relating to toxic substances. U.S. legal requirements relating to these activities include the United States-Mexico-Canada Agreement (“USMCA”) and the Toxic Substances Control Act (“TSCA”), as well as presidential permit requirements of the U.S. Department of State. Violations of these licensing, trade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ectPr>
          <w:pgSz w:w="11880" w:h="15480" w:orient="portrait"/>
          <w:cols w:equalWidth="0" w:num="1">
            <w:col w:w="10040"/>
          </w:cols>
          <w:pgMar w:left="920" w:top="575" w:right="920" w:bottom="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40"/>
          </w:cols>
          <w:pgMar w:left="920" w:top="575" w:right="920" w:bottom="0" w:gutter="0" w:footer="0" w:header="0"/>
          <w:type w:val="continuous"/>
        </w:sectPr>
      </w:pPr>
    </w:p>
    <w:bookmarkStart w:id="31" w:name="page32"/>
    <w:bookmarkEnd w:id="31"/>
    <w:p>
      <w:pPr>
        <w:ind w:left="700"/>
        <w:spacing w:after="0"/>
        <w:rPr>
          <w:sz w:val="20"/>
          <w:szCs w:val="20"/>
          <w:color w:val="auto"/>
        </w:rPr>
      </w:pPr>
      <w:r>
        <w:rPr>
          <w:rFonts w:ascii="Arial" w:cs="Arial" w:eastAsia="Arial" w:hAnsi="Arial"/>
          <w:sz w:val="20"/>
          <w:szCs w:val="20"/>
          <w:b w:val="1"/>
          <w:bCs w:val="1"/>
          <w:color w:val="auto"/>
        </w:rPr>
        <w:t>Market Anti-Manipulation Regulation</w:t>
      </w:r>
    </w:p>
    <w:p>
      <w:pPr>
        <w:spacing w:after="0" w:line="248" w:lineRule="exact"/>
        <w:rPr>
          <w:sz w:val="20"/>
          <w:szCs w:val="20"/>
          <w:color w:val="auto"/>
        </w:rPr>
      </w:pPr>
    </w:p>
    <w:p>
      <w:pPr>
        <w:ind w:right="20" w:firstLine="706"/>
        <w:spacing w:after="0" w:line="299" w:lineRule="auto"/>
        <w:rPr>
          <w:sz w:val="20"/>
          <w:szCs w:val="20"/>
          <w:color w:val="auto"/>
        </w:rPr>
      </w:pPr>
      <w:r>
        <w:rPr>
          <w:rFonts w:ascii="Arial" w:cs="Arial" w:eastAsia="Arial" w:hAnsi="Arial"/>
          <w:sz w:val="17"/>
          <w:szCs w:val="17"/>
          <w:color w:val="auto"/>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$1.49 million, subject to the CFTC’s annual inflation adjustment, or triple the monetary gain to the person for each violation.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Hazards and Insurance</w:t>
      </w:r>
    </w:p>
    <w:p>
      <w:pPr>
        <w:spacing w:after="0" w:line="248" w:lineRule="exact"/>
        <w:rPr>
          <w:sz w:val="20"/>
          <w:szCs w:val="20"/>
          <w:color w:val="auto"/>
        </w:rPr>
      </w:pPr>
    </w:p>
    <w:p>
      <w:pPr>
        <w:ind w:right="40" w:firstLine="706"/>
        <w:spacing w:after="0" w:line="297" w:lineRule="auto"/>
        <w:rPr>
          <w:sz w:val="20"/>
          <w:szCs w:val="20"/>
          <w:color w:val="auto"/>
        </w:rPr>
      </w:pPr>
      <w:r>
        <w:rPr>
          <w:rFonts w:ascii="Arial" w:cs="Arial" w:eastAsia="Arial" w:hAnsi="Arial"/>
          <w:sz w:val="17"/>
          <w:szCs w:val="17"/>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w:t>
      </w:r>
    </w:p>
    <w:p>
      <w:pPr>
        <w:spacing w:after="0" w:line="175" w:lineRule="exact"/>
        <w:rPr>
          <w:sz w:val="20"/>
          <w:szCs w:val="20"/>
          <w:color w:val="auto"/>
        </w:rPr>
      </w:pPr>
    </w:p>
    <w:p>
      <w:pPr>
        <w:ind w:right="20" w:firstLine="706"/>
        <w:spacing w:after="0" w:line="294"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or losses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18 to our Consolidated Financial Statements for a discussion regarding the Line 901 incident and our related insurance receivable.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 to Properties and Rights-of-Way</w:t>
      </w:r>
    </w:p>
    <w:p>
      <w:pPr>
        <w:spacing w:after="0" w:line="248" w:lineRule="exact"/>
        <w:rPr>
          <w:sz w:val="20"/>
          <w:szCs w:val="20"/>
          <w:color w:val="auto"/>
        </w:rPr>
      </w:pPr>
    </w:p>
    <w:p>
      <w:pPr>
        <w:ind w:firstLine="706"/>
        <w:spacing w:after="0" w:line="249" w:lineRule="auto"/>
        <w:rPr>
          <w:sz w:val="20"/>
          <w:szCs w:val="20"/>
          <w:color w:val="auto"/>
        </w:rPr>
      </w:pPr>
      <w:r>
        <w:rPr>
          <w:rFonts w:ascii="Arial" w:cs="Arial" w:eastAsia="Arial" w:hAnsi="Arial"/>
          <w:sz w:val="20"/>
          <w:szCs w:val="20"/>
          <w:color w:val="auto"/>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w:t>
      </w:r>
    </w:p>
    <w:p>
      <w:pPr>
        <w:spacing w:after="0" w:line="248" w:lineRule="exact"/>
        <w:rPr>
          <w:sz w:val="20"/>
          <w:szCs w:val="20"/>
          <w:color w:val="auto"/>
        </w:rPr>
      </w:pPr>
    </w:p>
    <w:p>
      <w:pPr>
        <w:ind w:right="60" w:firstLine="441"/>
        <w:spacing w:after="0" w:line="303" w:lineRule="auto"/>
        <w:rPr>
          <w:sz w:val="20"/>
          <w:szCs w:val="20"/>
          <w:color w:val="auto"/>
        </w:rPr>
      </w:pPr>
      <w:r>
        <w:rPr>
          <w:rFonts w:ascii="Arial" w:cs="Arial" w:eastAsia="Arial" w:hAnsi="Arial"/>
          <w:sz w:val="17"/>
          <w:szCs w:val="17"/>
          <w:color w:val="auto"/>
        </w:rPr>
        <w:t>Our primary human capital management objective is to retain, attract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engaging and inclusive; and promote efficiency and a high performance culture by investing in technology and systems and providing tools and resources that enable employees at work.</w:t>
      </w:r>
    </w:p>
    <w:p>
      <w:pPr>
        <w:sectPr>
          <w:pgSz w:w="11880" w:h="15480" w:orient="portrait"/>
          <w:cols w:equalWidth="0" w:num="1">
            <w:col w:w="10020"/>
          </w:cols>
          <w:pgMar w:left="920" w:top="810" w:right="940" w:bottom="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20"/>
          </w:cols>
          <w:pgMar w:left="920" w:top="810" w:right="940" w:bottom="0" w:gutter="0" w:footer="0" w:header="0"/>
          <w:type w:val="continuous"/>
        </w:sectPr>
      </w:pPr>
    </w:p>
    <w:bookmarkStart w:id="32" w:name="page33"/>
    <w:bookmarkEnd w:id="32"/>
    <w:p>
      <w:pPr>
        <w:ind w:right="20" w:firstLine="441"/>
        <w:spacing w:after="0" w:line="264" w:lineRule="auto"/>
        <w:rPr>
          <w:sz w:val="20"/>
          <w:szCs w:val="20"/>
          <w:color w:val="auto"/>
        </w:rPr>
      </w:pPr>
      <w:r>
        <w:rPr>
          <w:rFonts w:ascii="Arial" w:cs="Arial" w:eastAsia="Arial" w:hAnsi="Arial"/>
          <w:sz w:val="19"/>
          <w:szCs w:val="19"/>
          <w:color w:val="auto"/>
        </w:rPr>
        <w:t>Neither we nor our general partner have officers or employees. All of our officers and other personnel necessary for our business to function are employed by GP LLC or PMC ULC. As of December 31, 2024, GP LLC and PMC ULC employed approximately 4,200 people in North America, of which approximately 3,000 were employed in the U.S. and approximately 1,200 were employed in Canada. Approximately 69% of our workforce (approximately 2,900 employees) are field employees, which includes approximately 800 employees in our trucking division. Our employees are located in 24 states in the U.S. and in four provinces in Canada. Approximately 200 employees are covered by six separate collective bargaining agreements, which are open for renegotiation in 2025 through 2027.</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 and Safety</w:t>
      </w:r>
    </w:p>
    <w:p>
      <w:pPr>
        <w:spacing w:after="0" w:line="248" w:lineRule="exact"/>
        <w:rPr>
          <w:sz w:val="20"/>
          <w:szCs w:val="20"/>
          <w:color w:val="auto"/>
        </w:rPr>
      </w:pPr>
    </w:p>
    <w:p>
      <w:pPr>
        <w:ind w:right="20" w:firstLine="706"/>
        <w:spacing w:after="0" w:line="261" w:lineRule="auto"/>
        <w:rPr>
          <w:sz w:val="20"/>
          <w:szCs w:val="20"/>
          <w:color w:val="auto"/>
        </w:rPr>
      </w:pPr>
      <w:r>
        <w:rPr>
          <w:rFonts w:ascii="Arial" w:cs="Arial" w:eastAsia="Arial" w:hAnsi="Arial"/>
          <w:sz w:val="19"/>
          <w:szCs w:val="19"/>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 In addition, the HSES Committee assists the Board in its evaluation and oversight of our management of HSES matters. Through the discharge of its oversight responsibilities, the HSES Committee facilitates the efforts of management to further strengthen our focus on Sustainability matters.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Training and Leadership Development</w:t>
      </w:r>
    </w:p>
    <w:p>
      <w:pPr>
        <w:spacing w:after="0" w:line="248" w:lineRule="exact"/>
        <w:rPr>
          <w:sz w:val="20"/>
          <w:szCs w:val="20"/>
          <w:color w:val="auto"/>
        </w:rPr>
      </w:pPr>
    </w:p>
    <w:p>
      <w:pPr>
        <w:ind w:right="140" w:firstLine="706"/>
        <w:spacing w:after="0" w:line="264" w:lineRule="auto"/>
        <w:rPr>
          <w:sz w:val="20"/>
          <w:szCs w:val="20"/>
          <w:color w:val="auto"/>
        </w:rPr>
      </w:pPr>
      <w:r>
        <w:rPr>
          <w:rFonts w:ascii="Arial" w:cs="Arial" w:eastAsia="Arial" w:hAnsi="Arial"/>
          <w:sz w:val="19"/>
          <w:szCs w:val="19"/>
          <w:color w:val="auto"/>
        </w:rPr>
        <w:t>We are committed to providing a professional work environment where all employees are treated with respect and dignity and provided with opportunities for growth and development. To foster the continued development of our people, we provide a comprehensive set of training programs covering subjects such as field operations, health and safety, regulatory compliance, technical training, management and leadership skills, and professional development. We also operate a number of internal development programs at all levels of the workforce that are designed to identify and develop future leaders of the organization. The Board receives reports from senior management on a regular basis regarding the status of succession plans with respect to executive leadership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Benefits</w:t>
      </w:r>
    </w:p>
    <w:p>
      <w:pPr>
        <w:spacing w:after="0" w:line="248" w:lineRule="exact"/>
        <w:rPr>
          <w:sz w:val="20"/>
          <w:szCs w:val="20"/>
          <w:color w:val="auto"/>
        </w:rPr>
      </w:pPr>
    </w:p>
    <w:p>
      <w:pPr>
        <w:ind w:firstLine="706"/>
        <w:spacing w:after="0" w:line="266" w:lineRule="auto"/>
        <w:rPr>
          <w:sz w:val="20"/>
          <w:szCs w:val="20"/>
          <w:color w:val="auto"/>
        </w:rPr>
      </w:pPr>
      <w:r>
        <w:rPr>
          <w:rFonts w:ascii="Arial" w:cs="Arial" w:eastAsia="Arial" w:hAnsi="Arial"/>
          <w:sz w:val="19"/>
          <w:szCs w:val="19"/>
          <w:color w:val="auto"/>
        </w:rPr>
        <w:t>Our compensation and benefits programs are designed to retain, attract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Tax Considerations</w:t>
      </w:r>
    </w:p>
    <w:p>
      <w:pPr>
        <w:spacing w:after="0" w:line="246"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b w:val="1"/>
          <w:bCs w:val="1"/>
          <w:i w:val="1"/>
          <w:iCs w:val="1"/>
          <w:color w:val="auto"/>
        </w:rPr>
        <w:t>The following is a brief summary of certain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ectPr>
          <w:pgSz w:w="11880" w:h="15480" w:orient="portrait"/>
          <w:cols w:equalWidth="0" w:num="1">
            <w:col w:w="10040"/>
          </w:cols>
          <w:pgMar w:left="920" w:top="81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0"/>
          </w:cols>
          <w:pgMar w:left="920" w:top="817" w:right="920" w:bottom="0" w:gutter="0" w:footer="0" w:header="0"/>
          <w:type w:val="continuous"/>
        </w:sectPr>
      </w:pPr>
    </w:p>
    <w:bookmarkStart w:id="33" w:name="page34"/>
    <w:bookmarkEnd w:id="33"/>
    <w:p>
      <w:pPr>
        <w:ind w:right="180"/>
        <w:spacing w:after="0" w:line="298" w:lineRule="auto"/>
        <w:rPr>
          <w:sz w:val="20"/>
          <w:szCs w:val="20"/>
          <w:color w:val="auto"/>
        </w:rPr>
      </w:pPr>
      <w:r>
        <w:rPr>
          <w:rFonts w:ascii="Arial" w:cs="Arial" w:eastAsia="Arial" w:hAnsi="Arial"/>
          <w:sz w:val="17"/>
          <w:szCs w:val="17"/>
          <w:b w:val="1"/>
          <w:bCs w:val="1"/>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of the shareholder’s investment in us under applicable U.S. federal, state and local law, as well as the law applicable in Canada and the Canadian provinces. Further, it is the responsibility of each shareholder to file all U.S. federal, Canadian, state, provincial and local tax returns that may be required of the shareholder. Also see Item 1A. “Risk Factors— Tax Risks.”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Status</w:t>
      </w:r>
    </w:p>
    <w:p>
      <w:pPr>
        <w:spacing w:after="0" w:line="248" w:lineRule="exact"/>
        <w:rPr>
          <w:sz w:val="20"/>
          <w:szCs w:val="20"/>
          <w:color w:val="auto"/>
        </w:rPr>
      </w:pPr>
    </w:p>
    <w:p>
      <w:pPr>
        <w:ind w:right="20" w:firstLine="706"/>
        <w:spacing w:after="0" w:line="251" w:lineRule="auto"/>
        <w:rPr>
          <w:sz w:val="20"/>
          <w:szCs w:val="20"/>
          <w:color w:val="auto"/>
        </w:rPr>
      </w:pPr>
      <w:r>
        <w:rPr>
          <w:rFonts w:ascii="Arial" w:cs="Arial" w:eastAsia="Arial" w:hAnsi="Arial"/>
          <w:sz w:val="20"/>
          <w:szCs w:val="20"/>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Consequences to U.S. Holders</w:t>
      </w:r>
    </w:p>
    <w:p>
      <w:pPr>
        <w:spacing w:after="0" w:line="248" w:lineRule="exact"/>
        <w:rPr>
          <w:sz w:val="20"/>
          <w:szCs w:val="20"/>
          <w:color w:val="auto"/>
        </w:rPr>
      </w:pPr>
    </w:p>
    <w:p>
      <w:pPr>
        <w:ind w:right="260" w:firstLine="706"/>
        <w:spacing w:after="0" w:line="258" w:lineRule="auto"/>
        <w:rPr>
          <w:sz w:val="20"/>
          <w:szCs w:val="20"/>
          <w:color w:val="auto"/>
        </w:rPr>
      </w:pPr>
      <w:r>
        <w:rPr>
          <w:rFonts w:ascii="Arial" w:cs="Arial" w:eastAsia="Arial" w:hAnsi="Arial"/>
          <w:sz w:val="20"/>
          <w:szCs w:val="20"/>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60" w:hanging="362"/>
        <w:spacing w:after="0"/>
        <w:tabs>
          <w:tab w:leader="none" w:pos="10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 individual who is a citizen or resident of the United States;</w:t>
      </w:r>
    </w:p>
    <w:p>
      <w:pPr>
        <w:spacing w:after="0" w:line="240" w:lineRule="exact"/>
        <w:rPr>
          <w:rFonts w:ascii="Arial" w:cs="Arial" w:eastAsia="Arial" w:hAnsi="Arial"/>
          <w:sz w:val="20"/>
          <w:szCs w:val="20"/>
          <w:color w:val="auto"/>
        </w:rPr>
      </w:pPr>
    </w:p>
    <w:p>
      <w:pPr>
        <w:ind w:left="1060" w:hanging="362"/>
        <w:spacing w:after="0" w:line="271" w:lineRule="auto"/>
        <w:tabs>
          <w:tab w:leader="none" w:pos="10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corporation (or other entity treated as a corporation for U.S. federal income tax purposes) created or organized in or under the laws of the United States, any state thereof or the District of Columbia;</w:t>
      </w:r>
    </w:p>
    <w:p>
      <w:pPr>
        <w:spacing w:after="0" w:line="186" w:lineRule="exact"/>
        <w:rPr>
          <w:rFonts w:ascii="Arial" w:cs="Arial" w:eastAsia="Arial" w:hAnsi="Arial"/>
          <w:sz w:val="20"/>
          <w:szCs w:val="20"/>
          <w:color w:val="auto"/>
        </w:rPr>
      </w:pPr>
    </w:p>
    <w:p>
      <w:pPr>
        <w:ind w:left="1060" w:hanging="362"/>
        <w:spacing w:after="0"/>
        <w:tabs>
          <w:tab w:leader="none" w:pos="10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 estate the income of which is subject to U.S. federal income tax regardless of its source; or</w:t>
      </w:r>
    </w:p>
    <w:p>
      <w:pPr>
        <w:spacing w:after="0" w:line="240" w:lineRule="exact"/>
        <w:rPr>
          <w:rFonts w:ascii="Arial" w:cs="Arial" w:eastAsia="Arial" w:hAnsi="Arial"/>
          <w:sz w:val="20"/>
          <w:szCs w:val="20"/>
          <w:color w:val="auto"/>
        </w:rPr>
      </w:pPr>
    </w:p>
    <w:p>
      <w:pPr>
        <w:ind w:left="1060" w:right="40" w:hanging="362"/>
        <w:spacing w:after="0" w:line="325"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Distributions</w:t>
      </w:r>
    </w:p>
    <w:p>
      <w:pPr>
        <w:spacing w:after="0" w:line="248"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Arial" w:cs="Arial" w:eastAsia="Arial" w:hAnsi="Arial"/>
          <w:sz w:val="17"/>
          <w:szCs w:val="17"/>
          <w:b w:val="1"/>
          <w:bCs w:val="1"/>
          <w:i w:val="1"/>
          <w:iCs w:val="1"/>
          <w:color w:val="auto"/>
        </w:rPr>
        <w:t>—</w:t>
      </w:r>
      <w:r>
        <w:rPr>
          <w:rFonts w:ascii="Arial" w:cs="Arial" w:eastAsia="Arial" w:hAnsi="Arial"/>
          <w:sz w:val="17"/>
          <w:szCs w:val="17"/>
          <w:color w:val="auto"/>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Both AAP and PAA have made elections permitted by Section 754 of the Code. As a result, our acquisition of AAP</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units in connection with our initial public offering (“IPO”) and in connection with exchanges since the IPO by the holders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our Class B shares and the AAP units not held by us (“Legacy Owners”) and their permitted transferees of their AAP units and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Class B shares for Class A shares have resulted in basis adjustments with respect to our interest in the assets of AAP (and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indirectly in PAA). Such adjustments have resulted in depreciation and amortization deductions that we anticipate will offset a</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substantial portion of our taxable income for an extended period of time. In addition, future exchanges of AAP units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Class B shares for our Class A shares will result in additional basis adjustments with respect to our interest in the assets of AAP</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(and indirectly in PAA). We expect to benefit from additional tax deductions resulting from those adjustments, the amount of</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which will vary depending on the value of the Class A shares at the time of the exchange.</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040"/>
          </w:cols>
          <w:pgMar w:left="920" w:top="580" w:right="920" w:bottom="0" w:gutter="0" w:footer="0" w:header="0"/>
          <w:type w:val="continuous"/>
        </w:sectPr>
      </w:pPr>
    </w:p>
    <w:bookmarkStart w:id="34" w:name="page35"/>
    <w:bookmarkEnd w:id="34"/>
    <w:p>
      <w:pPr>
        <w:ind w:right="40" w:firstLine="706"/>
        <w:spacing w:after="0" w:line="266" w:lineRule="auto"/>
        <w:rPr>
          <w:sz w:val="20"/>
          <w:szCs w:val="20"/>
          <w:color w:val="auto"/>
        </w:rPr>
      </w:pPr>
      <w:r>
        <w:rPr>
          <w:rFonts w:ascii="Arial" w:cs="Arial" w:eastAsia="Arial" w:hAnsi="Arial"/>
          <w:sz w:val="19"/>
          <w:szCs w:val="19"/>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93" w:lineRule="exact"/>
        <w:rPr>
          <w:sz w:val="20"/>
          <w:szCs w:val="20"/>
          <w:color w:val="auto"/>
        </w:rPr>
      </w:pPr>
    </w:p>
    <w:p>
      <w:pPr>
        <w:ind w:right="100" w:firstLine="706"/>
        <w:spacing w:after="0" w:line="325" w:lineRule="auto"/>
        <w:rPr>
          <w:sz w:val="20"/>
          <w:szCs w:val="20"/>
          <w:color w:val="auto"/>
        </w:rPr>
      </w:pPr>
      <w:r>
        <w:rPr>
          <w:rFonts w:ascii="Arial" w:cs="Arial" w:eastAsia="Arial" w:hAnsi="Arial"/>
          <w:sz w:val="17"/>
          <w:szCs w:val="17"/>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Gain on Disposition of Class A Shares</w:t>
      </w:r>
    </w:p>
    <w:p>
      <w:pPr>
        <w:spacing w:after="0" w:line="248" w:lineRule="exact"/>
        <w:rPr>
          <w:sz w:val="20"/>
          <w:szCs w:val="20"/>
          <w:color w:val="auto"/>
        </w:rPr>
      </w:pPr>
    </w:p>
    <w:p>
      <w:pPr>
        <w:ind w:right="80" w:firstLine="706"/>
        <w:spacing w:after="0" w:line="264" w:lineRule="auto"/>
        <w:rPr>
          <w:sz w:val="20"/>
          <w:szCs w:val="20"/>
          <w:color w:val="auto"/>
        </w:rPr>
      </w:pPr>
      <w:r>
        <w:rPr>
          <w:rFonts w:ascii="Arial" w:cs="Arial" w:eastAsia="Arial" w:hAnsi="Arial"/>
          <w:sz w:val="19"/>
          <w:szCs w:val="19"/>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Backup Withholding and Information Reporting</w:t>
      </w:r>
    </w:p>
    <w:p>
      <w:pPr>
        <w:spacing w:after="0" w:line="248" w:lineRule="exact"/>
        <w:rPr>
          <w:sz w:val="20"/>
          <w:szCs w:val="20"/>
          <w:color w:val="auto"/>
        </w:rPr>
      </w:pPr>
    </w:p>
    <w:p>
      <w:pPr>
        <w:ind w:right="220" w:firstLine="706"/>
        <w:spacing w:after="0" w:line="303"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66" w:lineRule="exact"/>
        <w:rPr>
          <w:sz w:val="20"/>
          <w:szCs w:val="20"/>
          <w:color w:val="auto"/>
        </w:rPr>
      </w:pPr>
    </w:p>
    <w:p>
      <w:pPr>
        <w:ind w:firstLine="706"/>
        <w:spacing w:after="0" w:line="251" w:lineRule="auto"/>
        <w:rPr>
          <w:sz w:val="20"/>
          <w:szCs w:val="20"/>
          <w:color w:val="auto"/>
        </w:rPr>
      </w:pPr>
      <w:r>
        <w:rPr>
          <w:rFonts w:ascii="Arial" w:cs="Arial" w:eastAsia="Arial" w:hAnsi="Arial"/>
          <w:sz w:val="20"/>
          <w:szCs w:val="20"/>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Consequences to Non-U.S. Holders</w:t>
      </w:r>
    </w:p>
    <w:p>
      <w:pPr>
        <w:spacing w:after="0" w:line="248" w:lineRule="exact"/>
        <w:rPr>
          <w:sz w:val="20"/>
          <w:szCs w:val="20"/>
          <w:color w:val="auto"/>
        </w:rPr>
      </w:pPr>
    </w:p>
    <w:p>
      <w:pPr>
        <w:jc w:val="both"/>
        <w:ind w:right="100" w:firstLine="706"/>
        <w:spacing w:after="0" w:line="258" w:lineRule="auto"/>
        <w:rPr>
          <w:sz w:val="20"/>
          <w:szCs w:val="20"/>
          <w:color w:val="auto"/>
        </w:rPr>
      </w:pPr>
      <w:r>
        <w:rPr>
          <w:rFonts w:ascii="Arial" w:cs="Arial" w:eastAsia="Arial" w:hAnsi="Arial"/>
          <w:sz w:val="20"/>
          <w:szCs w:val="20"/>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40"/>
          </w:cols>
          <w:pgMar w:left="920" w:top="582" w:right="920" w:bottom="0" w:gutter="0" w:footer="0" w:header="0"/>
          <w:type w:val="continuous"/>
        </w:sectPr>
      </w:pPr>
    </w:p>
    <w:bookmarkStart w:id="35" w:name="page36"/>
    <w:bookmarkEnd w:id="35"/>
    <w:p>
      <w:pPr>
        <w:ind w:left="700"/>
        <w:spacing w:after="0"/>
        <w:rPr>
          <w:sz w:val="20"/>
          <w:szCs w:val="20"/>
          <w:color w:val="auto"/>
        </w:rPr>
      </w:pPr>
      <w:r>
        <w:rPr>
          <w:rFonts w:ascii="Arial" w:cs="Arial" w:eastAsia="Arial" w:hAnsi="Arial"/>
          <w:sz w:val="20"/>
          <w:szCs w:val="20"/>
          <w:b w:val="1"/>
          <w:bCs w:val="1"/>
          <w:color w:val="auto"/>
        </w:rPr>
        <w:t>Distributions</w:t>
      </w:r>
    </w:p>
    <w:p>
      <w:pPr>
        <w:spacing w:after="0" w:line="248" w:lineRule="exact"/>
        <w:rPr>
          <w:sz w:val="20"/>
          <w:szCs w:val="20"/>
          <w:color w:val="auto"/>
        </w:rPr>
      </w:pPr>
    </w:p>
    <w:p>
      <w:pPr>
        <w:ind w:firstLine="706"/>
        <w:spacing w:after="0" w:line="293"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73" w:lineRule="exact"/>
        <w:rPr>
          <w:sz w:val="20"/>
          <w:szCs w:val="20"/>
          <w:color w:val="auto"/>
        </w:rPr>
      </w:pPr>
    </w:p>
    <w:p>
      <w:pPr>
        <w:ind w:right="20" w:firstLine="706"/>
        <w:spacing w:after="0" w:line="258" w:lineRule="auto"/>
        <w:rPr>
          <w:sz w:val="20"/>
          <w:szCs w:val="20"/>
          <w:color w:val="auto"/>
        </w:rPr>
      </w:pPr>
      <w:r>
        <w:rPr>
          <w:rFonts w:ascii="Arial" w:cs="Arial" w:eastAsia="Arial" w:hAnsi="Arial"/>
          <w:sz w:val="20"/>
          <w:szCs w:val="20"/>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99" w:lineRule="exact"/>
        <w:rPr>
          <w:sz w:val="20"/>
          <w:szCs w:val="20"/>
          <w:color w:val="auto"/>
        </w:rPr>
      </w:pPr>
    </w:p>
    <w:p>
      <w:pPr>
        <w:jc w:val="both"/>
        <w:ind w:right="100" w:firstLine="706"/>
        <w:spacing w:after="0" w:line="294" w:lineRule="auto"/>
        <w:rPr>
          <w:sz w:val="20"/>
          <w:szCs w:val="20"/>
          <w:color w:val="auto"/>
        </w:rPr>
      </w:pPr>
      <w:r>
        <w:rPr>
          <w:rFonts w:ascii="Arial" w:cs="Arial" w:eastAsia="Arial" w:hAnsi="Arial"/>
          <w:sz w:val="17"/>
          <w:szCs w:val="17"/>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w:t>
      </w:r>
    </w:p>
    <w:p>
      <w:pPr>
        <w:spacing w:after="0" w:line="2"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Gain on Disposition of Class A Shares</w:t>
      </w:r>
    </w:p>
    <w:p>
      <w:pPr>
        <w:spacing w:after="0" w:line="246" w:lineRule="exact"/>
        <w:rPr>
          <w:sz w:val="20"/>
          <w:szCs w:val="20"/>
          <w:color w:val="auto"/>
        </w:rPr>
      </w:pPr>
    </w:p>
    <w:p>
      <w:pPr>
        <w:ind w:firstLine="706"/>
        <w:spacing w:after="0" w:line="259" w:lineRule="auto"/>
        <w:rPr>
          <w:sz w:val="20"/>
          <w:szCs w:val="20"/>
          <w:color w:val="auto"/>
        </w:rPr>
      </w:pPr>
      <w:r>
        <w:rPr>
          <w:rFonts w:ascii="Arial" w:cs="Arial" w:eastAsia="Arial" w:hAnsi="Arial"/>
          <w:sz w:val="20"/>
          <w:szCs w:val="20"/>
          <w:color w:val="auto"/>
        </w:rPr>
        <w:t>Subject to the discussion below under “</w:t>
      </w:r>
      <w:r>
        <w:rPr>
          <w:rFonts w:ascii="Arial" w:cs="Arial" w:eastAsia="Arial" w:hAnsi="Arial"/>
          <w:sz w:val="20"/>
          <w:szCs w:val="20"/>
          <w:b w:val="1"/>
          <w:bCs w:val="1"/>
          <w:i w:val="1"/>
          <w:iCs w:val="1"/>
          <w:color w:val="auto"/>
        </w:rPr>
        <w:t>—</w:t>
      </w:r>
      <w:r>
        <w:rPr>
          <w:rFonts w:ascii="Arial" w:cs="Arial" w:eastAsia="Arial" w:hAnsi="Arial"/>
          <w:sz w:val="20"/>
          <w:szCs w:val="20"/>
          <w:color w:val="auto"/>
        </w:rPr>
        <w:t>Backup Withholding and Information Reporting,” a non-U.S. holder generally will not be subject to U.S. federal income or withholding tax on any gain realized upon the sale or other disposition of our Class A shares unless:</w:t>
      </w:r>
    </w:p>
    <w:p>
      <w:pPr>
        <w:spacing w:after="0" w:line="198" w:lineRule="exact"/>
        <w:rPr>
          <w:sz w:val="20"/>
          <w:szCs w:val="20"/>
          <w:color w:val="auto"/>
        </w:rPr>
      </w:pPr>
    </w:p>
    <w:p>
      <w:pPr>
        <w:ind w:left="1060" w:hanging="362"/>
        <w:spacing w:after="0"/>
        <w:tabs>
          <w:tab w:leader="none" w:pos="10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non-U.S. holder is an individual who is present in the United States for a period or periods aggregating</w:t>
      </w:r>
    </w:p>
    <w:p>
      <w:pPr>
        <w:spacing w:after="0" w:line="36" w:lineRule="exact"/>
        <w:rPr>
          <w:rFonts w:ascii="Arial" w:cs="Arial" w:eastAsia="Arial" w:hAnsi="Arial"/>
          <w:sz w:val="19"/>
          <w:szCs w:val="19"/>
          <w:color w:val="auto"/>
        </w:rPr>
      </w:pPr>
    </w:p>
    <w:p>
      <w:pPr>
        <w:ind w:left="1060" w:right="80"/>
        <w:spacing w:after="0" w:line="250" w:lineRule="auto"/>
        <w:rPr>
          <w:rFonts w:ascii="Arial" w:cs="Arial" w:eastAsia="Arial" w:hAnsi="Arial"/>
          <w:sz w:val="19"/>
          <w:szCs w:val="19"/>
          <w:color w:val="auto"/>
        </w:rPr>
      </w:pPr>
      <w:r>
        <w:rPr>
          <w:rFonts w:ascii="Arial" w:cs="Arial" w:eastAsia="Arial" w:hAnsi="Arial"/>
          <w:sz w:val="20"/>
          <w:szCs w:val="20"/>
          <w:color w:val="auto"/>
        </w:rPr>
        <w:t>183 days or more during the calendar year in which the sale or disposition occurs and certain other conditions are met;</w:t>
      </w:r>
    </w:p>
    <w:p>
      <w:pPr>
        <w:spacing w:after="0" w:line="207" w:lineRule="exact"/>
        <w:rPr>
          <w:rFonts w:ascii="Arial" w:cs="Arial" w:eastAsia="Arial" w:hAnsi="Arial"/>
          <w:sz w:val="19"/>
          <w:szCs w:val="19"/>
          <w:color w:val="auto"/>
        </w:rPr>
      </w:pPr>
    </w:p>
    <w:p>
      <w:pPr>
        <w:ind w:left="1060" w:hanging="362"/>
        <w:spacing w:after="0" w:line="258" w:lineRule="auto"/>
        <w:tabs>
          <w:tab w:leader="none" w:pos="10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99" w:lineRule="exact"/>
        <w:rPr>
          <w:rFonts w:ascii="Arial" w:cs="Arial" w:eastAsia="Arial" w:hAnsi="Arial"/>
          <w:sz w:val="20"/>
          <w:szCs w:val="20"/>
          <w:color w:val="auto"/>
        </w:rPr>
      </w:pPr>
    </w:p>
    <w:p>
      <w:pPr>
        <w:ind w:left="1060" w:right="120" w:hanging="362"/>
        <w:spacing w:after="0" w:line="258" w:lineRule="auto"/>
        <w:tabs>
          <w:tab w:leader="none" w:pos="10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99" w:lineRule="exact"/>
        <w:rPr>
          <w:sz w:val="20"/>
          <w:szCs w:val="20"/>
          <w:color w:val="auto"/>
        </w:rPr>
      </w:pPr>
    </w:p>
    <w:p>
      <w:pPr>
        <w:jc w:val="both"/>
        <w:ind w:right="80" w:firstLine="706"/>
        <w:spacing w:after="0" w:line="254" w:lineRule="auto"/>
        <w:rPr>
          <w:sz w:val="20"/>
          <w:szCs w:val="20"/>
          <w:color w:val="auto"/>
        </w:rPr>
      </w:pPr>
      <w:r>
        <w:rPr>
          <w:rFonts w:ascii="Arial" w:cs="Arial" w:eastAsia="Arial" w:hAnsi="Arial"/>
          <w:sz w:val="20"/>
          <w:szCs w:val="20"/>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20"/>
          </w:cols>
          <w:pgMar w:left="920" w:top="575" w:right="940" w:bottom="0" w:gutter="0" w:footer="0" w:header="0"/>
          <w:type w:val="continuous"/>
        </w:sectPr>
      </w:pPr>
    </w:p>
    <w:bookmarkStart w:id="36" w:name="page37"/>
    <w:bookmarkEnd w:id="36"/>
    <w:p>
      <w:pPr>
        <w:ind w:right="200" w:firstLine="706"/>
        <w:spacing w:after="0" w:line="264" w:lineRule="auto"/>
        <w:rPr>
          <w:sz w:val="20"/>
          <w:szCs w:val="20"/>
          <w:color w:val="auto"/>
        </w:rPr>
      </w:pPr>
      <w:r>
        <w:rPr>
          <w:rFonts w:ascii="Arial" w:cs="Arial" w:eastAsia="Arial" w:hAnsi="Arial"/>
          <w:sz w:val="19"/>
          <w:szCs w:val="19"/>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99" w:lineRule="exact"/>
        <w:rPr>
          <w:sz w:val="20"/>
          <w:szCs w:val="20"/>
          <w:color w:val="auto"/>
        </w:rPr>
      </w:pPr>
    </w:p>
    <w:p>
      <w:pPr>
        <w:ind w:right="40" w:firstLine="794"/>
        <w:spacing w:after="0" w:line="295"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74" w:lineRule="exact"/>
        <w:rPr>
          <w:sz w:val="20"/>
          <w:szCs w:val="20"/>
          <w:color w:val="auto"/>
        </w:rPr>
      </w:pPr>
    </w:p>
    <w:p>
      <w:pPr>
        <w:jc w:val="both"/>
        <w:ind w:right="540" w:firstLine="794"/>
        <w:spacing w:after="0" w:line="258" w:lineRule="auto"/>
        <w:rPr>
          <w:sz w:val="20"/>
          <w:szCs w:val="20"/>
          <w:color w:val="auto"/>
        </w:rPr>
      </w:pPr>
      <w:r>
        <w:rPr>
          <w:rFonts w:ascii="Arial" w:cs="Arial" w:eastAsia="Arial" w:hAnsi="Arial"/>
          <w:sz w:val="20"/>
          <w:szCs w:val="20"/>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Backup Withholding and Information Reporting</w:t>
      </w:r>
    </w:p>
    <w:p>
      <w:pPr>
        <w:spacing w:after="0" w:line="248" w:lineRule="exact"/>
        <w:rPr>
          <w:sz w:val="20"/>
          <w:szCs w:val="20"/>
          <w:color w:val="auto"/>
        </w:rPr>
      </w:pPr>
    </w:p>
    <w:p>
      <w:pPr>
        <w:ind w:right="100" w:firstLine="706"/>
        <w:spacing w:after="0" w:line="251" w:lineRule="auto"/>
        <w:rPr>
          <w:sz w:val="20"/>
          <w:szCs w:val="20"/>
          <w:color w:val="auto"/>
        </w:rPr>
      </w:pPr>
      <w:r>
        <w:rPr>
          <w:rFonts w:ascii="Arial" w:cs="Arial" w:eastAsia="Arial" w:hAnsi="Arial"/>
          <w:sz w:val="20"/>
          <w:szCs w:val="20"/>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209" w:lineRule="exact"/>
        <w:rPr>
          <w:sz w:val="20"/>
          <w:szCs w:val="20"/>
          <w:color w:val="auto"/>
        </w:rPr>
      </w:pPr>
    </w:p>
    <w:p>
      <w:pPr>
        <w:ind w:firstLine="706"/>
        <w:spacing w:after="0" w:line="262" w:lineRule="auto"/>
        <w:rPr>
          <w:sz w:val="20"/>
          <w:szCs w:val="20"/>
          <w:color w:val="auto"/>
        </w:rPr>
      </w:pPr>
      <w:r>
        <w:rPr>
          <w:rFonts w:ascii="Arial" w:cs="Arial" w:eastAsia="Arial" w:hAnsi="Arial"/>
          <w:sz w:val="19"/>
          <w:szCs w:val="19"/>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202" w:lineRule="exact"/>
        <w:rPr>
          <w:sz w:val="20"/>
          <w:szCs w:val="20"/>
          <w:color w:val="auto"/>
        </w:rPr>
      </w:pPr>
    </w:p>
    <w:p>
      <w:pPr>
        <w:jc w:val="both"/>
        <w:ind w:right="80" w:firstLine="706"/>
        <w:spacing w:after="0" w:line="278" w:lineRule="auto"/>
        <w:rPr>
          <w:sz w:val="20"/>
          <w:szCs w:val="20"/>
          <w:color w:val="auto"/>
        </w:rPr>
      </w:pPr>
      <w:r>
        <w:rPr>
          <w:rFonts w:ascii="Arial" w:cs="Arial" w:eastAsia="Arial" w:hAnsi="Arial"/>
          <w:sz w:val="19"/>
          <w:szCs w:val="19"/>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40"/>
          </w:cols>
          <w:pgMar w:left="920" w:top="582" w:right="920" w:bottom="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b w:val="1"/>
          <w:bCs w:val="1"/>
          <w:i w:val="1"/>
          <w:iCs w:val="1"/>
          <w:color w:val="auto"/>
        </w:rPr>
        <w:t>Additional Withholding Requirements under FATCA</w:t>
      </w:r>
    </w:p>
    <w:p>
      <w:pPr>
        <w:spacing w:after="0" w:line="248" w:lineRule="exact"/>
        <w:rPr>
          <w:sz w:val="20"/>
          <w:szCs w:val="20"/>
          <w:color w:val="auto"/>
        </w:rPr>
      </w:pPr>
    </w:p>
    <w:p>
      <w:pPr>
        <w:ind w:right="20" w:firstLine="706"/>
        <w:spacing w:after="0" w:line="292"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46" w:lineRule="exact"/>
        <w:rPr>
          <w:sz w:val="20"/>
          <w:szCs w:val="20"/>
          <w:color w:val="auto"/>
        </w:rPr>
      </w:pPr>
    </w:p>
    <w:p>
      <w:pPr>
        <w:ind w:firstLine="706"/>
        <w:spacing w:after="0" w:line="286" w:lineRule="auto"/>
        <w:rPr>
          <w:sz w:val="20"/>
          <w:szCs w:val="20"/>
          <w:color w:val="auto"/>
        </w:rPr>
      </w:pPr>
      <w:r>
        <w:rPr>
          <w:rFonts w:ascii="Arial" w:cs="Arial" w:eastAsia="Arial" w:hAnsi="Arial"/>
          <w:sz w:val="17"/>
          <w:szCs w:val="17"/>
          <w:color w:val="auto"/>
        </w:rPr>
        <w:t xml:space="preserve">We make available, free of charge on our Internet website at </w:t>
      </w:r>
      <w:r>
        <w:rPr>
          <w:rFonts w:ascii="Arial" w:cs="Arial" w:eastAsia="Arial" w:hAnsi="Arial"/>
          <w:sz w:val="17"/>
          <w:szCs w:val="17"/>
          <w:b w:val="1"/>
          <w:bCs w:val="1"/>
          <w:i w:val="1"/>
          <w:iCs w:val="1"/>
          <w:color w:val="auto"/>
        </w:rPr>
        <w:t>www.plains.com</w:t>
      </w:r>
      <w:r>
        <w:rPr>
          <w:rFonts w:ascii="Arial" w:cs="Arial" w:eastAsia="Arial" w:hAnsi="Arial"/>
          <w:sz w:val="17"/>
          <w:szCs w:val="17"/>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7"/>
          <w:szCs w:val="17"/>
          <w:b w:val="1"/>
          <w:bCs w:val="1"/>
          <w:i w:val="1"/>
          <w:iCs w:val="1"/>
          <w:color w:val="auto"/>
        </w:rPr>
        <w:t>http://www.sec.gov</w:t>
      </w:r>
      <w:r>
        <w:rPr>
          <w:rFonts w:ascii="Arial" w:cs="Arial" w:eastAsia="Arial" w:hAnsi="Arial"/>
          <w:sz w:val="17"/>
          <w:szCs w:val="17"/>
          <w:color w:val="auto"/>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20"/>
          </w:cols>
          <w:pgMar w:left="920" w:top="575" w:right="94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Risk Factors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Inherent in an Investment in Us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Our partnership structure carries inherent risks, including but not limited to:</w:t>
      </w:r>
    </w:p>
    <w:p>
      <w:pPr>
        <w:spacing w:after="0" w:line="123" w:lineRule="exact"/>
        <w:rPr>
          <w:sz w:val="20"/>
          <w:szCs w:val="20"/>
          <w:color w:val="auto"/>
        </w:rPr>
      </w:pPr>
    </w:p>
    <w:p>
      <w:pPr>
        <w:ind w:left="700" w:right="80" w:hanging="355"/>
        <w:spacing w:after="0" w:line="271"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cash flow will be entirely dependent upon the ability of PAA to make cash distributions to AAP, and the ability of AAP to make cash distributions to us;</w:t>
      </w:r>
    </w:p>
    <w:p>
      <w:pPr>
        <w:spacing w:after="0" w:line="68" w:lineRule="exact"/>
        <w:rPr>
          <w:rFonts w:ascii="Arial" w:cs="Arial" w:eastAsia="Arial" w:hAnsi="Arial"/>
          <w:sz w:val="20"/>
          <w:szCs w:val="20"/>
          <w:color w:val="auto"/>
        </w:rPr>
      </w:pPr>
    </w:p>
    <w:p>
      <w:pPr>
        <w:ind w:left="700" w:right="740" w:hanging="355"/>
        <w:spacing w:after="0" w:line="271"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distributions AAP is entitled to receive may fluctuate, which may reduce cash distributions to our Class A shareholders;</w:t>
      </w:r>
    </w:p>
    <w:p>
      <w:pPr>
        <w:spacing w:after="0" w:line="68" w:lineRule="exact"/>
        <w:rPr>
          <w:rFonts w:ascii="Arial" w:cs="Arial" w:eastAsia="Arial" w:hAnsi="Arial"/>
          <w:sz w:val="20"/>
          <w:szCs w:val="20"/>
          <w:color w:val="auto"/>
        </w:rPr>
      </w:pPr>
    </w:p>
    <w:p>
      <w:pPr>
        <w:ind w:left="700" w:right="140" w:hanging="355"/>
        <w:spacing w:after="0" w:line="271"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if distributions on our Class A shares are not paid with respect to any fiscal quarter, our Class A shareholders will not be entitled to receive that quarter’s payments in the future;</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amount of cash that we and PAA distribute each quarter may limit our ability to grow;</w:t>
      </w:r>
    </w:p>
    <w:p>
      <w:pPr>
        <w:spacing w:after="0" w:line="122" w:lineRule="exact"/>
        <w:rPr>
          <w:rFonts w:ascii="Arial" w:cs="Arial" w:eastAsia="Arial" w:hAnsi="Arial"/>
          <w:sz w:val="20"/>
          <w:szCs w:val="20"/>
          <w:color w:val="auto"/>
        </w:rPr>
      </w:pPr>
    </w:p>
    <w:p>
      <w:pPr>
        <w:ind w:left="700" w:right="440" w:hanging="355"/>
        <w:spacing w:after="0" w:line="271"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Class B shareholders own a significant number of shares, which may make the removal of our general partner difficult; and</w:t>
      </w:r>
    </w:p>
    <w:p>
      <w:pPr>
        <w:spacing w:after="0" w:line="68" w:lineRule="exact"/>
        <w:rPr>
          <w:rFonts w:ascii="Arial" w:cs="Arial" w:eastAsia="Arial" w:hAnsi="Arial"/>
          <w:sz w:val="20"/>
          <w:szCs w:val="20"/>
          <w:color w:val="auto"/>
        </w:rPr>
      </w:pPr>
    </w:p>
    <w:p>
      <w:pPr>
        <w:ind w:left="700" w:right="600" w:hanging="355"/>
        <w:spacing w:after="0" w:line="278"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Conflicts of Interest</w:t>
      </w:r>
    </w:p>
    <w:p>
      <w:pPr>
        <w:spacing w:after="0" w:line="248"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color w:val="auto"/>
        </w:rPr>
        <w:t>Our existing organizational structure and the current and future relationships among us, PAA, our respective general partners, the Legacy Owners and affiliated entities present the potential for conflicts of interest.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PAA’s Business</w:t>
      </w:r>
    </w:p>
    <w:p>
      <w:pPr>
        <w:spacing w:after="0" w:line="248"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PAA’s business, results of operations, financial condition, cash flows and unit price can be adversely affected by many factors including but not limited to:</w:t>
      </w:r>
    </w:p>
    <w:p>
      <w:pPr>
        <w:spacing w:after="0" w:line="193" w:lineRule="exact"/>
        <w:rPr>
          <w:sz w:val="20"/>
          <w:szCs w:val="20"/>
          <w:color w:val="auto"/>
        </w:rPr>
      </w:pPr>
    </w:p>
    <w:p>
      <w:pPr>
        <w:ind w:left="700" w:right="80" w:hanging="355"/>
        <w:spacing w:after="0" w:line="252" w:lineRule="auto"/>
        <w:tabs>
          <w:tab w:leader="none" w:pos="70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the volume of crude oil, natural gas and NGL shipped, processed, purchased, stored, fractionated and/or gathered at or through the use of PAA’s pipelines and facilities, which can be negatively impacted by a variety of factors outside of its control;</w:t>
      </w:r>
    </w:p>
    <w:p>
      <w:pPr>
        <w:ind w:left="700" w:right="140" w:hanging="355"/>
        <w:spacing w:after="0" w:line="250" w:lineRule="auto"/>
        <w:tabs>
          <w:tab w:leader="none" w:pos="70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competition in PAA’s industry, including recontracting and other risks associated with the general capacity overbuild of midstream energy infrastructure in some of the areas where PAA operates;</w:t>
      </w:r>
    </w:p>
    <w:p>
      <w:pPr>
        <w:spacing w:after="0" w:line="30" w:lineRule="exact"/>
        <w:rPr>
          <w:rFonts w:ascii="Arial" w:cs="Arial" w:eastAsia="Arial" w:hAnsi="Arial"/>
          <w:sz w:val="20"/>
          <w:szCs w:val="20"/>
          <w:b w:val="1"/>
          <w:bCs w:val="1"/>
          <w:color w:val="auto"/>
        </w:rPr>
      </w:pPr>
    </w:p>
    <w:p>
      <w:pPr>
        <w:ind w:left="700" w:right="280" w:hanging="355"/>
        <w:spacing w:after="0" w:line="271" w:lineRule="auto"/>
        <w:tabs>
          <w:tab w:leader="none" w:pos="70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changes in supply and demand for the products PAA handles and the services it provides, which can be caused by a variety of factors outside of its control;</w:t>
      </w:r>
    </w:p>
    <w:p>
      <w:pPr>
        <w:spacing w:after="0" w:line="9" w:lineRule="exact"/>
        <w:rPr>
          <w:rFonts w:ascii="Arial" w:cs="Arial" w:eastAsia="Arial" w:hAnsi="Arial"/>
          <w:sz w:val="20"/>
          <w:szCs w:val="20"/>
          <w:b w:val="1"/>
          <w:bCs w:val="1"/>
          <w:color w:val="auto"/>
        </w:rPr>
      </w:pPr>
    </w:p>
    <w:p>
      <w:pPr>
        <w:ind w:left="700" w:right="420" w:hanging="355"/>
        <w:spacing w:after="0" w:line="271" w:lineRule="auto"/>
        <w:tabs>
          <w:tab w:leader="none" w:pos="70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natural disasters, catastrophes, terrorist attacks (including eco-terrorist attacks), process safety failures, equipment failures or other events, including pipeline or facility accidents;</w:t>
      </w:r>
    </w:p>
    <w:p>
      <w:pPr>
        <w:spacing w:after="0" w:line="9" w:lineRule="exact"/>
        <w:rPr>
          <w:rFonts w:ascii="Arial" w:cs="Arial" w:eastAsia="Arial" w:hAnsi="Arial"/>
          <w:sz w:val="20"/>
          <w:szCs w:val="20"/>
          <w:b w:val="1"/>
          <w:bCs w:val="1"/>
          <w:color w:val="auto"/>
        </w:rPr>
      </w:pPr>
    </w:p>
    <w:p>
      <w:pPr>
        <w:ind w:left="700" w:right="400" w:hanging="355"/>
        <w:spacing w:after="0" w:line="271" w:lineRule="auto"/>
        <w:tabs>
          <w:tab w:leader="none" w:pos="70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information or operations technology failures, including cybersecurity attacks, data breaches and other disruptions affecting PAA or its service providers;</w:t>
      </w:r>
    </w:p>
    <w:p>
      <w:pPr>
        <w:spacing w:after="0" w:line="2" w:lineRule="exact"/>
        <w:rPr>
          <w:rFonts w:ascii="Arial" w:cs="Arial" w:eastAsia="Arial" w:hAnsi="Arial"/>
          <w:sz w:val="20"/>
          <w:szCs w:val="20"/>
          <w:b w:val="1"/>
          <w:bCs w:val="1"/>
          <w:color w:val="auto"/>
        </w:rPr>
      </w:pPr>
    </w:p>
    <w:p>
      <w:pPr>
        <w:ind w:left="700" w:right="260" w:hanging="355"/>
        <w:spacing w:after="0" w:line="271"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risks arising from climate change, energy conservation measures, or initiatives that stimulate demand for alternative forms of energy;</w:t>
      </w:r>
    </w:p>
    <w:p>
      <w:pPr>
        <w:spacing w:after="0" w:line="16" w:lineRule="exact"/>
        <w:rPr>
          <w:rFonts w:ascii="Arial" w:cs="Arial" w:eastAsia="Arial" w:hAnsi="Arial"/>
          <w:sz w:val="20"/>
          <w:szCs w:val="20"/>
          <w:color w:val="auto"/>
        </w:rPr>
      </w:pPr>
    </w:p>
    <w:p>
      <w:pPr>
        <w:ind w:left="700" w:right="240" w:hanging="355"/>
        <w:spacing w:after="0" w:line="271" w:lineRule="auto"/>
        <w:tabs>
          <w:tab w:leader="none" w:pos="70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societal and political pressures from various groups, including opposition to the development or operation of PAA’s pipelines and facilities;</w:t>
      </w:r>
    </w:p>
    <w:p>
      <w:pPr>
        <w:spacing w:after="0" w:line="2" w:lineRule="exact"/>
        <w:rPr>
          <w:rFonts w:ascii="Arial" w:cs="Arial" w:eastAsia="Arial" w:hAnsi="Arial"/>
          <w:sz w:val="20"/>
          <w:szCs w:val="20"/>
          <w:b w:val="1"/>
          <w:bCs w:val="1"/>
          <w:color w:val="auto"/>
        </w:rPr>
      </w:pPr>
    </w:p>
    <w:p>
      <w:pPr>
        <w:ind w:left="700" w:right="200" w:hanging="355"/>
        <w:spacing w:after="0" w:line="271"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increased concern by financial stakeholders with respect to PAA’s governance structure and the perceived social and environmental cost of PAA’s industry;</w:t>
      </w:r>
    </w:p>
    <w:p>
      <w:pPr>
        <w:spacing w:after="0" w:line="16"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the overall forward market for crude oil and NGL, and certain market structures, the absence of pricing volatility and other market factors;</w:t>
      </w:r>
    </w:p>
    <w:p>
      <w:pPr>
        <w:spacing w:after="0" w:line="9" w:lineRule="exact"/>
        <w:rPr>
          <w:rFonts w:ascii="Arial" w:cs="Arial" w:eastAsia="Arial" w:hAnsi="Arial"/>
          <w:sz w:val="20"/>
          <w:szCs w:val="20"/>
          <w:b w:val="1"/>
          <w:bCs w:val="1"/>
          <w:color w:val="auto"/>
        </w:rPr>
      </w:pPr>
    </w:p>
    <w:p>
      <w:pPr>
        <w:ind w:left="700" w:hanging="355"/>
        <w:spacing w:after="0" w:line="271" w:lineRule="auto"/>
        <w:tabs>
          <w:tab w:leader="none" w:pos="70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an inability to fully implement or realize expected returns or other anticipated benefits associated with acquisitions/ divestitures, joint venture and joint ownership arrangements, and other projects;</w:t>
      </w:r>
    </w:p>
    <w:p>
      <w:pPr>
        <w:spacing w:after="0" w:line="2" w:lineRule="exact"/>
        <w:rPr>
          <w:rFonts w:ascii="Arial" w:cs="Arial" w:eastAsia="Arial" w:hAnsi="Arial"/>
          <w:sz w:val="20"/>
          <w:szCs w:val="20"/>
          <w:b w:val="1"/>
          <w:bCs w:val="1"/>
          <w:color w:val="auto"/>
        </w:rPr>
      </w:pPr>
    </w:p>
    <w:p>
      <w:pPr>
        <w:ind w:left="700" w:hanging="355"/>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entering into new businesses in connection with PAA’s strategy to participate in emerging energy opportunities;</w:t>
      </w:r>
    </w:p>
    <w:p>
      <w:pPr>
        <w:spacing w:after="0" w:line="82" w:lineRule="exact"/>
        <w:rPr>
          <w:rFonts w:ascii="Arial" w:cs="Arial" w:eastAsia="Arial" w:hAnsi="Arial"/>
          <w:sz w:val="19"/>
          <w:szCs w:val="19"/>
          <w:color w:val="auto"/>
        </w:rPr>
      </w:pPr>
    </w:p>
    <w:p>
      <w:pPr>
        <w:ind w:left="700" w:hanging="355"/>
        <w:spacing w:after="0"/>
        <w:tabs>
          <w:tab w:leader="none" w:pos="70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loss of PAA’s investment grade credit rating or a significant reduction in the ability of PAA to receive open credit;</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40"/>
          </w:cols>
          <w:pgMar w:left="920" w:top="575" w:right="920" w:bottom="0" w:gutter="0" w:footer="0" w:header="0"/>
          <w:type w:val="continuous"/>
        </w:sectPr>
      </w:pPr>
    </w:p>
    <w:bookmarkStart w:id="39" w:name="page40"/>
    <w:bookmarkEnd w:id="39"/>
    <w:p>
      <w:pPr>
        <w:ind w:left="700" w:hanging="355"/>
        <w:spacing w:after="0" w:line="271" w:lineRule="auto"/>
        <w:tabs>
          <w:tab w:leader="none" w:pos="70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the credit risk of PAA’s customers and other counterparties it transacts with in the ordinary course of business activities;</w:t>
      </w:r>
    </w:p>
    <w:p>
      <w:pPr>
        <w:spacing w:after="0" w:line="9" w:lineRule="exact"/>
        <w:rPr>
          <w:rFonts w:ascii="Arial" w:cs="Arial" w:eastAsia="Arial" w:hAnsi="Arial"/>
          <w:sz w:val="20"/>
          <w:szCs w:val="20"/>
          <w:b w:val="1"/>
          <w:bCs w:val="1"/>
          <w:color w:val="auto"/>
        </w:rPr>
      </w:pPr>
    </w:p>
    <w:p>
      <w:pPr>
        <w:ind w:left="700" w:hanging="355"/>
        <w:spacing w:after="0"/>
        <w:tabs>
          <w:tab w:leader="none" w:pos="70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tightened capital markets or other factors that increase PAA’s cost of capital or otherwise limit its access to capital;</w:t>
      </w:r>
    </w:p>
    <w:p>
      <w:pPr>
        <w:spacing w:after="0" w:line="98" w:lineRule="exact"/>
        <w:rPr>
          <w:rFonts w:ascii="Arial" w:cs="Arial" w:eastAsia="Arial" w:hAnsi="Arial"/>
          <w:sz w:val="17"/>
          <w:szCs w:val="17"/>
          <w:b w:val="1"/>
          <w:bCs w:val="1"/>
          <w:color w:val="auto"/>
        </w:rPr>
      </w:pPr>
    </w:p>
    <w:p>
      <w:pPr>
        <w:ind w:left="700" w:hanging="355"/>
        <w:spacing w:after="0"/>
        <w:tabs>
          <w:tab w:leader="none" w:pos="70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the insufficiency of, or non-compliance with, PAA’s risk policies;</w:t>
      </w:r>
    </w:p>
    <w:p>
      <w:pPr>
        <w:spacing w:after="0" w:line="57" w:lineRule="exact"/>
        <w:rPr>
          <w:rFonts w:ascii="Arial" w:cs="Arial" w:eastAsia="Arial" w:hAnsi="Arial"/>
          <w:sz w:val="20"/>
          <w:szCs w:val="20"/>
          <w:b w:val="1"/>
          <w:bCs w:val="1"/>
          <w:color w:val="auto"/>
        </w:rPr>
      </w:pPr>
    </w:p>
    <w:p>
      <w:pPr>
        <w:ind w:left="700" w:hanging="355"/>
        <w:spacing w:after="0" w:line="271"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PAA’s insurance coverage may not fully cover its losses and it may in the future encounter increased costs related to, and lack of availability of, insurance;</w:t>
      </w:r>
    </w:p>
    <w:p>
      <w:pPr>
        <w:spacing w:after="0" w:line="9" w:lineRule="exact"/>
        <w:rPr>
          <w:rFonts w:ascii="Arial" w:cs="Arial" w:eastAsia="Arial" w:hAnsi="Arial"/>
          <w:sz w:val="20"/>
          <w:szCs w:val="20"/>
          <w:color w:val="auto"/>
        </w:rPr>
      </w:pPr>
    </w:p>
    <w:p>
      <w:pPr>
        <w:ind w:left="700" w:right="80" w:hanging="355"/>
        <w:spacing w:after="0" w:line="271"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trade tariffs, duties, quotas, inflation, supply disruptions or other factors affecting the commodities and materials PAA uses in its business;</w:t>
      </w:r>
    </w:p>
    <w:p>
      <w:pPr>
        <w:spacing w:after="0" w:line="9" w:lineRule="exact"/>
        <w:rPr>
          <w:rFonts w:ascii="Arial" w:cs="Arial" w:eastAsia="Arial" w:hAnsi="Arial"/>
          <w:sz w:val="20"/>
          <w:szCs w:val="20"/>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pandemics, epidemics or other public health events;</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PAA’s current or future debt levels, or inability to borrow additional funds or capitalize on business opportunities;</w:t>
      </w:r>
    </w:p>
    <w:p>
      <w:pPr>
        <w:spacing w:after="0" w:line="105" w:lineRule="exact"/>
        <w:rPr>
          <w:rFonts w:ascii="Arial" w:cs="Arial" w:eastAsia="Arial" w:hAnsi="Arial"/>
          <w:sz w:val="17"/>
          <w:szCs w:val="17"/>
          <w:color w:val="auto"/>
        </w:rPr>
      </w:pPr>
    </w:p>
    <w:p>
      <w:pPr>
        <w:ind w:left="700" w:hanging="355"/>
        <w:spacing w:after="0"/>
        <w:tabs>
          <w:tab w:leader="none" w:pos="70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changes in interest rates and currency exchange rates;</w:t>
      </w:r>
    </w:p>
    <w:p>
      <w:pPr>
        <w:spacing w:after="0" w:line="57" w:lineRule="exact"/>
        <w:rPr>
          <w:rFonts w:ascii="Arial" w:cs="Arial" w:eastAsia="Arial" w:hAnsi="Arial"/>
          <w:sz w:val="20"/>
          <w:szCs w:val="20"/>
          <w:b w:val="1"/>
          <w:bCs w:val="1"/>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difficulties recruiting and retaining PAA’s workforce;</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impairment of long-term assets;</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significant under-utilization of certain assets due to fixed costs incurred to obtain the right to use such assets;</w:t>
      </w:r>
    </w:p>
    <w:p>
      <w:pPr>
        <w:spacing w:after="0" w:line="75" w:lineRule="exact"/>
        <w:rPr>
          <w:rFonts w:ascii="Arial" w:cs="Arial" w:eastAsia="Arial" w:hAnsi="Arial"/>
          <w:sz w:val="19"/>
          <w:szCs w:val="19"/>
          <w:color w:val="auto"/>
        </w:rPr>
      </w:pPr>
    </w:p>
    <w:p>
      <w:pPr>
        <w:ind w:left="700" w:hanging="355"/>
        <w:spacing w:after="0"/>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cost to repair and maintain PAA’s assets;</w:t>
      </w:r>
    </w:p>
    <w:p>
      <w:pPr>
        <w:spacing w:after="0" w:line="64"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PAA does not own all of the land on which its pipelines and facilities are located, which could result in disruptions to its operations; and</w:t>
      </w:r>
    </w:p>
    <w:p>
      <w:pPr>
        <w:spacing w:after="0" w:line="9"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pace of development of natural gas infrastructure could have an adverse impact on expected crude oil production growth in the Permian Basin.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Laws and Regulations Impacting PAA’s Business</w:t>
      </w:r>
    </w:p>
    <w:p>
      <w:pPr>
        <w:spacing w:after="0" w:line="248" w:lineRule="exact"/>
        <w:rPr>
          <w:sz w:val="20"/>
          <w:szCs w:val="20"/>
          <w:color w:val="auto"/>
        </w:rPr>
      </w:pPr>
    </w:p>
    <w:p>
      <w:pPr>
        <w:jc w:val="both"/>
        <w:ind w:right="160"/>
        <w:spacing w:after="0" w:line="258" w:lineRule="auto"/>
        <w:rPr>
          <w:sz w:val="20"/>
          <w:szCs w:val="20"/>
          <w:color w:val="auto"/>
        </w:rPr>
      </w:pPr>
      <w:r>
        <w:rPr>
          <w:rFonts w:ascii="Arial" w:cs="Arial" w:eastAsia="Arial" w:hAnsi="Arial"/>
          <w:sz w:val="20"/>
          <w:szCs w:val="20"/>
          <w:color w:val="auto"/>
        </w:rPr>
        <w:t>PAA’s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Inherent in an Investment in PAA</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PAA’s partnership structure carries inherent risks, including but not limited to:</w:t>
      </w:r>
    </w:p>
    <w:p>
      <w:pPr>
        <w:spacing w:after="0" w:line="240" w:lineRule="exact"/>
        <w:rPr>
          <w:sz w:val="20"/>
          <w:szCs w:val="20"/>
          <w:color w:val="auto"/>
        </w:rPr>
      </w:pPr>
    </w:p>
    <w:p>
      <w:pPr>
        <w:ind w:left="700" w:right="600" w:hanging="355"/>
        <w:spacing w:after="0" w:line="271" w:lineRule="auto"/>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cost reimbursements due to PAA’s general partner may be substantial and will reduce PAA’s cash available for distribution to its unitholders;</w:t>
      </w:r>
    </w:p>
    <w:p>
      <w:pPr>
        <w:spacing w:after="0" w:line="68" w:lineRule="exact"/>
        <w:rPr>
          <w:rFonts w:ascii="Arial" w:cs="Arial" w:eastAsia="Arial" w:hAnsi="Arial"/>
          <w:sz w:val="20"/>
          <w:szCs w:val="20"/>
          <w:color w:val="auto"/>
        </w:rPr>
      </w:pPr>
    </w:p>
    <w:p>
      <w:pPr>
        <w:ind w:left="700" w:right="300" w:hanging="355"/>
        <w:spacing w:after="0" w:line="271" w:lineRule="auto"/>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cash distributions are not guaranteed and may fluctuate with PAA’s performance and the establishment of financial reserves; and</w:t>
      </w:r>
    </w:p>
    <w:p>
      <w:pPr>
        <w:spacing w:after="0" w:line="68" w:lineRule="exact"/>
        <w:rPr>
          <w:rFonts w:ascii="Arial" w:cs="Arial" w:eastAsia="Arial" w:hAnsi="Arial"/>
          <w:sz w:val="20"/>
          <w:szCs w:val="20"/>
          <w:color w:val="auto"/>
        </w:rPr>
      </w:pPr>
    </w:p>
    <w:p>
      <w:pPr>
        <w:ind w:left="700" w:right="20" w:hanging="355"/>
        <w:spacing w:after="0" w:line="271" w:lineRule="auto"/>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PAA’s preferred units have rights, preferences and privileges that are not the same as, and are preferential to, the rights of holders of PAA’s common units.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Risks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Our shares are subject to tax risks, which may adversely impact the value of or market for our shares and may reduce our cash available for distribution or debt service, including but not limited to:</w:t>
      </w:r>
    </w:p>
    <w:p>
      <w:pPr>
        <w:spacing w:after="0" w:line="69" w:lineRule="exact"/>
        <w:rPr>
          <w:sz w:val="20"/>
          <w:szCs w:val="20"/>
          <w:color w:val="auto"/>
        </w:rPr>
      </w:pPr>
    </w:p>
    <w:p>
      <w:pPr>
        <w:ind w:left="700" w:hanging="355"/>
        <w:spacing w:after="0" w:line="266" w:lineRule="auto"/>
        <w:tabs>
          <w:tab w:leader="none" w:pos="7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tax treatment of PAA depends on its status as a partnership for U.S. federal income tax purposes and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spacing w:after="0" w:line="75" w:lineRule="exact"/>
        <w:rPr>
          <w:rFonts w:ascii="Arial" w:cs="Arial" w:eastAsia="Arial" w:hAnsi="Arial"/>
          <w:sz w:val="19"/>
          <w:szCs w:val="19"/>
          <w:color w:val="auto"/>
        </w:rPr>
      </w:pPr>
    </w:p>
    <w:p>
      <w:pPr>
        <w:ind w:left="700" w:right="120" w:hanging="355"/>
        <w:spacing w:after="0" w:line="258"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current tax treatment may change, which could affect the value of our Class A shares or reduce our cash available for distribution, and any decrease in our Class A share price could adversely affect our amount of cash available for distribution.</w:t>
      </w:r>
    </w:p>
    <w:p>
      <w:pPr>
        <w:sectPr>
          <w:pgSz w:w="11880" w:h="15480" w:orient="portrait"/>
          <w:cols w:equalWidth="0" w:num="1">
            <w:col w:w="10040"/>
          </w:cols>
          <w:pgMar w:left="920" w:top="58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40"/>
          </w:cols>
          <w:pgMar w:left="920" w:top="589" w:right="92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Risks Inherent in an Investment in Us</w:t>
      </w:r>
    </w:p>
    <w:p>
      <w:pPr>
        <w:spacing w:after="0" w:line="240" w:lineRule="exact"/>
        <w:rPr>
          <w:sz w:val="20"/>
          <w:szCs w:val="20"/>
          <w:color w:val="auto"/>
        </w:rPr>
      </w:pPr>
    </w:p>
    <w:p>
      <w:pPr>
        <w:ind w:right="140"/>
        <w:spacing w:after="0" w:line="275" w:lineRule="auto"/>
        <w:rPr>
          <w:sz w:val="20"/>
          <w:szCs w:val="20"/>
          <w:color w:val="auto"/>
        </w:rPr>
      </w:pPr>
      <w:r>
        <w:rPr>
          <w:rFonts w:ascii="Arial" w:cs="Arial" w:eastAsia="Arial" w:hAnsi="Arial"/>
          <w:sz w:val="20"/>
          <w:szCs w:val="20"/>
          <w:b w:val="1"/>
          <w:bCs w:val="1"/>
          <w:i w:val="1"/>
          <w:iCs w:val="1"/>
          <w:color w:val="auto"/>
        </w:rPr>
        <w:t>Our cash flow will be entirely dependent upon the ability of PAA to make cash distributions to AAP, and the ability of AAP to make cash distributions to us.</w:t>
      </w:r>
    </w:p>
    <w:p>
      <w:pPr>
        <w:spacing w:after="0" w:line="186" w:lineRule="exact"/>
        <w:rPr>
          <w:sz w:val="20"/>
          <w:szCs w:val="20"/>
          <w:color w:val="auto"/>
        </w:rPr>
      </w:pPr>
    </w:p>
    <w:p>
      <w:pPr>
        <w:ind w:firstLine="706"/>
        <w:spacing w:after="0" w:line="295" w:lineRule="auto"/>
        <w:rPr>
          <w:sz w:val="20"/>
          <w:szCs w:val="20"/>
          <w:color w:val="auto"/>
        </w:rPr>
      </w:pPr>
      <w:r>
        <w:rPr>
          <w:rFonts w:ascii="Arial" w:cs="Arial" w:eastAsia="Arial" w:hAnsi="Arial"/>
          <w:sz w:val="17"/>
          <w:szCs w:val="17"/>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200" w:lineRule="exact"/>
        <w:rPr>
          <w:sz w:val="20"/>
          <w:szCs w:val="20"/>
          <w:color w:val="auto"/>
        </w:rPr>
      </w:pPr>
    </w:p>
    <w:p>
      <w:pPr>
        <w:spacing w:after="0" w:line="210" w:lineRule="exact"/>
        <w:rPr>
          <w:sz w:val="20"/>
          <w:szCs w:val="20"/>
          <w:color w:val="auto"/>
        </w:rPr>
      </w:pPr>
    </w:p>
    <w:p>
      <w:pPr>
        <w:ind w:right="20" w:firstLine="706"/>
        <w:spacing w:after="0" w:line="271" w:lineRule="auto"/>
        <w:rPr>
          <w:sz w:val="20"/>
          <w:szCs w:val="20"/>
          <w:color w:val="auto"/>
        </w:rPr>
      </w:pPr>
      <w:r>
        <w:rPr>
          <w:rFonts w:ascii="Arial" w:cs="Arial" w:eastAsia="Arial" w:hAnsi="Arial"/>
          <w:sz w:val="20"/>
          <w:szCs w:val="20"/>
          <w:color w:val="auto"/>
        </w:rPr>
        <w:t>Furthermore, AAP’s ability to distribute cash to us and our ability to distribute cash received from AAP to our Class A shareholders is limited by a number of factors, including:</w:t>
      </w:r>
    </w:p>
    <w:p>
      <w:pPr>
        <w:spacing w:after="0" w:line="69" w:lineRule="exact"/>
        <w:rPr>
          <w:sz w:val="20"/>
          <w:szCs w:val="20"/>
          <w:color w:val="auto"/>
        </w:rPr>
      </w:pPr>
    </w:p>
    <w:p>
      <w:pPr>
        <w:ind w:left="1060" w:hanging="362"/>
        <w:spacing w:after="0"/>
        <w:tabs>
          <w:tab w:leader="none" w:pos="10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payment of any income taxes;</w:t>
      </w:r>
    </w:p>
    <w:p>
      <w:pPr>
        <w:spacing w:after="0" w:line="122" w:lineRule="exact"/>
        <w:rPr>
          <w:rFonts w:ascii="Arial" w:cs="Arial" w:eastAsia="Arial" w:hAnsi="Arial"/>
          <w:sz w:val="20"/>
          <w:szCs w:val="20"/>
          <w:color w:val="auto"/>
        </w:rPr>
      </w:pPr>
    </w:p>
    <w:p>
      <w:pPr>
        <w:ind w:left="1060" w:right="280" w:hanging="362"/>
        <w:spacing w:after="0" w:line="271" w:lineRule="auto"/>
        <w:tabs>
          <w:tab w:leader="none" w:pos="10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restrictions on distributions contained in PAA’s credit facilities and any future debt agreements entered into by AAP, PAA or us; and</w:t>
      </w:r>
    </w:p>
    <w:p>
      <w:pPr>
        <w:spacing w:after="0" w:line="68" w:lineRule="exact"/>
        <w:rPr>
          <w:rFonts w:ascii="Arial" w:cs="Arial" w:eastAsia="Arial" w:hAnsi="Arial"/>
          <w:sz w:val="20"/>
          <w:szCs w:val="20"/>
          <w:color w:val="auto"/>
        </w:rPr>
      </w:pPr>
    </w:p>
    <w:p>
      <w:pPr>
        <w:ind w:left="1060" w:right="160" w:hanging="362"/>
        <w:spacing w:after="0" w:line="361"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reserves our general partner establishes for, among other things, the proper conduct of our business or to comply with applicable law or any agreement binding on us or our subsidiaries (exclusive of PAA and its subsidiaries).</w:t>
      </w:r>
    </w:p>
    <w:p>
      <w:pPr>
        <w:spacing w:after="0" w:line="118" w:lineRule="exact"/>
        <w:rPr>
          <w:sz w:val="20"/>
          <w:szCs w:val="20"/>
          <w:color w:val="auto"/>
        </w:rPr>
      </w:pPr>
    </w:p>
    <w:p>
      <w:pPr>
        <w:ind w:right="220" w:firstLine="706"/>
        <w:spacing w:after="0" w:line="258" w:lineRule="auto"/>
        <w:rPr>
          <w:sz w:val="20"/>
          <w:szCs w:val="20"/>
          <w:color w:val="auto"/>
        </w:rPr>
      </w:pPr>
      <w:r>
        <w:rPr>
          <w:rFonts w:ascii="Arial" w:cs="Arial" w:eastAsia="Arial" w:hAnsi="Arial"/>
          <w:sz w:val="20"/>
          <w:szCs w:val="20"/>
          <w:color w:val="auto"/>
        </w:rPr>
        <w:t>A material increase in amounts paid or reserved with respect to any of these factors could restrict our ability to pay quarterly distributions to our Class A shareholders. See Item 5. “Market for Registrant’s Shares, Related Shareholder Matters and Issuer Purchases of Equity Securities—Cash Distribution Policy.”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distributions AAP is entitled to receive may fluctuate, which may reduce cash distributions to our Class A shareholders.</w:t>
      </w:r>
    </w:p>
    <w:p>
      <w:pPr>
        <w:spacing w:after="0" w:line="294" w:lineRule="exact"/>
        <w:rPr>
          <w:sz w:val="20"/>
          <w:szCs w:val="20"/>
          <w:color w:val="auto"/>
        </w:rPr>
      </w:pPr>
    </w:p>
    <w:p>
      <w:pPr>
        <w:ind w:right="60" w:firstLine="706"/>
        <w:spacing w:after="0" w:line="299" w:lineRule="auto"/>
        <w:rPr>
          <w:sz w:val="20"/>
          <w:szCs w:val="20"/>
          <w:color w:val="auto"/>
        </w:rPr>
      </w:pPr>
      <w:r>
        <w:rPr>
          <w:rFonts w:ascii="Arial" w:cs="Arial" w:eastAsia="Arial" w:hAnsi="Arial"/>
          <w:sz w:val="17"/>
          <w:szCs w:val="17"/>
          <w:color w:val="auto"/>
        </w:rPr>
        <w:t>At December 31, 2024, we owned an approximate 85% limited partner interest in AAP, which owned approximately 232.9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161" w:lineRule="exact"/>
        <w:rPr>
          <w:sz w:val="20"/>
          <w:szCs w:val="20"/>
          <w:color w:val="auto"/>
        </w:rPr>
      </w:pPr>
    </w:p>
    <w:p>
      <w:pPr>
        <w:ind w:right="280"/>
        <w:spacing w:after="0" w:line="275" w:lineRule="auto"/>
        <w:rPr>
          <w:sz w:val="20"/>
          <w:szCs w:val="20"/>
          <w:color w:val="auto"/>
        </w:rPr>
      </w:pPr>
      <w:r>
        <w:rPr>
          <w:rFonts w:ascii="Arial" w:cs="Arial" w:eastAsia="Arial" w:hAnsi="Arial"/>
          <w:sz w:val="20"/>
          <w:szCs w:val="20"/>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86" w:lineRule="exact"/>
        <w:rPr>
          <w:sz w:val="20"/>
          <w:szCs w:val="20"/>
          <w:color w:val="auto"/>
        </w:rPr>
      </w:pPr>
    </w:p>
    <w:p>
      <w:pPr>
        <w:jc w:val="both"/>
        <w:ind w:firstLine="706"/>
        <w:spacing w:after="0" w:line="258" w:lineRule="auto"/>
        <w:rPr>
          <w:sz w:val="20"/>
          <w:szCs w:val="20"/>
          <w:color w:val="auto"/>
        </w:rPr>
      </w:pPr>
      <w:r>
        <w:rPr>
          <w:rFonts w:ascii="Arial" w:cs="Arial" w:eastAsia="Arial" w:hAnsi="Arial"/>
          <w:sz w:val="20"/>
          <w:szCs w:val="20"/>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20"/>
          </w:cols>
          <w:pgMar w:left="920" w:top="575" w:right="94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i w:val="1"/>
          <w:iCs w:val="1"/>
          <w:color w:val="auto"/>
        </w:rPr>
        <w:t>The amount of cash that we and PAA distribute each quarter may limit our ability to grow.</w:t>
      </w:r>
    </w:p>
    <w:p>
      <w:pPr>
        <w:spacing w:after="0" w:line="248" w:lineRule="exact"/>
        <w:rPr>
          <w:sz w:val="20"/>
          <w:szCs w:val="20"/>
          <w:color w:val="auto"/>
        </w:rPr>
      </w:pPr>
    </w:p>
    <w:p>
      <w:pPr>
        <w:ind w:firstLine="706"/>
        <w:spacing w:after="0" w:line="300"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164" w:lineRule="exact"/>
        <w:rPr>
          <w:sz w:val="20"/>
          <w:szCs w:val="20"/>
          <w:color w:val="auto"/>
        </w:rPr>
      </w:pPr>
    </w:p>
    <w:p>
      <w:pPr>
        <w:ind w:right="400"/>
        <w:spacing w:after="0" w:line="275" w:lineRule="auto"/>
        <w:rPr>
          <w:sz w:val="20"/>
          <w:szCs w:val="20"/>
          <w:color w:val="auto"/>
        </w:rPr>
      </w:pPr>
      <w:r>
        <w:rPr>
          <w:rFonts w:ascii="Arial" w:cs="Arial" w:eastAsia="Arial" w:hAnsi="Arial"/>
          <w:sz w:val="20"/>
          <w:szCs w:val="20"/>
          <w:b w:val="1"/>
          <w:bCs w:val="1"/>
          <w:i w:val="1"/>
          <w:iCs w:val="1"/>
          <w:color w:val="auto"/>
        </w:rPr>
        <w:t>Restrictions in PAA’s credit facilities could limit AAP’s ability to make distributions to us, thereby limiting our ability to make distributions to our Class A shareholders.</w:t>
      </w:r>
    </w:p>
    <w:p>
      <w:pPr>
        <w:spacing w:after="0" w:line="186" w:lineRule="exact"/>
        <w:rPr>
          <w:sz w:val="20"/>
          <w:szCs w:val="20"/>
          <w:color w:val="auto"/>
        </w:rPr>
      </w:pPr>
    </w:p>
    <w:p>
      <w:pPr>
        <w:ind w:firstLine="706"/>
        <w:spacing w:after="0" w:line="306" w:lineRule="auto"/>
        <w:rPr>
          <w:sz w:val="20"/>
          <w:szCs w:val="20"/>
          <w:color w:val="auto"/>
        </w:rPr>
      </w:pPr>
      <w:r>
        <w:rPr>
          <w:rFonts w:ascii="Arial" w:cs="Arial" w:eastAsia="Arial" w:hAnsi="Arial"/>
          <w:sz w:val="17"/>
          <w:szCs w:val="17"/>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165" w:lineRule="exact"/>
        <w:rPr>
          <w:sz w:val="20"/>
          <w:szCs w:val="20"/>
          <w:color w:val="auto"/>
        </w:rPr>
      </w:pPr>
    </w:p>
    <w:p>
      <w:pPr>
        <w:ind w:right="40" w:firstLine="706"/>
        <w:spacing w:after="0" w:line="251" w:lineRule="auto"/>
        <w:rPr>
          <w:sz w:val="20"/>
          <w:szCs w:val="20"/>
          <w:color w:val="auto"/>
        </w:rPr>
      </w:pPr>
      <w:r>
        <w:rPr>
          <w:rFonts w:ascii="Arial" w:cs="Arial" w:eastAsia="Arial" w:hAnsi="Arial"/>
          <w:sz w:val="20"/>
          <w:szCs w:val="20"/>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Class B shareholders own a significant number of shares, which may make the removal of our general partner difficult.</w:t>
      </w:r>
    </w:p>
    <w:p>
      <w:pPr>
        <w:spacing w:after="0" w:line="282" w:lineRule="exact"/>
        <w:rPr>
          <w:sz w:val="20"/>
          <w:szCs w:val="20"/>
          <w:color w:val="auto"/>
        </w:rPr>
      </w:pPr>
    </w:p>
    <w:p>
      <w:pPr>
        <w:ind w:right="20" w:firstLine="706"/>
        <w:spacing w:after="0" w:line="281" w:lineRule="auto"/>
        <w:rPr>
          <w:sz w:val="20"/>
          <w:szCs w:val="20"/>
          <w:color w:val="auto"/>
        </w:rPr>
      </w:pPr>
      <w:r>
        <w:rPr>
          <w:rFonts w:ascii="Arial" w:cs="Arial" w:eastAsia="Arial" w:hAnsi="Arial"/>
          <w:sz w:val="18"/>
          <w:szCs w:val="18"/>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it may be difficult for them to remove our general partner. Our general partner may only be removed by vote of the holders of at least 66 </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shares (including both Class A and Class B shares). At December 31, 2024, the Legacy Owners owned approximately 15% of our outstanding Class A and Class B shares. Without the support of our Legacy Owners, such ownership level may make it more difficult for our Class A shareholders to obtain the requisite vote level required to remove our general partner.</w:t>
      </w:r>
    </w:p>
    <w:p>
      <w:pPr>
        <w:spacing w:after="0" w:line="185" w:lineRule="exact"/>
        <w:rPr>
          <w:sz w:val="20"/>
          <w:szCs w:val="20"/>
          <w:color w:val="auto"/>
        </w:rPr>
      </w:pPr>
    </w:p>
    <w:p>
      <w:pPr>
        <w:ind w:right="20" w:firstLine="706"/>
        <w:spacing w:after="0" w:line="271" w:lineRule="auto"/>
        <w:rPr>
          <w:sz w:val="20"/>
          <w:szCs w:val="20"/>
          <w:color w:val="auto"/>
        </w:rPr>
      </w:pPr>
      <w:r>
        <w:rPr>
          <w:rFonts w:ascii="Arial" w:cs="Arial" w:eastAsia="Arial" w:hAnsi="Arial"/>
          <w:sz w:val="20"/>
          <w:szCs w:val="20"/>
          <w:color w:val="auto"/>
        </w:rPr>
        <w:t>As a result of these provisions, the price at which our shares trade may be lower because of the absence or reduction of a control or takeover premium in the trading price.</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201" w:lineRule="exact"/>
        <w:rPr>
          <w:sz w:val="20"/>
          <w:szCs w:val="20"/>
          <w:color w:val="auto"/>
        </w:rPr>
      </w:pPr>
    </w:p>
    <w:p>
      <w:pPr>
        <w:ind w:right="20" w:firstLine="706"/>
        <w:spacing w:after="0" w:line="264" w:lineRule="auto"/>
        <w:rPr>
          <w:sz w:val="20"/>
          <w:szCs w:val="20"/>
          <w:color w:val="auto"/>
        </w:rPr>
      </w:pPr>
      <w:r>
        <w:rPr>
          <w:rFonts w:ascii="Arial" w:cs="Arial" w:eastAsia="Arial" w:hAnsi="Arial"/>
          <w:sz w:val="19"/>
          <w:szCs w:val="19"/>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82" w:lineRule="exact"/>
        <w:rPr>
          <w:sz w:val="20"/>
          <w:szCs w:val="20"/>
          <w:color w:val="auto"/>
        </w:rPr>
      </w:pPr>
    </w:p>
    <w:p>
      <w:pPr>
        <w:ind w:left="1060" w:hanging="362"/>
        <w:spacing w:after="0"/>
        <w:tabs>
          <w:tab w:leader="none" w:pos="10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each shareholder’s proportionate ownership interest in us may decrease;</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amount of cash available for distribution on each Class A share may decrease;</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relative voting strength of each previously outstanding Class A share may be diminished;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ratio of taxable income to distributions may increase;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market price of the Class A shares may decline.</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575" w:right="920" w:bottom="0" w:gutter="0" w:footer="0" w:header="0"/>
          <w:type w:val="continuous"/>
        </w:sectPr>
      </w:pPr>
    </w:p>
    <w:bookmarkStart w:id="42" w:name="page43"/>
    <w:bookmarkEnd w:id="42"/>
    <w:p>
      <w:pPr>
        <w:ind w:right="520"/>
        <w:spacing w:after="0" w:line="302" w:lineRule="auto"/>
        <w:rPr>
          <w:sz w:val="20"/>
          <w:szCs w:val="20"/>
          <w:color w:val="auto"/>
        </w:rPr>
      </w:pPr>
      <w:r>
        <w:rPr>
          <w:rFonts w:ascii="Arial" w:cs="Arial" w:eastAsia="Arial" w:hAnsi="Arial"/>
          <w:sz w:val="19"/>
          <w:szCs w:val="19"/>
          <w:b w:val="1"/>
          <w:bCs w:val="1"/>
          <w:i w:val="1"/>
          <w:iCs w:val="1"/>
          <w:color w:val="auto"/>
        </w:rPr>
        <w:t>If PAA’s unitholders remove PAA GP as PAA”s general partner, AAP may be required to sell or exchange its indirect general partner interest and we may lose our ability to manage and control PAA.</w:t>
      </w:r>
    </w:p>
    <w:p>
      <w:pPr>
        <w:spacing w:after="0" w:line="163" w:lineRule="exact"/>
        <w:rPr>
          <w:sz w:val="20"/>
          <w:szCs w:val="20"/>
          <w:color w:val="auto"/>
        </w:rPr>
      </w:pPr>
    </w:p>
    <w:p>
      <w:pPr>
        <w:ind w:right="60" w:firstLine="706"/>
        <w:spacing w:after="0" w:line="280" w:lineRule="auto"/>
        <w:rPr>
          <w:sz w:val="20"/>
          <w:szCs w:val="20"/>
          <w:color w:val="auto"/>
        </w:rPr>
      </w:pPr>
      <w:r>
        <w:rPr>
          <w:rFonts w:ascii="Arial" w:cs="Arial" w:eastAsia="Arial" w:hAnsi="Arial"/>
          <w:sz w:val="18"/>
          <w:szCs w:val="18"/>
          <w:color w:val="auto"/>
        </w:rPr>
        <w:t xml:space="preserve">We currently manage our investment in PAA through our indirect ownership of PAA GP, which serves as PAA’s general partner. PAA’s partnership agreement gives unitholders of PAA the right to remove PAA GP as general partner upon the affirmative vote of holders of 66 </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PAA’s outstanding units. If PAA GP withdraws as general partner or is removed without cause (as defined in PAA’s partnership agreement) and a successor general partner is elected, AAP will receive cash in exchange for its indirect general partner interest. If PAA GP withdraws under circumstances other than those described in the preceding sentence and a successor general partner is elected, the successor general partner will purchase the general partner interest for its fair market value. If PAA GP’s interests are not purchased, they will be converted into common units. In either case, we could lose our ability to manage and control PAA.</w:t>
      </w:r>
    </w:p>
    <w:p>
      <w:pPr>
        <w:spacing w:after="0" w:line="185" w:lineRule="exact"/>
        <w:rPr>
          <w:sz w:val="20"/>
          <w:szCs w:val="20"/>
          <w:color w:val="auto"/>
        </w:rPr>
      </w:pPr>
    </w:p>
    <w:p>
      <w:pPr>
        <w:ind w:right="40" w:firstLine="706"/>
        <w:spacing w:after="0" w:line="258" w:lineRule="auto"/>
        <w:rPr>
          <w:sz w:val="20"/>
          <w:szCs w:val="20"/>
          <w:color w:val="auto"/>
        </w:rPr>
      </w:pPr>
      <w:r>
        <w:rPr>
          <w:rFonts w:ascii="Arial" w:cs="Arial" w:eastAsia="Arial" w:hAnsi="Arial"/>
          <w:sz w:val="20"/>
          <w:szCs w:val="20"/>
          <w:color w:val="auto"/>
        </w:rPr>
        <w:t>In addition, if PAA GP is removed or withdraws as general partner of PAA, we could face an increased risk of being deemed an investment company. Please read “—If in the future we cease to manage and control PAA, we may be deemed to be an investment company under the Investment Company Act of 1940.”</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Shareholders may not have limited liability if a court finds that shareholder action constitutes control of our business.</w:t>
      </w:r>
    </w:p>
    <w:p>
      <w:pPr>
        <w:spacing w:after="0" w:line="282" w:lineRule="exact"/>
        <w:rPr>
          <w:sz w:val="20"/>
          <w:szCs w:val="20"/>
          <w:color w:val="auto"/>
        </w:rPr>
      </w:pPr>
    </w:p>
    <w:p>
      <w:pPr>
        <w:ind w:firstLine="706"/>
        <w:spacing w:after="0" w:line="306" w:lineRule="auto"/>
        <w:rPr>
          <w:sz w:val="20"/>
          <w:szCs w:val="20"/>
          <w:color w:val="auto"/>
        </w:rPr>
      </w:pPr>
      <w:r>
        <w:rPr>
          <w:rFonts w:ascii="Arial" w:cs="Arial" w:eastAsia="Arial" w:hAnsi="Arial"/>
          <w:sz w:val="17"/>
          <w:szCs w:val="17"/>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65" w:lineRule="exact"/>
        <w:rPr>
          <w:sz w:val="20"/>
          <w:szCs w:val="20"/>
          <w:color w:val="auto"/>
        </w:rPr>
      </w:pPr>
    </w:p>
    <w:p>
      <w:pPr>
        <w:ind w:right="80" w:firstLine="706"/>
        <w:spacing w:after="0" w:line="258" w:lineRule="auto"/>
        <w:rPr>
          <w:sz w:val="20"/>
          <w:szCs w:val="20"/>
          <w:color w:val="auto"/>
        </w:rPr>
      </w:pPr>
      <w:r>
        <w:rPr>
          <w:rFonts w:ascii="Arial" w:cs="Arial" w:eastAsia="Arial" w:hAnsi="Arial"/>
          <w:sz w:val="20"/>
          <w:szCs w:val="20"/>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b w:val="1"/>
          <w:bCs w:val="1"/>
          <w:i w:val="1"/>
          <w:iCs w:val="1"/>
          <w:color w:val="auto"/>
        </w:rPr>
        <w:t>If in the future we cease to manage and control PAA, we may be deemed to be an investment company under the Investment Company Act of 1940.</w:t>
      </w:r>
    </w:p>
    <w:p>
      <w:pPr>
        <w:spacing w:after="0" w:line="186" w:lineRule="exact"/>
        <w:rPr>
          <w:sz w:val="20"/>
          <w:szCs w:val="20"/>
          <w:color w:val="auto"/>
        </w:rPr>
      </w:pPr>
    </w:p>
    <w:p>
      <w:pPr>
        <w:ind w:firstLine="706"/>
        <w:spacing w:after="0" w:line="300"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partnership agreement restricts the rights of shareholders owning 20% or more of our shares.</w:t>
      </w:r>
    </w:p>
    <w:p>
      <w:pPr>
        <w:spacing w:after="0" w:line="248" w:lineRule="exact"/>
        <w:rPr>
          <w:sz w:val="20"/>
          <w:szCs w:val="20"/>
          <w:color w:val="auto"/>
        </w:rPr>
      </w:pPr>
    </w:p>
    <w:p>
      <w:pPr>
        <w:ind w:right="40" w:firstLine="706"/>
        <w:spacing w:after="0" w:line="263" w:lineRule="auto"/>
        <w:rPr>
          <w:sz w:val="20"/>
          <w:szCs w:val="20"/>
          <w:color w:val="auto"/>
        </w:rPr>
      </w:pPr>
      <w:r>
        <w:rPr>
          <w:rFonts w:ascii="Arial" w:cs="Arial" w:eastAsia="Arial" w:hAnsi="Arial"/>
          <w:sz w:val="19"/>
          <w:szCs w:val="19"/>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20"/>
          </w:cols>
          <w:pgMar w:left="920" w:top="575" w:right="940" w:bottom="0" w:gutter="0" w:footer="0" w:header="0"/>
          <w:type w:val="continuous"/>
        </w:sectPr>
      </w:pPr>
    </w:p>
    <w:bookmarkStart w:id="43" w:name="page44"/>
    <w:bookmarkEnd w:id="43"/>
    <w:p>
      <w:pPr>
        <w:spacing w:after="0" w:line="366" w:lineRule="auto"/>
        <w:rPr>
          <w:sz w:val="20"/>
          <w:szCs w:val="20"/>
          <w:color w:val="auto"/>
        </w:rPr>
      </w:pPr>
      <w:r>
        <w:rPr>
          <w:rFonts w:ascii="Arial" w:cs="Arial" w:eastAsia="Arial" w:hAnsi="Arial"/>
          <w:sz w:val="17"/>
          <w:szCs w:val="17"/>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17" w:lineRule="exact"/>
        <w:rPr>
          <w:sz w:val="20"/>
          <w:szCs w:val="20"/>
          <w:color w:val="auto"/>
        </w:rPr>
      </w:pPr>
    </w:p>
    <w:p>
      <w:pPr>
        <w:ind w:right="200" w:firstLine="706"/>
        <w:spacing w:after="0" w:line="266" w:lineRule="auto"/>
        <w:rPr>
          <w:sz w:val="20"/>
          <w:szCs w:val="20"/>
          <w:color w:val="auto"/>
        </w:rPr>
      </w:pPr>
      <w:r>
        <w:rPr>
          <w:rFonts w:ascii="Arial" w:cs="Arial" w:eastAsia="Arial" w:hAnsi="Arial"/>
          <w:sz w:val="19"/>
          <w:szCs w:val="19"/>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186" w:lineRule="exact"/>
        <w:rPr>
          <w:sz w:val="20"/>
          <w:szCs w:val="20"/>
          <w:color w:val="auto"/>
        </w:rPr>
      </w:pPr>
    </w:p>
    <w:p>
      <w:pPr>
        <w:ind w:right="220"/>
        <w:spacing w:after="0" w:line="275" w:lineRule="auto"/>
        <w:rPr>
          <w:sz w:val="20"/>
          <w:szCs w:val="20"/>
          <w:color w:val="auto"/>
        </w:rPr>
      </w:pPr>
      <w:r>
        <w:rPr>
          <w:rFonts w:ascii="Arial" w:cs="Arial" w:eastAsia="Arial" w:hAnsi="Arial"/>
          <w:sz w:val="20"/>
          <w:szCs w:val="20"/>
          <w:b w:val="1"/>
          <w:bCs w:val="1"/>
          <w:i w:val="1"/>
          <w:iCs w:val="1"/>
          <w:color w:val="auto"/>
        </w:rPr>
        <w:t>The price of our Class A shares may be volatile, and holders of our Class A shares could lose a significant portion of their investments.</w:t>
      </w:r>
    </w:p>
    <w:p>
      <w:pPr>
        <w:spacing w:after="0" w:line="186" w:lineRule="exact"/>
        <w:rPr>
          <w:sz w:val="20"/>
          <w:szCs w:val="20"/>
          <w:color w:val="auto"/>
        </w:rPr>
      </w:pPr>
    </w:p>
    <w:p>
      <w:pPr>
        <w:ind w:right="160" w:firstLine="706"/>
        <w:spacing w:after="0" w:line="312" w:lineRule="auto"/>
        <w:rPr>
          <w:sz w:val="20"/>
          <w:szCs w:val="20"/>
          <w:color w:val="auto"/>
        </w:rPr>
      </w:pPr>
      <w:r>
        <w:rPr>
          <w:rFonts w:ascii="Arial" w:cs="Arial" w:eastAsia="Arial" w:hAnsi="Arial"/>
          <w:sz w:val="17"/>
          <w:szCs w:val="17"/>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42" w:lineRule="exact"/>
        <w:rPr>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PAA’s operating and financial performance and prospects and the trading price of its common units;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level of PAA’s quarterly distributions and our quarterly distributions;</w:t>
      </w:r>
    </w:p>
    <w:p>
      <w:pPr>
        <w:spacing w:after="0" w:line="122" w:lineRule="exact"/>
        <w:rPr>
          <w:rFonts w:ascii="Arial" w:cs="Arial" w:eastAsia="Arial" w:hAnsi="Arial"/>
          <w:sz w:val="20"/>
          <w:szCs w:val="20"/>
          <w:color w:val="auto"/>
        </w:rPr>
      </w:pPr>
    </w:p>
    <w:p>
      <w:pPr>
        <w:ind w:left="1060" w:right="280" w:hanging="362"/>
        <w:spacing w:after="0" w:line="271" w:lineRule="auto"/>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quarterly variations in the rate of growth of our financial indicators, such as distributable cash flow per Class A share, net income and revenues;</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changes in revenue or earnings and distribution estimates or publication of research reports by analysts;</w:t>
      </w:r>
    </w:p>
    <w:p>
      <w:pPr>
        <w:spacing w:after="0" w:line="134" w:lineRule="exact"/>
        <w:rPr>
          <w:rFonts w:ascii="Arial" w:cs="Arial" w:eastAsia="Arial" w:hAnsi="Arial"/>
          <w:sz w:val="19"/>
          <w:szCs w:val="19"/>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speculation by the press or investment community;</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sales of our Class A shares by our shareholders;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exercise by the Legacy Owners of their exchange rights with respect to any retained AAP units;</w:t>
      </w:r>
    </w:p>
    <w:p>
      <w:pPr>
        <w:spacing w:after="0" w:line="122" w:lineRule="exact"/>
        <w:rPr>
          <w:rFonts w:ascii="Arial" w:cs="Arial" w:eastAsia="Arial" w:hAnsi="Arial"/>
          <w:sz w:val="20"/>
          <w:szCs w:val="20"/>
          <w:color w:val="auto"/>
        </w:rPr>
      </w:pPr>
    </w:p>
    <w:p>
      <w:pPr>
        <w:ind w:left="1060" w:right="560" w:hanging="362"/>
        <w:spacing w:after="0" w:line="271" w:lineRule="auto"/>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announcements by PAA or its competitors of significant contracts, acquisitions, strategic partnerships, joint ventures, securities offerings or capital commitments;</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general market conditions, including conditions in financial markets;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accounting standards, policies, guidance, interpretations or principles;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adverse changes in tax laws or regulations;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domestic and international economic, legal and regulatory factors related to PAA’s performance;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other factors described in these “Risk Factors.”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 increase in interest rates may cause the market price of our shares to decline.</w:t>
      </w:r>
    </w:p>
    <w:p>
      <w:pPr>
        <w:spacing w:after="0" w:line="248" w:lineRule="exact"/>
        <w:rPr>
          <w:sz w:val="20"/>
          <w:szCs w:val="20"/>
          <w:color w:val="auto"/>
        </w:rPr>
      </w:pPr>
    </w:p>
    <w:p>
      <w:pPr>
        <w:ind w:right="40" w:firstLine="706"/>
        <w:spacing w:after="0" w:line="249" w:lineRule="auto"/>
        <w:rPr>
          <w:sz w:val="20"/>
          <w:szCs w:val="20"/>
          <w:color w:val="auto"/>
        </w:rPr>
      </w:pPr>
      <w:r>
        <w:rPr>
          <w:rFonts w:ascii="Arial" w:cs="Arial" w:eastAsia="Arial" w:hAnsi="Arial"/>
          <w:sz w:val="20"/>
          <w:szCs w:val="20"/>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204" w:lineRule="exact"/>
        <w:rPr>
          <w:sz w:val="20"/>
          <w:szCs w:val="20"/>
          <w:color w:val="auto"/>
        </w:rPr>
      </w:pPr>
    </w:p>
    <w:p>
      <w:pPr>
        <w:ind w:right="360"/>
        <w:spacing w:after="0" w:line="366" w:lineRule="auto"/>
        <w:rPr>
          <w:sz w:val="20"/>
          <w:szCs w:val="20"/>
          <w:color w:val="auto"/>
        </w:rPr>
      </w:pPr>
      <w:r>
        <w:rPr>
          <w:rFonts w:ascii="Arial" w:cs="Arial" w:eastAsia="Arial" w:hAnsi="Arial"/>
          <w:sz w:val="17"/>
          <w:szCs w:val="17"/>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17" w:lineRule="exact"/>
        <w:rPr>
          <w:sz w:val="20"/>
          <w:szCs w:val="20"/>
          <w:color w:val="auto"/>
        </w:rPr>
      </w:pPr>
    </w:p>
    <w:p>
      <w:pPr>
        <w:ind w:right="20" w:firstLine="706"/>
        <w:spacing w:after="0" w:line="312" w:lineRule="auto"/>
        <w:rPr>
          <w:sz w:val="20"/>
          <w:szCs w:val="20"/>
          <w:color w:val="auto"/>
        </w:rPr>
      </w:pPr>
      <w:r>
        <w:rPr>
          <w:rFonts w:ascii="Arial" w:cs="Arial" w:eastAsia="Arial" w:hAnsi="Arial"/>
          <w:sz w:val="17"/>
          <w:szCs w:val="17"/>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40"/>
          </w:cols>
          <w:pgMar w:left="920" w:top="575" w:right="920" w:bottom="0" w:gutter="0" w:footer="0" w:header="0"/>
          <w:type w:val="continuous"/>
        </w:sectPr>
      </w:pPr>
    </w:p>
    <w:bookmarkStart w:id="44" w:name="page45"/>
    <w:bookmarkEnd w:id="44"/>
    <w:p>
      <w:pPr>
        <w:ind w:right="20" w:firstLine="706"/>
        <w:spacing w:after="0" w:line="312" w:lineRule="auto"/>
        <w:rPr>
          <w:sz w:val="20"/>
          <w:szCs w:val="20"/>
          <w:color w:val="auto"/>
        </w:rPr>
      </w:pPr>
      <w:r>
        <w:rPr>
          <w:rFonts w:ascii="Arial" w:cs="Arial" w:eastAsia="Arial" w:hAnsi="Arial"/>
          <w:sz w:val="17"/>
          <w:szCs w:val="17"/>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Legacy Owners hold a meaningful portion of the combined voting power of our Class A and Class B shares.</w:t>
      </w:r>
    </w:p>
    <w:p>
      <w:pPr>
        <w:spacing w:after="0" w:line="282" w:lineRule="exact"/>
        <w:rPr>
          <w:sz w:val="20"/>
          <w:szCs w:val="20"/>
          <w:color w:val="auto"/>
        </w:rPr>
      </w:pPr>
    </w:p>
    <w:p>
      <w:pPr>
        <w:ind w:right="60" w:firstLine="706"/>
        <w:spacing w:after="0" w:line="297" w:lineRule="auto"/>
        <w:rPr>
          <w:sz w:val="20"/>
          <w:szCs w:val="20"/>
          <w:color w:val="auto"/>
        </w:rPr>
      </w:pPr>
      <w:r>
        <w:rPr>
          <w:rFonts w:ascii="Arial" w:cs="Arial" w:eastAsia="Arial" w:hAnsi="Arial"/>
          <w:sz w:val="17"/>
          <w:szCs w:val="17"/>
          <w:color w:val="auto"/>
        </w:rPr>
        <w:t>At December 31, 2024, through their ownership of Class B shares, the Legacy Owners held approximately 15% of the combined voting power of our Class A and Class B shares. The Legacy Owners are entitled to act separately in their own respective interests with respect to their partnership interests in us, and collectively they currently have the ability to influence (although not the ability to block outright) (i) the outcome of any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meaningful amount of our outstanding shares, even if such amount is less than 50%, they will continue to be able to influence any matters requiring shareholder approval, regardless of whether or not other shareholders believe that such matters are in their own best interests.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 valuation allowance on our deferred tax asset could reduce our earnings.</w:t>
      </w:r>
    </w:p>
    <w:p>
      <w:pPr>
        <w:spacing w:after="0" w:line="248" w:lineRule="exact"/>
        <w:rPr>
          <w:sz w:val="20"/>
          <w:szCs w:val="20"/>
          <w:color w:val="auto"/>
        </w:rPr>
      </w:pPr>
    </w:p>
    <w:p>
      <w:pPr>
        <w:ind w:right="60" w:firstLine="706"/>
        <w:spacing w:after="0" w:line="264" w:lineRule="auto"/>
        <w:rPr>
          <w:sz w:val="20"/>
          <w:szCs w:val="20"/>
          <w:color w:val="auto"/>
        </w:rPr>
      </w:pPr>
      <w:r>
        <w:rPr>
          <w:rFonts w:ascii="Arial" w:cs="Arial" w:eastAsia="Arial" w:hAnsi="Arial"/>
          <w:sz w:val="19"/>
          <w:szCs w:val="19"/>
          <w:color w:val="auto"/>
        </w:rPr>
        <w:t>As of December 31, 2024, we had a gross deferred tax asset of approximately $1.3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2024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incur liability as a result of our ownership of our and PAA’s general partner.</w:t>
      </w:r>
    </w:p>
    <w:p>
      <w:pPr>
        <w:spacing w:after="0" w:line="248" w:lineRule="exact"/>
        <w:rPr>
          <w:sz w:val="20"/>
          <w:szCs w:val="20"/>
          <w:color w:val="auto"/>
        </w:rPr>
      </w:pPr>
    </w:p>
    <w:p>
      <w:pPr>
        <w:ind w:right="40" w:firstLine="706"/>
        <w:spacing w:after="0" w:line="264" w:lineRule="auto"/>
        <w:rPr>
          <w:sz w:val="20"/>
          <w:szCs w:val="20"/>
          <w:color w:val="auto"/>
        </w:rPr>
      </w:pPr>
      <w:r>
        <w:rPr>
          <w:rFonts w:ascii="Arial" w:cs="Arial" w:eastAsia="Arial" w:hAnsi="Arial"/>
          <w:sz w:val="19"/>
          <w:szCs w:val="19"/>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Conflicts of Interest</w:t>
      </w:r>
    </w:p>
    <w:p>
      <w:pPr>
        <w:spacing w:after="0" w:line="248" w:lineRule="exact"/>
        <w:rPr>
          <w:sz w:val="20"/>
          <w:szCs w:val="20"/>
          <w:color w:val="auto"/>
        </w:rPr>
      </w:pPr>
    </w:p>
    <w:p>
      <w:pPr>
        <w:ind w:right="200" w:firstLine="706"/>
        <w:spacing w:after="0" w:line="298" w:lineRule="auto"/>
        <w:rPr>
          <w:sz w:val="20"/>
          <w:szCs w:val="20"/>
          <w:color w:val="auto"/>
        </w:rPr>
      </w:pPr>
      <w:r>
        <w:rPr>
          <w:rFonts w:ascii="Arial" w:cs="Arial" w:eastAsia="Arial" w:hAnsi="Arial"/>
          <w:sz w:val="19"/>
          <w:szCs w:val="19"/>
          <w:color w:val="auto"/>
        </w:rPr>
        <w:t>Our existing organizational structure and the current and future relationships among us, PAA, our respective general partners, the Legacy Owners and affiliated entities present the potential for conflicts of interest.</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Conflicts of interest may arise as a result of our organizational structure and the current and future relationships among us, PAA, our respective general partners, the Legacy Owners and affiliated entities.</w:t>
      </w:r>
    </w:p>
    <w:p>
      <w:pPr>
        <w:spacing w:after="0" w:line="186" w:lineRule="exact"/>
        <w:rPr>
          <w:sz w:val="20"/>
          <w:szCs w:val="20"/>
          <w:color w:val="auto"/>
        </w:rPr>
      </w:pPr>
    </w:p>
    <w:p>
      <w:pPr>
        <w:jc w:val="both"/>
        <w:ind w:firstLine="706"/>
        <w:spacing w:after="0" w:line="258" w:lineRule="auto"/>
        <w:rPr>
          <w:sz w:val="20"/>
          <w:szCs w:val="20"/>
          <w:color w:val="auto"/>
        </w:rPr>
      </w:pPr>
      <w:r>
        <w:rPr>
          <w:rFonts w:ascii="Arial" w:cs="Arial" w:eastAsia="Arial" w:hAnsi="Arial"/>
          <w:sz w:val="20"/>
          <w:szCs w:val="20"/>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199" w:lineRule="exact"/>
        <w:rPr>
          <w:sz w:val="20"/>
          <w:szCs w:val="20"/>
          <w:color w:val="auto"/>
        </w:rPr>
      </w:pPr>
    </w:p>
    <w:p>
      <w:pPr>
        <w:ind w:right="520" w:firstLine="706"/>
        <w:spacing w:after="0" w:line="254" w:lineRule="auto"/>
        <w:rPr>
          <w:sz w:val="20"/>
          <w:szCs w:val="20"/>
          <w:color w:val="auto"/>
        </w:rPr>
      </w:pPr>
      <w:r>
        <w:rPr>
          <w:rFonts w:ascii="Arial" w:cs="Arial" w:eastAsia="Arial" w:hAnsi="Arial"/>
          <w:sz w:val="20"/>
          <w:szCs w:val="20"/>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ectPr>
          <w:pgSz w:w="11880" w:h="15480" w:orient="portrait"/>
          <w:cols w:equalWidth="0" w:num="1">
            <w:col w:w="10020"/>
          </w:cols>
          <w:pgMar w:left="920" w:top="58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20"/>
          </w:cols>
          <w:pgMar w:left="920" w:top="582" w:right="940" w:bottom="0" w:gutter="0" w:footer="0" w:header="0"/>
          <w:type w:val="continuous"/>
        </w:sectPr>
      </w:pPr>
    </w:p>
    <w:bookmarkStart w:id="45" w:name="page46"/>
    <w:bookmarkEnd w:id="45"/>
    <w:p>
      <w:pPr>
        <w:ind w:right="180"/>
        <w:spacing w:after="0" w:line="260" w:lineRule="auto"/>
        <w:rPr>
          <w:sz w:val="20"/>
          <w:szCs w:val="20"/>
          <w:color w:val="auto"/>
        </w:rPr>
      </w:pPr>
      <w:r>
        <w:rPr>
          <w:rFonts w:ascii="Arial" w:cs="Arial" w:eastAsia="Arial" w:hAnsi="Arial"/>
          <w:sz w:val="20"/>
          <w:szCs w:val="20"/>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201" w:lineRule="exact"/>
        <w:rPr>
          <w:sz w:val="20"/>
          <w:szCs w:val="20"/>
          <w:color w:val="auto"/>
        </w:rPr>
      </w:pPr>
    </w:p>
    <w:p>
      <w:pPr>
        <w:ind w:right="380" w:firstLine="706"/>
        <w:spacing w:after="0" w:line="271" w:lineRule="auto"/>
        <w:rPr>
          <w:sz w:val="20"/>
          <w:szCs w:val="20"/>
          <w:color w:val="auto"/>
        </w:rPr>
      </w:pPr>
      <w:r>
        <w:rPr>
          <w:rFonts w:ascii="Arial" w:cs="Arial" w:eastAsia="Arial" w:hAnsi="Arial"/>
          <w:sz w:val="20"/>
          <w:szCs w:val="20"/>
          <w:color w:val="auto"/>
        </w:rPr>
        <w:t>Our partnership agreement contains provisions that substantially reduce the standards to which our general partner would otherwise be held by state fiduciary duty law. For example, our partnership agreement:</w:t>
      </w:r>
    </w:p>
    <w:p>
      <w:pPr>
        <w:spacing w:after="0" w:line="69" w:lineRule="exact"/>
        <w:rPr>
          <w:sz w:val="20"/>
          <w:szCs w:val="20"/>
          <w:color w:val="auto"/>
        </w:rPr>
      </w:pPr>
    </w:p>
    <w:p>
      <w:pPr>
        <w:ind w:left="1060" w:hanging="362"/>
        <w:spacing w:after="0" w:line="264"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81" w:lineRule="exact"/>
        <w:rPr>
          <w:rFonts w:ascii="Arial" w:cs="Arial" w:eastAsia="Arial" w:hAnsi="Arial"/>
          <w:sz w:val="19"/>
          <w:szCs w:val="19"/>
          <w:color w:val="auto"/>
        </w:rPr>
      </w:pPr>
    </w:p>
    <w:p>
      <w:pPr>
        <w:ind w:left="1060" w:right="20" w:hanging="362"/>
        <w:spacing w:after="0" w:line="254" w:lineRule="auto"/>
        <w:tabs>
          <w:tab w:leader="none" w:pos="10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84" w:lineRule="exact"/>
        <w:rPr>
          <w:rFonts w:ascii="Arial" w:cs="Arial" w:eastAsia="Arial" w:hAnsi="Arial"/>
          <w:sz w:val="20"/>
          <w:szCs w:val="20"/>
          <w:color w:val="auto"/>
        </w:rPr>
      </w:pPr>
    </w:p>
    <w:p>
      <w:pPr>
        <w:ind w:left="1060" w:right="60" w:hanging="362"/>
        <w:spacing w:after="0" w:line="254" w:lineRule="auto"/>
        <w:tabs>
          <w:tab w:leader="none" w:pos="10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84" w:lineRule="exact"/>
        <w:rPr>
          <w:rFonts w:ascii="Arial" w:cs="Arial" w:eastAsia="Arial" w:hAnsi="Arial"/>
          <w:sz w:val="20"/>
          <w:szCs w:val="20"/>
          <w:color w:val="auto"/>
        </w:rPr>
      </w:pPr>
    </w:p>
    <w:p>
      <w:pPr>
        <w:ind w:left="1760" w:right="80" w:hanging="356"/>
        <w:spacing w:after="0" w:line="258" w:lineRule="auto"/>
        <w:tabs>
          <w:tab w:leader="none" w:pos="17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81" w:lineRule="exact"/>
        <w:rPr>
          <w:rFonts w:ascii="Arial" w:cs="Arial" w:eastAsia="Arial" w:hAnsi="Arial"/>
          <w:sz w:val="20"/>
          <w:szCs w:val="20"/>
          <w:color w:val="auto"/>
        </w:rPr>
      </w:pPr>
    </w:p>
    <w:p>
      <w:pPr>
        <w:jc w:val="both"/>
        <w:ind w:left="1760" w:right="540" w:hanging="356"/>
        <w:spacing w:after="0" w:line="258" w:lineRule="auto"/>
        <w:tabs>
          <w:tab w:leader="none" w:pos="17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81" w:lineRule="exact"/>
        <w:rPr>
          <w:rFonts w:ascii="Arial" w:cs="Arial" w:eastAsia="Arial" w:hAnsi="Arial"/>
          <w:sz w:val="20"/>
          <w:szCs w:val="20"/>
          <w:color w:val="auto"/>
        </w:rPr>
      </w:pPr>
    </w:p>
    <w:p>
      <w:pPr>
        <w:ind w:left="1760" w:right="280" w:hanging="356"/>
        <w:spacing w:after="0" w:line="271" w:lineRule="auto"/>
        <w:tabs>
          <w:tab w:leader="none" w:pos="1809"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determined by our general partner (after due inquiry) to be on terms no less favorable to us than those generally being provided to or available from unrelated third parties; or</w:t>
      </w:r>
    </w:p>
    <w:p>
      <w:pPr>
        <w:spacing w:after="0" w:line="68" w:lineRule="exact"/>
        <w:rPr>
          <w:rFonts w:ascii="Arial" w:cs="Arial" w:eastAsia="Arial" w:hAnsi="Arial"/>
          <w:sz w:val="20"/>
          <w:szCs w:val="20"/>
          <w:color w:val="auto"/>
        </w:rPr>
      </w:pPr>
    </w:p>
    <w:p>
      <w:pPr>
        <w:ind w:left="1760" w:hanging="356"/>
        <w:spacing w:after="0" w:line="254" w:lineRule="auto"/>
        <w:tabs>
          <w:tab w:leader="none" w:pos="1809"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84" w:lineRule="exact"/>
        <w:rPr>
          <w:rFonts w:ascii="Arial" w:cs="Arial" w:eastAsia="Arial" w:hAnsi="Arial"/>
          <w:sz w:val="20"/>
          <w:szCs w:val="20"/>
          <w:color w:val="auto"/>
        </w:rPr>
      </w:pPr>
    </w:p>
    <w:p>
      <w:pPr>
        <w:ind w:left="1060" w:right="80" w:hanging="362"/>
        <w:spacing w:after="0" w:line="264" w:lineRule="auto"/>
        <w:tabs>
          <w:tab w:leader="none" w:pos="10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76" w:lineRule="exact"/>
        <w:rPr>
          <w:rFonts w:ascii="Arial" w:cs="Arial" w:eastAsia="Arial" w:hAnsi="Arial"/>
          <w:sz w:val="19"/>
          <w:szCs w:val="19"/>
          <w:color w:val="auto"/>
        </w:rPr>
      </w:pPr>
    </w:p>
    <w:p>
      <w:pPr>
        <w:ind w:left="1060" w:right="100" w:hanging="362"/>
        <w:spacing w:after="0" w:line="251" w:lineRule="auto"/>
        <w:tabs>
          <w:tab w:leader="none" w:pos="10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Legacy Owners may have interests that conflict with holders of our Class A shares.</w:t>
      </w:r>
    </w:p>
    <w:p>
      <w:pPr>
        <w:spacing w:after="0" w:line="248" w:lineRule="exact"/>
        <w:rPr>
          <w:sz w:val="20"/>
          <w:szCs w:val="20"/>
          <w:color w:val="auto"/>
        </w:rPr>
      </w:pPr>
    </w:p>
    <w:p>
      <w:pPr>
        <w:ind w:right="100" w:firstLine="706"/>
        <w:spacing w:after="0" w:line="254" w:lineRule="auto"/>
        <w:rPr>
          <w:sz w:val="20"/>
          <w:szCs w:val="20"/>
          <w:color w:val="auto"/>
        </w:rPr>
      </w:pPr>
      <w:r>
        <w:rPr>
          <w:rFonts w:ascii="Arial" w:cs="Arial" w:eastAsia="Arial" w:hAnsi="Arial"/>
          <w:sz w:val="20"/>
          <w:szCs w:val="20"/>
          <w:color w:val="auto"/>
        </w:rPr>
        <w:t>At December 31, 2024, the Legacy Owners owned approximately 15% of our outstanding Class A and Class B shares and approximately 15%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40"/>
          </w:cols>
          <w:pgMar w:left="920" w:top="575" w:right="920" w:bottom="0" w:gutter="0" w:footer="0" w:header="0"/>
          <w:type w:val="continuous"/>
        </w:sectPr>
      </w:pPr>
    </w:p>
    <w:bookmarkStart w:id="46" w:name="page47"/>
    <w:bookmarkEnd w:id="46"/>
    <w:p>
      <w:pPr>
        <w:ind w:right="40" w:firstLine="706"/>
        <w:spacing w:after="0" w:line="258" w:lineRule="auto"/>
        <w:rPr>
          <w:sz w:val="20"/>
          <w:szCs w:val="20"/>
          <w:color w:val="auto"/>
        </w:rPr>
      </w:pPr>
      <w:r>
        <w:rPr>
          <w:rFonts w:ascii="Arial" w:cs="Arial" w:eastAsia="Arial" w:hAnsi="Arial"/>
          <w:sz w:val="20"/>
          <w:szCs w:val="20"/>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If we are presented with business opportunities, PAA has the first right to pursue such opportunities.</w:t>
      </w:r>
    </w:p>
    <w:p>
      <w:pPr>
        <w:spacing w:after="0" w:line="248" w:lineRule="exact"/>
        <w:rPr>
          <w:sz w:val="20"/>
          <w:szCs w:val="20"/>
          <w:color w:val="auto"/>
        </w:rPr>
      </w:pPr>
    </w:p>
    <w:p>
      <w:pPr>
        <w:ind w:firstLine="706"/>
        <w:spacing w:after="0" w:line="303"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general partner’s affiliates and the Legacy Owners may compete with us.</w:t>
      </w:r>
    </w:p>
    <w:p>
      <w:pPr>
        <w:spacing w:after="0" w:line="248" w:lineRule="exact"/>
        <w:rPr>
          <w:sz w:val="20"/>
          <w:szCs w:val="20"/>
          <w:color w:val="auto"/>
        </w:rPr>
      </w:pPr>
    </w:p>
    <w:p>
      <w:pPr>
        <w:ind w:right="80" w:firstLine="706"/>
        <w:spacing w:after="0" w:line="306" w:lineRule="auto"/>
        <w:rPr>
          <w:sz w:val="20"/>
          <w:szCs w:val="20"/>
          <w:color w:val="auto"/>
        </w:rPr>
      </w:pPr>
      <w:r>
        <w:rPr>
          <w:rFonts w:ascii="Arial" w:cs="Arial" w:eastAsia="Arial" w:hAnsi="Arial"/>
          <w:sz w:val="17"/>
          <w:szCs w:val="17"/>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158" w:lineRule="exact"/>
        <w:rPr>
          <w:sz w:val="20"/>
          <w:szCs w:val="20"/>
          <w:color w:val="auto"/>
        </w:rPr>
      </w:pPr>
    </w:p>
    <w:p>
      <w:pPr>
        <w:ind w:right="80"/>
        <w:spacing w:after="0" w:line="275" w:lineRule="auto"/>
        <w:rPr>
          <w:sz w:val="20"/>
          <w:szCs w:val="20"/>
          <w:color w:val="auto"/>
        </w:rPr>
      </w:pPr>
      <w:r>
        <w:rPr>
          <w:rFonts w:ascii="Arial" w:cs="Arial" w:eastAsia="Arial" w:hAnsi="Arial"/>
          <w:sz w:val="20"/>
          <w:szCs w:val="20"/>
          <w:b w:val="1"/>
          <w:bCs w:val="1"/>
          <w:i w:val="1"/>
          <w:iCs w:val="1"/>
          <w:color w:val="auto"/>
        </w:rPr>
        <w:t>Our general partner has a call right that may require our shareholders to sell their Class A shares at an undesirable time or price.</w:t>
      </w:r>
    </w:p>
    <w:p>
      <w:pPr>
        <w:spacing w:after="0" w:line="186" w:lineRule="exact"/>
        <w:rPr>
          <w:sz w:val="20"/>
          <w:szCs w:val="20"/>
          <w:color w:val="auto"/>
        </w:rPr>
      </w:pPr>
    </w:p>
    <w:p>
      <w:pPr>
        <w:ind w:right="20" w:firstLine="706"/>
        <w:spacing w:after="0" w:line="296" w:lineRule="auto"/>
        <w:rPr>
          <w:sz w:val="20"/>
          <w:szCs w:val="20"/>
          <w:color w:val="auto"/>
        </w:rPr>
      </w:pPr>
      <w:r>
        <w:rPr>
          <w:rFonts w:ascii="Arial" w:cs="Arial" w:eastAsia="Arial" w:hAnsi="Arial"/>
          <w:sz w:val="17"/>
          <w:szCs w:val="17"/>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2024, the Legacy Owners owned approximately 15% of the Class A shares and Class B shares on a combined basis.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PAA’s Business</w:t>
      </w:r>
    </w:p>
    <w:p>
      <w:pPr>
        <w:spacing w:after="0" w:line="240"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b w:val="1"/>
          <w:bCs w:val="1"/>
          <w:i w:val="1"/>
          <w:iCs w:val="1"/>
          <w:color w:val="auto"/>
        </w:rPr>
        <w:t>PAA’s profitability depends on the volume of crude oil, natural gas and NGL shipped, processed, purchased, stored, fractionated and/or gathered at or through the use of its pipelines and facilities, which can be negatively impacted by a variety of factors outside of its control.</w:t>
      </w:r>
    </w:p>
    <w:p>
      <w:pPr>
        <w:spacing w:after="0" w:line="201" w:lineRule="exact"/>
        <w:rPr>
          <w:sz w:val="20"/>
          <w:szCs w:val="20"/>
          <w:color w:val="auto"/>
        </w:rPr>
      </w:pPr>
    </w:p>
    <w:p>
      <w:pPr>
        <w:ind w:firstLine="706"/>
        <w:spacing w:after="0" w:line="296" w:lineRule="auto"/>
        <w:rPr>
          <w:sz w:val="20"/>
          <w:szCs w:val="20"/>
          <w:color w:val="auto"/>
        </w:rPr>
      </w:pPr>
      <w:r>
        <w:rPr>
          <w:rFonts w:ascii="Arial" w:cs="Arial" w:eastAsia="Arial" w:hAnsi="Arial"/>
          <w:sz w:val="17"/>
          <w:szCs w:val="17"/>
          <w:color w:val="auto"/>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PAA’s pipelines and at its other facilities, which, depending on the level of production declines, could have a material adverse effect on PAA’s business.</w:t>
      </w:r>
    </w:p>
    <w:p>
      <w:pPr>
        <w:spacing w:after="0" w:line="176" w:lineRule="exact"/>
        <w:rPr>
          <w:sz w:val="20"/>
          <w:szCs w:val="20"/>
          <w:color w:val="auto"/>
        </w:rPr>
      </w:pPr>
    </w:p>
    <w:p>
      <w:pPr>
        <w:ind w:right="160" w:firstLine="706"/>
        <w:spacing w:after="0" w:line="325" w:lineRule="auto"/>
        <w:rPr>
          <w:sz w:val="20"/>
          <w:szCs w:val="20"/>
          <w:color w:val="auto"/>
        </w:rPr>
      </w:pPr>
      <w:r>
        <w:rPr>
          <w:rFonts w:ascii="Arial" w:cs="Arial" w:eastAsia="Arial" w:hAnsi="Arial"/>
          <w:sz w:val="17"/>
          <w:szCs w:val="17"/>
          <w:color w:val="auto"/>
        </w:rPr>
        <w:t>Also, except with respect to some of PAA’s more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40"/>
          </w:cols>
          <w:pgMar w:left="920" w:top="582" w:right="920" w:bottom="0" w:gutter="0" w:footer="0" w:header="0"/>
          <w:type w:val="continuous"/>
        </w:sectPr>
      </w:pPr>
    </w:p>
    <w:bookmarkStart w:id="47" w:name="page48"/>
    <w:bookmarkEnd w:id="47"/>
    <w:p>
      <w:pPr>
        <w:ind w:right="40" w:firstLine="706"/>
        <w:spacing w:after="0" w:line="271" w:lineRule="auto"/>
        <w:rPr>
          <w:sz w:val="20"/>
          <w:szCs w:val="20"/>
          <w:color w:val="auto"/>
        </w:rPr>
      </w:pPr>
      <w:r>
        <w:rPr>
          <w:rFonts w:ascii="Arial" w:cs="Arial" w:eastAsia="Arial" w:hAnsi="Arial"/>
          <w:sz w:val="19"/>
          <w:szCs w:val="19"/>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PAA’s ability to secure additional supplies of crude oil.</w:t>
      </w:r>
    </w:p>
    <w:p>
      <w:pPr>
        <w:spacing w:after="0" w:line="18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b w:val="1"/>
          <w:bCs w:val="1"/>
          <w:i w:val="1"/>
          <w:iCs w:val="1"/>
          <w:color w:val="auto"/>
        </w:rPr>
        <w:t>PAA’s profitability can be negatively affected by a variety of factors stemming from competition in its industry, including recontracting and other risks associated with the general capacity overbuild of midstream energy infrastructure in some of the areas where it operates.</w:t>
      </w:r>
    </w:p>
    <w:p>
      <w:pPr>
        <w:spacing w:after="0" w:line="201" w:lineRule="exact"/>
        <w:rPr>
          <w:sz w:val="20"/>
          <w:szCs w:val="20"/>
          <w:color w:val="auto"/>
        </w:rPr>
      </w:pPr>
    </w:p>
    <w:p>
      <w:pPr>
        <w:ind w:firstLine="706"/>
        <w:spacing w:after="0" w:line="297" w:lineRule="auto"/>
        <w:rPr>
          <w:sz w:val="20"/>
          <w:szCs w:val="20"/>
          <w:color w:val="auto"/>
        </w:rPr>
      </w:pPr>
      <w:r>
        <w:rPr>
          <w:rFonts w:ascii="Arial" w:cs="Arial" w:eastAsia="Arial" w:hAnsi="Arial"/>
          <w:sz w:val="17"/>
          <w:szCs w:val="17"/>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 and make recontracting at favorable rates and volumes more challenging, including, for example, with respect to certain of PAA’s long-haul Permian pipelines.</w:t>
      </w:r>
    </w:p>
    <w:p>
      <w:pPr>
        <w:spacing w:after="0" w:line="200" w:lineRule="exact"/>
        <w:rPr>
          <w:sz w:val="20"/>
          <w:szCs w:val="20"/>
          <w:color w:val="auto"/>
        </w:rPr>
      </w:pPr>
    </w:p>
    <w:p>
      <w:pPr>
        <w:spacing w:after="0" w:line="210" w:lineRule="exact"/>
        <w:rPr>
          <w:sz w:val="20"/>
          <w:szCs w:val="20"/>
          <w:color w:val="auto"/>
        </w:rPr>
      </w:pPr>
    </w:p>
    <w:p>
      <w:pPr>
        <w:ind w:right="280" w:firstLine="706"/>
        <w:spacing w:after="0" w:line="295" w:lineRule="auto"/>
        <w:rPr>
          <w:sz w:val="20"/>
          <w:szCs w:val="20"/>
          <w:color w:val="auto"/>
        </w:rPr>
      </w:pPr>
      <w:r>
        <w:rPr>
          <w:rFonts w:ascii="Arial" w:cs="Arial" w:eastAsia="Arial" w:hAnsi="Arial"/>
          <w:sz w:val="17"/>
          <w:szCs w:val="17"/>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 areas where PAA operates have become 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In addition, PAA’s crude oil and NGL merchant activities utilize many of its pipelines and facilities. Competition that impacts PAA’s merchant activities could result in a reduction in the use of its transportation and facilities assets.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200" w:lineRule="exact"/>
        <w:rPr>
          <w:sz w:val="20"/>
          <w:szCs w:val="20"/>
          <w:color w:val="auto"/>
        </w:rPr>
      </w:pPr>
    </w:p>
    <w:p>
      <w:pPr>
        <w:spacing w:after="0" w:line="210" w:lineRule="exact"/>
        <w:rPr>
          <w:sz w:val="20"/>
          <w:szCs w:val="20"/>
          <w:color w:val="auto"/>
        </w:rPr>
      </w:pPr>
    </w:p>
    <w:p>
      <w:pPr>
        <w:ind w:right="80" w:firstLine="706"/>
        <w:spacing w:after="0" w:line="251" w:lineRule="auto"/>
        <w:rPr>
          <w:sz w:val="20"/>
          <w:szCs w:val="20"/>
          <w:color w:val="auto"/>
        </w:rPr>
      </w:pPr>
      <w:r>
        <w:rPr>
          <w:rFonts w:ascii="Arial" w:cs="Arial" w:eastAsia="Arial" w:hAnsi="Arial"/>
          <w:sz w:val="20"/>
          <w:szCs w:val="20"/>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209" w:lineRule="exact"/>
        <w:rPr>
          <w:sz w:val="20"/>
          <w:szCs w:val="20"/>
          <w:color w:val="auto"/>
        </w:rPr>
      </w:pPr>
    </w:p>
    <w:p>
      <w:pPr>
        <w:ind w:right="20" w:firstLine="706"/>
        <w:spacing w:after="0" w:line="312" w:lineRule="auto"/>
        <w:rPr>
          <w:sz w:val="20"/>
          <w:szCs w:val="20"/>
          <w:color w:val="auto"/>
        </w:rPr>
      </w:pPr>
      <w:r>
        <w:rPr>
          <w:rFonts w:ascii="Arial" w:cs="Arial" w:eastAsia="Arial" w:hAnsi="Arial"/>
          <w:sz w:val="17"/>
          <w:szCs w:val="17"/>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040"/>
          </w:cols>
          <w:pgMar w:left="920" w:top="582" w:right="920" w:bottom="0" w:gutter="0" w:footer="0" w:header="0"/>
          <w:type w:val="continuous"/>
        </w:sectPr>
      </w:pPr>
    </w:p>
    <w:bookmarkStart w:id="48" w:name="page49"/>
    <w:bookmarkEnd w:id="48"/>
    <w:p>
      <w:pPr>
        <w:ind w:right="420"/>
        <w:spacing w:after="0" w:line="275" w:lineRule="auto"/>
        <w:rPr>
          <w:sz w:val="20"/>
          <w:szCs w:val="20"/>
          <w:color w:val="auto"/>
        </w:rPr>
      </w:pPr>
      <w:r>
        <w:rPr>
          <w:rFonts w:ascii="Arial" w:cs="Arial" w:eastAsia="Arial" w:hAnsi="Arial"/>
          <w:sz w:val="20"/>
          <w:szCs w:val="20"/>
          <w:b w:val="1"/>
          <w:bCs w:val="1"/>
          <w:i w:val="1"/>
          <w:iCs w:val="1"/>
          <w:color w:val="auto"/>
        </w:rPr>
        <w:t>Changes in supply and demand for the products PAA handles, which can be caused by a variety of factors outside of its control, can negatively affect its operating results.</w:t>
      </w:r>
    </w:p>
    <w:p>
      <w:pPr>
        <w:spacing w:after="0" w:line="186" w:lineRule="exact"/>
        <w:rPr>
          <w:sz w:val="20"/>
          <w:szCs w:val="20"/>
          <w:color w:val="auto"/>
        </w:rPr>
      </w:pPr>
    </w:p>
    <w:p>
      <w:pPr>
        <w:ind w:right="20" w:firstLine="706"/>
        <w:spacing w:after="0" w:line="295" w:lineRule="auto"/>
        <w:rPr>
          <w:sz w:val="20"/>
          <w:szCs w:val="20"/>
          <w:color w:val="auto"/>
        </w:rPr>
      </w:pPr>
      <w:r>
        <w:rPr>
          <w:rFonts w:ascii="Arial" w:cs="Arial" w:eastAsia="Arial" w:hAnsi="Arial"/>
          <w:sz w:val="17"/>
          <w:szCs w:val="17"/>
          <w:color w:val="auto"/>
        </w:rPr>
        <w:t>Supply and demand for crude oil and other hydrocarbon products PAA handles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PAA’s transportation assets to satisfy their demand by deliveries through those assets. Decreases in demand for the products PAA handles, whether at a global level or in areas its assets serve, can negatively affect its operating results.</w:t>
      </w:r>
    </w:p>
    <w:p>
      <w:pPr>
        <w:spacing w:after="0" w:line="174" w:lineRule="exact"/>
        <w:rPr>
          <w:sz w:val="20"/>
          <w:szCs w:val="20"/>
          <w:color w:val="auto"/>
        </w:rPr>
      </w:pPr>
    </w:p>
    <w:p>
      <w:pPr>
        <w:ind w:right="40" w:firstLine="706"/>
        <w:spacing w:after="0" w:line="325" w:lineRule="auto"/>
        <w:rPr>
          <w:sz w:val="20"/>
          <w:szCs w:val="20"/>
          <w:color w:val="auto"/>
        </w:rPr>
      </w:pPr>
      <w:r>
        <w:rPr>
          <w:rFonts w:ascii="Arial" w:cs="Arial" w:eastAsia="Arial" w:hAnsi="Arial"/>
          <w:sz w:val="17"/>
          <w:szCs w:val="17"/>
          <w:color w:val="auto"/>
        </w:rPr>
        <w:t>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147" w:lineRule="exact"/>
        <w:rPr>
          <w:sz w:val="20"/>
          <w:szCs w:val="20"/>
          <w:color w:val="auto"/>
        </w:rPr>
      </w:pPr>
    </w:p>
    <w:p>
      <w:pPr>
        <w:ind w:right="220" w:firstLine="706"/>
        <w:spacing w:after="0" w:line="268" w:lineRule="auto"/>
        <w:rPr>
          <w:sz w:val="20"/>
          <w:szCs w:val="20"/>
          <w:color w:val="auto"/>
        </w:rPr>
      </w:pPr>
      <w:r>
        <w:rPr>
          <w:rFonts w:ascii="Arial" w:cs="Arial" w:eastAsia="Arial" w:hAnsi="Arial"/>
          <w:sz w:val="19"/>
          <w:szCs w:val="19"/>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the availability of certain grades of crude oil at specific locations, and thus is largely unpredictable.</w:t>
      </w:r>
    </w:p>
    <w:p>
      <w:pPr>
        <w:spacing w:after="0" w:line="191" w:lineRule="exact"/>
        <w:rPr>
          <w:sz w:val="20"/>
          <w:szCs w:val="20"/>
          <w:color w:val="auto"/>
        </w:rPr>
      </w:pPr>
    </w:p>
    <w:p>
      <w:pPr>
        <w:ind w:right="140" w:firstLine="706"/>
        <w:spacing w:after="0" w:line="266" w:lineRule="auto"/>
        <w:rPr>
          <w:sz w:val="20"/>
          <w:szCs w:val="20"/>
          <w:color w:val="auto"/>
        </w:rPr>
      </w:pPr>
      <w:r>
        <w:rPr>
          <w:rFonts w:ascii="Arial" w:cs="Arial" w:eastAsia="Arial" w:hAnsi="Arial"/>
          <w:sz w:val="19"/>
          <w:szCs w:val="19"/>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or margins it earns. Also, increased supply of NGL products could reduce the value of NGL PAA handles and reduce the margins realized by it.</w:t>
      </w:r>
    </w:p>
    <w:p>
      <w:pPr>
        <w:spacing w:after="0" w:line="193" w:lineRule="exact"/>
        <w:rPr>
          <w:sz w:val="20"/>
          <w:szCs w:val="20"/>
          <w:color w:val="auto"/>
        </w:rPr>
      </w:pPr>
    </w:p>
    <w:p>
      <w:pPr>
        <w:ind w:right="80" w:firstLine="706"/>
        <w:spacing w:after="0" w:line="254" w:lineRule="auto"/>
        <w:rPr>
          <w:sz w:val="20"/>
          <w:szCs w:val="20"/>
          <w:color w:val="auto"/>
        </w:rPr>
      </w:pPr>
      <w:r>
        <w:rPr>
          <w:rFonts w:ascii="Arial" w:cs="Arial" w:eastAsia="Arial" w:hAnsi="Arial"/>
          <w:sz w:val="20"/>
          <w:szCs w:val="20"/>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195"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b w:val="1"/>
          <w:bCs w:val="1"/>
          <w:i w:val="1"/>
          <w:iCs w:val="1"/>
          <w:color w:val="auto"/>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its ability to fulfil its contractual obligations and/or result in severe personal injury, property damage and environmental damage, which could have a material adverse effect on its financial position, results of operations and cash flows.</w:t>
      </w:r>
    </w:p>
    <w:p>
      <w:pPr>
        <w:spacing w:after="0" w:line="194"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 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PAA’s physical facilities and hackers may attack its electronic and computer systems.</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20"/>
          </w:cols>
          <w:pgMar w:left="920" w:top="575" w:right="940" w:bottom="0" w:gutter="0" w:footer="0" w:header="0"/>
          <w:type w:val="continuous"/>
        </w:sectPr>
      </w:pPr>
    </w:p>
    <w:bookmarkStart w:id="49" w:name="page50"/>
    <w:bookmarkEnd w:id="49"/>
    <w:p>
      <w:pPr>
        <w:ind w:right="40" w:firstLine="706"/>
        <w:spacing w:after="0" w:line="295" w:lineRule="auto"/>
        <w:rPr>
          <w:sz w:val="20"/>
          <w:szCs w:val="20"/>
          <w:color w:val="auto"/>
        </w:rPr>
      </w:pPr>
      <w:r>
        <w:rPr>
          <w:rFonts w:ascii="Arial" w:cs="Arial" w:eastAsia="Arial" w:hAnsi="Arial"/>
          <w:sz w:val="17"/>
          <w:szCs w:val="17"/>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its operations, hinders its ability to fulfil its contractual obligations or which causes PAA to make significant expenditures not covered by insurance, could reduce its profitability, cash flows and cash available for paying distributions to its partners and, accordingly, adversely affect its financial condition and the market price of its securities.</w:t>
      </w:r>
    </w:p>
    <w:p>
      <w:pPr>
        <w:spacing w:after="0" w:line="200" w:lineRule="exact"/>
        <w:rPr>
          <w:sz w:val="20"/>
          <w:szCs w:val="20"/>
          <w:color w:val="auto"/>
        </w:rPr>
      </w:pPr>
    </w:p>
    <w:p>
      <w:pPr>
        <w:spacing w:after="0" w:line="215" w:lineRule="exact"/>
        <w:rPr>
          <w:sz w:val="20"/>
          <w:szCs w:val="20"/>
          <w:color w:val="auto"/>
        </w:rPr>
      </w:pPr>
    </w:p>
    <w:p>
      <w:pPr>
        <w:ind w:right="80" w:firstLine="706"/>
        <w:spacing w:after="0" w:line="268" w:lineRule="auto"/>
        <w:rPr>
          <w:sz w:val="20"/>
          <w:szCs w:val="20"/>
          <w:color w:val="auto"/>
        </w:rPr>
      </w:pPr>
      <w:r>
        <w:rPr>
          <w:rFonts w:ascii="Arial" w:cs="Arial" w:eastAsia="Arial" w:hAnsi="Arial"/>
          <w:sz w:val="19"/>
          <w:szCs w:val="19"/>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 or other transactions.</w:t>
      </w:r>
    </w:p>
    <w:p>
      <w:pPr>
        <w:spacing w:after="0" w:line="184"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b w:val="1"/>
          <w:bCs w:val="1"/>
          <w:i w:val="1"/>
          <w:iCs w:val="1"/>
          <w:color w:val="auto"/>
        </w:rPr>
        <w:t>PAA’s business is highly dependent on the use of information and operations technology systems and the unavailability or ineffectiveness of such systems, whether due to cybersecurity attacks, data breaches, human error or other disruptions affecting PAA, or its service providers, could materially and adversely affect PAA’s business, operations, reputation and financial results.</w:t>
      </w:r>
    </w:p>
    <w:p>
      <w:pPr>
        <w:spacing w:after="0" w:line="206" w:lineRule="exact"/>
        <w:rPr>
          <w:sz w:val="20"/>
          <w:szCs w:val="20"/>
          <w:color w:val="auto"/>
        </w:rPr>
      </w:pPr>
    </w:p>
    <w:p>
      <w:pPr>
        <w:ind w:right="100" w:firstLine="706"/>
        <w:spacing w:after="0" w:line="251" w:lineRule="auto"/>
        <w:rPr>
          <w:sz w:val="20"/>
          <w:szCs w:val="20"/>
          <w:color w:val="auto"/>
        </w:rPr>
      </w:pPr>
      <w:r>
        <w:rPr>
          <w:rFonts w:ascii="Arial" w:cs="Arial" w:eastAsia="Arial" w:hAnsi="Arial"/>
          <w:sz w:val="20"/>
          <w:szCs w:val="20"/>
          <w:color w:val="auto"/>
        </w:rPr>
        <w:t>The continuous and uninterrupted operation of the information and operations technology systems and infrastructure PAA uses (collectively, its “IT systems”), which include a broad array of third party and cloud-based software, technologies, tools, and security products, is critical to the operation of its business and essential to its ability to perform day-to-day operations. If PAA is unable to implement, use and maintain effective IT systems, it could have a material adverse effect on its business.</w:t>
      </w:r>
    </w:p>
    <w:p>
      <w:pPr>
        <w:spacing w:after="0" w:line="209" w:lineRule="exact"/>
        <w:rPr>
          <w:sz w:val="20"/>
          <w:szCs w:val="20"/>
          <w:color w:val="auto"/>
        </w:rPr>
      </w:pPr>
    </w:p>
    <w:p>
      <w:pPr>
        <w:ind w:firstLine="706"/>
        <w:spacing w:after="0" w:line="264" w:lineRule="auto"/>
        <w:rPr>
          <w:sz w:val="20"/>
          <w:szCs w:val="20"/>
          <w:color w:val="auto"/>
        </w:rPr>
      </w:pPr>
      <w:r>
        <w:rPr>
          <w:rFonts w:ascii="Arial" w:cs="Arial" w:eastAsia="Arial" w:hAnsi="Arial"/>
          <w:sz w:val="19"/>
          <w:szCs w:val="19"/>
          <w:color w:val="auto"/>
        </w:rPr>
        <w:t>PAA and certain of its service providers have, from time to time, been subject to cyberattacks. The frequency and magnitude of cyberattacks is expected to increase and attackers are becoming more sophisticated. Infrastructure assets including pipelines, may be specifically targeted by certain groups, such as “hacktivists,” state-sponsored groups, criminal organizations or private individuals. PAA may be unable to anticipate, detect or prevent future attacks, particularly as the methodologies used by attackers change frequently or are not recognized until launched, and PAA may be unable to investigate or remediate incidents because attackers are increasingly using techniques and tools designed to circumvent controls, to avoid detection, and to remove or obfuscate forensic evidence.</w:t>
      </w:r>
    </w:p>
    <w:p>
      <w:pPr>
        <w:spacing w:after="0" w:line="199" w:lineRule="exact"/>
        <w:rPr>
          <w:sz w:val="20"/>
          <w:szCs w:val="20"/>
          <w:color w:val="auto"/>
        </w:rPr>
      </w:pPr>
    </w:p>
    <w:p>
      <w:pPr>
        <w:ind w:firstLine="706"/>
        <w:spacing w:after="0" w:line="262" w:lineRule="auto"/>
        <w:rPr>
          <w:sz w:val="20"/>
          <w:szCs w:val="20"/>
          <w:color w:val="auto"/>
        </w:rPr>
      </w:pPr>
      <w:r>
        <w:rPr>
          <w:rFonts w:ascii="Arial" w:cs="Arial" w:eastAsia="Arial" w:hAnsi="Arial"/>
          <w:sz w:val="19"/>
          <w:szCs w:val="19"/>
          <w:color w:val="auto"/>
        </w:rPr>
        <w:t>Any breach or failure of PAA’s IT systems, whether due to cyberattacks or other malfeasance, human error, power failures or other disruptions, could result in interruptions to its operations, damage to its assets, safety incidents, damage to the environment and disclosure of sensitive information (including proprietary business information, critical operating information and data, information regarding our customers, suppliers, royalty owners and business partners, and personally identifiable information of our employees). This could in turn cause PAA to incur significant costs and liabilities, including ransom payments, remediation costs, legal claims, regulatory enforcement actions, violation of privacy or securities laws and regulations and the loss of contracts or the inability to fulfil its contractual obligations. Any of these events could have a material adverse effect on its operations, financial position and results of operations. In addition, PAA may be required to invest significant additional resources to enhance its information security and controls or to comply with evolving cybersecurity laws or regulations.</w:t>
      </w:r>
    </w:p>
    <w:p>
      <w:pPr>
        <w:spacing w:after="0" w:line="202" w:lineRule="exact"/>
        <w:rPr>
          <w:sz w:val="20"/>
          <w:szCs w:val="20"/>
          <w:color w:val="auto"/>
        </w:rPr>
      </w:pPr>
    </w:p>
    <w:p>
      <w:pPr>
        <w:ind w:right="80" w:firstLine="706"/>
        <w:spacing w:after="0" w:line="251" w:lineRule="auto"/>
        <w:rPr>
          <w:sz w:val="20"/>
          <w:szCs w:val="20"/>
          <w:color w:val="auto"/>
        </w:rPr>
      </w:pPr>
      <w:r>
        <w:rPr>
          <w:rFonts w:ascii="Arial" w:cs="Arial" w:eastAsia="Arial" w:hAnsi="Arial"/>
          <w:sz w:val="20"/>
          <w:szCs w:val="20"/>
          <w:color w:val="auto"/>
        </w:rPr>
        <w:t>The emergence of new technologies (including generative artificial intelligence) could increase any of the foregoing risks or create new risks. We or our counterparties may rely upon such technologies for our operations or security, which could make us more vulnerable to technology failures. Our competitors may more effectively implement such technologies in their businesses, and we may be unable to compete as effectively. New technologies are also subject to intentional misuse by criminals, terrorists or other bad actors.</w:t>
      </w:r>
    </w:p>
    <w:p>
      <w:pPr>
        <w:spacing w:after="0" w:line="209" w:lineRule="exact"/>
        <w:rPr>
          <w:sz w:val="20"/>
          <w:szCs w:val="20"/>
          <w:color w:val="auto"/>
        </w:rPr>
      </w:pPr>
    </w:p>
    <w:p>
      <w:pPr>
        <w:ind w:right="60" w:firstLine="706"/>
        <w:spacing w:after="0" w:line="312" w:lineRule="auto"/>
        <w:rPr>
          <w:sz w:val="20"/>
          <w:szCs w:val="20"/>
          <w:color w:val="auto"/>
        </w:rPr>
      </w:pPr>
      <w:r>
        <w:rPr>
          <w:rFonts w:ascii="Arial" w:cs="Arial" w:eastAsia="Arial" w:hAnsi="Arial"/>
          <w:sz w:val="17"/>
          <w:szCs w:val="17"/>
          <w:color w:val="auto"/>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sectPr>
          <w:pgSz w:w="11880" w:h="15480" w:orient="portrait"/>
          <w:cols w:equalWidth="0" w:num="1">
            <w:col w:w="10040"/>
          </w:cols>
          <w:pgMar w:left="920" w:top="582" w:right="920" w:bottom="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40"/>
          </w:cols>
          <w:pgMar w:left="920" w:top="582" w:right="920" w:bottom="0" w:gutter="0" w:footer="0" w:header="0"/>
          <w:type w:val="continuous"/>
        </w:sectPr>
      </w:pPr>
    </w:p>
    <w:bookmarkStart w:id="50" w:name="page51"/>
    <w:bookmarkEnd w:id="50"/>
    <w:p>
      <w:pPr>
        <w:spacing w:after="0"/>
        <w:rPr>
          <w:sz w:val="20"/>
          <w:szCs w:val="20"/>
          <w:color w:val="auto"/>
        </w:rPr>
      </w:pPr>
      <w:r>
        <w:rPr>
          <w:rFonts w:ascii="Arial" w:cs="Arial" w:eastAsia="Arial" w:hAnsi="Arial"/>
          <w:sz w:val="19"/>
          <w:szCs w:val="19"/>
          <w:b w:val="1"/>
          <w:bCs w:val="1"/>
          <w:i w:val="1"/>
          <w:iCs w:val="1"/>
          <w:color w:val="auto"/>
        </w:rPr>
        <w:t>PAA’s and its customers’ operations are subject to various risks arising out of the threat of climate change.</w:t>
      </w:r>
    </w:p>
    <w:p>
      <w:pPr>
        <w:spacing w:after="0" w:line="259" w:lineRule="exact"/>
        <w:rPr>
          <w:sz w:val="20"/>
          <w:szCs w:val="20"/>
          <w:color w:val="auto"/>
        </w:rPr>
      </w:pPr>
    </w:p>
    <w:p>
      <w:pPr>
        <w:ind w:right="20" w:firstLine="706"/>
        <w:spacing w:after="0" w:line="262" w:lineRule="auto"/>
        <w:rPr>
          <w:sz w:val="20"/>
          <w:szCs w:val="20"/>
          <w:color w:val="auto"/>
        </w:rPr>
      </w:pPr>
      <w:r>
        <w:rPr>
          <w:rFonts w:ascii="Arial" w:cs="Arial" w:eastAsia="Arial" w:hAnsi="Arial"/>
          <w:sz w:val="19"/>
          <w:szCs w:val="19"/>
          <w:color w:val="auto"/>
        </w:rPr>
        <w:t>PAA’s and its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PAA’s services or the products it handles. Government initiatives or technological advances may also create new competitive conditions that result in reduced demand for products PAA’s customers produce and, in turn, the services PAA provides. The potential impact of changing demand for crude oil and natural gas services and products may have a material adverse effect on PAA’s business, financial condition, results of operations and cash flows. Additionally, the threat of climate change may negatively impact PAA’s business if it results in PAA restricting, delaying or canceling development activities and new projects.</w:t>
      </w:r>
    </w:p>
    <w:p>
      <w:pPr>
        <w:spacing w:after="0" w:line="202" w:lineRule="exact"/>
        <w:rPr>
          <w:sz w:val="20"/>
          <w:szCs w:val="20"/>
          <w:color w:val="auto"/>
        </w:rPr>
      </w:pPr>
    </w:p>
    <w:p>
      <w:pPr>
        <w:ind w:firstLine="706"/>
        <w:spacing w:after="0" w:line="266" w:lineRule="auto"/>
        <w:rPr>
          <w:sz w:val="20"/>
          <w:szCs w:val="20"/>
          <w:color w:val="auto"/>
        </w:rPr>
      </w:pPr>
      <w:r>
        <w:rPr>
          <w:rFonts w:ascii="Arial" w:cs="Arial" w:eastAsia="Arial" w:hAnsi="Arial"/>
          <w:sz w:val="19"/>
          <w:szCs w:val="19"/>
          <w:color w:val="auto"/>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PAA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PAA’s operations and financial condition.</w:t>
      </w:r>
    </w:p>
    <w:p>
      <w:pPr>
        <w:spacing w:after="0" w:line="193" w:lineRule="exact"/>
        <w:rPr>
          <w:sz w:val="20"/>
          <w:szCs w:val="20"/>
          <w:color w:val="auto"/>
        </w:rPr>
      </w:pPr>
    </w:p>
    <w:p>
      <w:pPr>
        <w:ind w:right="160" w:firstLine="706"/>
        <w:spacing w:after="0" w:line="306" w:lineRule="auto"/>
        <w:rPr>
          <w:sz w:val="20"/>
          <w:szCs w:val="20"/>
          <w:color w:val="auto"/>
        </w:rPr>
      </w:pPr>
      <w:r>
        <w:rPr>
          <w:rFonts w:ascii="Arial" w:cs="Arial" w:eastAsia="Arial" w:hAnsi="Arial"/>
          <w:sz w:val="17"/>
          <w:szCs w:val="17"/>
          <w:color w:val="auto"/>
        </w:rPr>
        <w:t>Climate changes that have significant physical effects, such as increased frequency and severity of storms, droughts, floods and other climatic events, as well as shifts in temperature and precipitation patterns have the potential to cause physical damage to PAA’s assets or disrupt its supply chains and thus could have an adverse effect on its operations. PAA’s ability to manage the adverse impacts of these events depends in part on the effectiveness its disaster preparedness and response and business continuity planning, which may not have considered or be prepared for every eventuality.</w:t>
      </w:r>
    </w:p>
    <w:p>
      <w:pPr>
        <w:spacing w:after="0" w:line="165" w:lineRule="exact"/>
        <w:rPr>
          <w:sz w:val="20"/>
          <w:szCs w:val="20"/>
          <w:color w:val="auto"/>
        </w:rPr>
      </w:pPr>
    </w:p>
    <w:p>
      <w:pPr>
        <w:ind w:right="320" w:firstLine="706"/>
        <w:spacing w:after="0" w:line="258" w:lineRule="auto"/>
        <w:rPr>
          <w:sz w:val="20"/>
          <w:szCs w:val="20"/>
          <w:color w:val="auto"/>
        </w:rPr>
      </w:pPr>
      <w:r>
        <w:rPr>
          <w:rFonts w:ascii="Arial" w:cs="Arial" w:eastAsia="Arial" w:hAnsi="Arial"/>
          <w:sz w:val="20"/>
          <w:szCs w:val="20"/>
          <w:color w:val="auto"/>
        </w:rPr>
        <w:t>The full impact of climate change on PAA’s business, as well as the businesses of its customers and suppliers is unknown. Any of factors discussed above, or any other unanticipated developments, could have a material adverse effect on PAA’s business, results of operations and financial condition.</w:t>
      </w:r>
    </w:p>
    <w:p>
      <w:pPr>
        <w:spacing w:after="0" w:line="192" w:lineRule="exact"/>
        <w:rPr>
          <w:sz w:val="20"/>
          <w:szCs w:val="20"/>
          <w:color w:val="auto"/>
        </w:rPr>
      </w:pPr>
    </w:p>
    <w:p>
      <w:pPr>
        <w:ind w:right="480"/>
        <w:spacing w:after="0" w:line="275" w:lineRule="auto"/>
        <w:rPr>
          <w:sz w:val="20"/>
          <w:szCs w:val="20"/>
          <w:color w:val="auto"/>
        </w:rPr>
      </w:pPr>
      <w:r>
        <w:rPr>
          <w:rFonts w:ascii="Arial" w:cs="Arial" w:eastAsia="Arial" w:hAnsi="Arial"/>
          <w:sz w:val="20"/>
          <w:szCs w:val="20"/>
          <w:b w:val="1"/>
          <w:bCs w:val="1"/>
          <w:i w:val="1"/>
          <w:iCs w:val="1"/>
          <w:color w:val="auto"/>
        </w:rPr>
        <w:t>PAA may face opposition from various groups to the development or operation of its pipelines and facilities and PAA’s business may be subject to societal and political pressures.</w:t>
      </w:r>
    </w:p>
    <w:p>
      <w:pPr>
        <w:spacing w:after="0" w:line="186" w:lineRule="exact"/>
        <w:rPr>
          <w:sz w:val="20"/>
          <w:szCs w:val="20"/>
          <w:color w:val="auto"/>
        </w:rPr>
      </w:pPr>
    </w:p>
    <w:p>
      <w:pPr>
        <w:ind w:right="60" w:firstLine="706"/>
        <w:spacing w:after="0" w:line="295" w:lineRule="auto"/>
        <w:rPr>
          <w:sz w:val="20"/>
          <w:szCs w:val="20"/>
          <w:color w:val="auto"/>
        </w:rPr>
      </w:pPr>
      <w:r>
        <w:rPr>
          <w:rFonts w:ascii="Arial" w:cs="Arial" w:eastAsia="Arial" w:hAnsi="Arial"/>
          <w:sz w:val="17"/>
          <w:szCs w:val="17"/>
          <w:color w:val="auto"/>
        </w:rPr>
        <w:t>PAA may face opposition to the development or operation of its pipelines and facilities from environmental groups, landowners, indigenous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200" w:lineRule="exact"/>
        <w:rPr>
          <w:sz w:val="20"/>
          <w:szCs w:val="20"/>
          <w:color w:val="auto"/>
        </w:rPr>
      </w:pPr>
    </w:p>
    <w:p>
      <w:pPr>
        <w:spacing w:after="0" w:line="215" w:lineRule="exact"/>
        <w:rPr>
          <w:sz w:val="20"/>
          <w:szCs w:val="20"/>
          <w:color w:val="auto"/>
        </w:rPr>
      </w:pPr>
    </w:p>
    <w:p>
      <w:pPr>
        <w:ind w:right="140" w:firstLine="706"/>
        <w:spacing w:after="0" w:line="249" w:lineRule="auto"/>
        <w:rPr>
          <w:sz w:val="20"/>
          <w:szCs w:val="20"/>
          <w:color w:val="auto"/>
        </w:rPr>
      </w:pPr>
      <w:r>
        <w:rPr>
          <w:rFonts w:ascii="Arial" w:cs="Arial" w:eastAsia="Arial" w:hAnsi="Arial"/>
          <w:sz w:val="20"/>
          <w:szCs w:val="20"/>
          <w:color w:val="auto"/>
        </w:rPr>
        <w:t>PAA’s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sectPr>
          <w:pgSz w:w="11880" w:h="15480" w:orient="portrait"/>
          <w:cols w:equalWidth="0" w:num="1">
            <w:col w:w="10040"/>
          </w:cols>
          <w:pgMar w:left="92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040"/>
          </w:cols>
          <w:pgMar w:left="920" w:top="810" w:right="920" w:bottom="0" w:gutter="0" w:footer="0" w:header="0"/>
          <w:type w:val="continuous"/>
        </w:sectPr>
      </w:pPr>
    </w:p>
    <w:bookmarkStart w:id="51" w:name="page52"/>
    <w:bookmarkEnd w:id="51"/>
    <w:p>
      <w:pPr>
        <w:ind w:right="180" w:firstLine="706"/>
        <w:spacing w:after="0" w:line="266" w:lineRule="auto"/>
        <w:rPr>
          <w:sz w:val="20"/>
          <w:szCs w:val="20"/>
          <w:color w:val="auto"/>
        </w:rPr>
      </w:pPr>
      <w:r>
        <w:rPr>
          <w:rFonts w:ascii="Arial" w:cs="Arial" w:eastAsia="Arial" w:hAnsi="Arial"/>
          <w:sz w:val="19"/>
          <w:szCs w:val="19"/>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and its ongoing operations.</w:t>
      </w:r>
    </w:p>
    <w:p>
      <w:pPr>
        <w:spacing w:after="0" w:line="186" w:lineRule="exact"/>
        <w:rPr>
          <w:sz w:val="20"/>
          <w:szCs w:val="20"/>
          <w:color w:val="auto"/>
        </w:rPr>
      </w:pPr>
    </w:p>
    <w:p>
      <w:pPr>
        <w:ind w:right="680"/>
        <w:spacing w:after="0" w:line="404" w:lineRule="auto"/>
        <w:rPr>
          <w:sz w:val="20"/>
          <w:szCs w:val="20"/>
          <w:color w:val="auto"/>
        </w:rPr>
      </w:pPr>
      <w:r>
        <w:rPr>
          <w:rFonts w:ascii="Arial" w:cs="Arial" w:eastAsia="Arial" w:hAnsi="Arial"/>
          <w:sz w:val="16"/>
          <w:szCs w:val="16"/>
          <w:b w:val="1"/>
          <w:bCs w:val="1"/>
          <w:i w:val="1"/>
          <w:iCs w:val="1"/>
          <w:color w:val="auto"/>
        </w:rPr>
        <w:t>PAA is subject to scrutiny by financial stakeholders with respect to the perceived social and environmental cost of its industry and its governance structure, which may adversely impact its ability to raise capital from such investors.</w:t>
      </w:r>
    </w:p>
    <w:p>
      <w:pPr>
        <w:spacing w:after="0" w:line="93" w:lineRule="exact"/>
        <w:rPr>
          <w:sz w:val="20"/>
          <w:szCs w:val="20"/>
          <w:color w:val="auto"/>
        </w:rPr>
      </w:pPr>
    </w:p>
    <w:p>
      <w:pPr>
        <w:ind w:right="180" w:firstLine="706"/>
        <w:spacing w:after="0" w:line="293" w:lineRule="auto"/>
        <w:rPr>
          <w:sz w:val="20"/>
          <w:szCs w:val="20"/>
          <w:color w:val="auto"/>
        </w:rPr>
      </w:pPr>
      <w:r>
        <w:rPr>
          <w:rFonts w:ascii="Arial" w:cs="Arial" w:eastAsia="Arial" w:hAnsi="Arial"/>
          <w:sz w:val="17"/>
          <w:szCs w:val="17"/>
          <w:color w:val="auto"/>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spacing w:after="0" w:line="143" w:lineRule="exact"/>
        <w:rPr>
          <w:sz w:val="20"/>
          <w:szCs w:val="20"/>
          <w:color w:val="auto"/>
        </w:rPr>
      </w:pPr>
    </w:p>
    <w:p>
      <w:pPr>
        <w:ind w:firstLine="706"/>
        <w:spacing w:after="0" w:line="303" w:lineRule="auto"/>
        <w:rPr>
          <w:sz w:val="20"/>
          <w:szCs w:val="20"/>
          <w:color w:val="auto"/>
        </w:rPr>
      </w:pPr>
      <w:r>
        <w:rPr>
          <w:rFonts w:ascii="Arial" w:cs="Arial" w:eastAsia="Arial" w:hAnsi="Arial"/>
          <w:sz w:val="17"/>
          <w:szCs w:val="17"/>
          <w:color w:val="auto"/>
        </w:rPr>
        <w:t>Financial stakeholders’ focus and activism related to sustainability and similar matters could constrain PAA’s ability to raise capital. Any material limitations on its ability to access capital as a result of such scrutiny could limit its ability to obtain future financing on favorable terms, or at all, or could result in increased financing costs in the future. Similarly, such activism could negatively impact PAA’s unit price or the price of its debt, limiting its ability to raise capital through equity issuances or debt financing, or could negatively affect its ability to engage in, expand or pursue its business activities, and could also prevent it from engaging in certain transactions that might otherwise be considered beneficial to PAA.</w:t>
      </w:r>
    </w:p>
    <w:p>
      <w:pPr>
        <w:spacing w:after="0" w:line="150" w:lineRule="exact"/>
        <w:rPr>
          <w:sz w:val="20"/>
          <w:szCs w:val="20"/>
          <w:color w:val="auto"/>
        </w:rPr>
      </w:pPr>
    </w:p>
    <w:p>
      <w:pPr>
        <w:ind w:right="100" w:firstLine="706"/>
        <w:spacing w:after="0" w:line="296" w:lineRule="auto"/>
        <w:rPr>
          <w:sz w:val="20"/>
          <w:szCs w:val="20"/>
          <w:color w:val="auto"/>
        </w:rPr>
      </w:pPr>
      <w:r>
        <w:rPr>
          <w:rFonts w:ascii="Arial" w:cs="Arial" w:eastAsia="Arial" w:hAnsi="Arial"/>
          <w:sz w:val="17"/>
          <w:szCs w:val="17"/>
          <w:color w:val="auto"/>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PAA’s services or the products it handles, reduced profits, increased legislative and judicial scrutiny, investigations and litigation, reputational damage, and negative impacts on PAA’s access to capital markets. PAA could also be subject to additional governmental investigations, private litigation, or activist campaigns as unitholders may attempt to effect changes to PAA’s business or governance practices.</w:t>
      </w:r>
    </w:p>
    <w:p>
      <w:pPr>
        <w:spacing w:after="0" w:line="170"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In March 2024, the SEC finalized a set of climate disclosure rules that would mandate extensive disclosure of climate-related risks, including financial impacts, physical and transition risks, climate-related governance and strategy, and GHG emissions, for all U.S.-listed public companies. Several states, including California, have passed or proposed bills requiring similar, or more extensive, climate disclosure rules. These rules have been subject to legal challenges, and in April 2024 the SEC issued a voluntary stay of its rules. Although the outcome of these challenges is not yet known and the ultimate impact of these rules on PAA’s business is uncertain, compliance with the rules, if implemented,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spacing w:after="0" w:line="161" w:lineRule="exact"/>
        <w:rPr>
          <w:sz w:val="20"/>
          <w:szCs w:val="20"/>
          <w:color w:val="auto"/>
        </w:rPr>
      </w:pPr>
    </w:p>
    <w:p>
      <w:pPr>
        <w:ind w:right="460"/>
        <w:spacing w:after="0" w:line="366" w:lineRule="auto"/>
        <w:rPr>
          <w:sz w:val="20"/>
          <w:szCs w:val="20"/>
          <w:color w:val="auto"/>
        </w:rPr>
      </w:pPr>
      <w:r>
        <w:rPr>
          <w:rFonts w:ascii="Arial" w:cs="Arial" w:eastAsia="Arial" w:hAnsi="Arial"/>
          <w:sz w:val="17"/>
          <w:szCs w:val="17"/>
          <w:b w:val="1"/>
          <w:bCs w:val="1"/>
          <w:i w:val="1"/>
          <w:iCs w:val="1"/>
          <w:color w:val="auto"/>
        </w:rPr>
        <w:t>PAA’s crude oil and NGL merchant activities are influenced by the overall forward market for crude oil and NGL, and certain market structures, the absence of pricing volatility and other market factors may adversely impact its results.</w:t>
      </w:r>
    </w:p>
    <w:p>
      <w:pPr>
        <w:spacing w:after="0" w:line="117" w:lineRule="exact"/>
        <w:rPr>
          <w:sz w:val="20"/>
          <w:szCs w:val="20"/>
          <w:color w:val="auto"/>
        </w:rPr>
      </w:pPr>
    </w:p>
    <w:p>
      <w:pPr>
        <w:ind w:right="120" w:firstLine="706"/>
        <w:spacing w:after="0" w:line="296" w:lineRule="auto"/>
        <w:rPr>
          <w:sz w:val="20"/>
          <w:szCs w:val="20"/>
          <w:color w:val="auto"/>
        </w:rPr>
      </w:pPr>
      <w:r>
        <w:rPr>
          <w:rFonts w:ascii="Arial" w:cs="Arial" w:eastAsia="Arial" w:hAnsi="Arial"/>
          <w:sz w:val="17"/>
          <w:szCs w:val="17"/>
          <w:color w:val="auto"/>
        </w:rPr>
        <w:t>The profitability of PAA’s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PAA’s merchant activities. During periods where midstream infrastructure is over-built and/or there is a lack of volatility in the pricing structure, PAA’s results may be negatively impacted. Depending on the overall duration of these transition periods, how PAA has allocated its assets to particular strategies and the tenor of its crude oil purchase and sale contracts and storage agreements, these periods may have either an adverse or beneficial effect on the profitability of PAA’s merchant activities. In the past, the results of such activities have varied significantly based on market conditions and these activities may continue to experience highly variable results as a result of future changes to the markets for crude oil and NGL.</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040"/>
          </w:cols>
          <w:pgMar w:left="920" w:top="582" w:right="920" w:bottom="0" w:gutter="0" w:footer="0" w:header="0"/>
          <w:type w:val="continuous"/>
        </w:sectPr>
      </w:pPr>
    </w:p>
    <w:bookmarkStart w:id="52" w:name="page53"/>
    <w:bookmarkEnd w:id="52"/>
    <w:p>
      <w:pPr>
        <w:ind w:right="20"/>
        <w:spacing w:after="0" w:line="366" w:lineRule="auto"/>
        <w:rPr>
          <w:sz w:val="20"/>
          <w:szCs w:val="20"/>
          <w:color w:val="auto"/>
        </w:rPr>
      </w:pPr>
      <w:r>
        <w:rPr>
          <w:rFonts w:ascii="Arial" w:cs="Arial" w:eastAsia="Arial" w:hAnsi="Arial"/>
          <w:sz w:val="17"/>
          <w:szCs w:val="17"/>
          <w:b w:val="1"/>
          <w:bCs w:val="1"/>
          <w:i w:val="1"/>
          <w:iCs w:val="1"/>
          <w:color w:val="auto"/>
        </w:rPr>
        <w:t>Joint ventures, joint ownership arrangements and other capital projects pose unique challenges and PAA may not be able to fully implement or realize synergies, expected returns or other anticipated benefits associated with such projects.</w:t>
      </w:r>
    </w:p>
    <w:p>
      <w:pPr>
        <w:spacing w:after="0" w:line="117" w:lineRule="exact"/>
        <w:rPr>
          <w:sz w:val="20"/>
          <w:szCs w:val="20"/>
          <w:color w:val="auto"/>
        </w:rPr>
      </w:pPr>
    </w:p>
    <w:p>
      <w:pPr>
        <w:ind w:right="40" w:firstLine="706"/>
        <w:spacing w:after="0" w:line="297" w:lineRule="auto"/>
        <w:rPr>
          <w:sz w:val="20"/>
          <w:szCs w:val="20"/>
          <w:color w:val="auto"/>
        </w:rPr>
      </w:pPr>
      <w:r>
        <w:rPr>
          <w:rFonts w:ascii="Arial" w:cs="Arial" w:eastAsia="Arial" w:hAnsi="Arial"/>
          <w:sz w:val="17"/>
          <w:szCs w:val="17"/>
          <w:color w:val="auto"/>
        </w:rPr>
        <w:t>PAA is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spacing w:after="0" w:line="175" w:lineRule="exact"/>
        <w:rPr>
          <w:sz w:val="20"/>
          <w:szCs w:val="20"/>
          <w:color w:val="auto"/>
        </w:rPr>
      </w:pPr>
    </w:p>
    <w:p>
      <w:pPr>
        <w:ind w:right="300" w:firstLine="706"/>
        <w:spacing w:after="0" w:line="312" w:lineRule="auto"/>
        <w:rPr>
          <w:sz w:val="20"/>
          <w:szCs w:val="20"/>
          <w:color w:val="auto"/>
        </w:rPr>
      </w:pPr>
      <w:r>
        <w:rPr>
          <w:rFonts w:ascii="Arial" w:cs="Arial" w:eastAsia="Arial" w:hAnsi="Arial"/>
          <w:sz w:val="17"/>
          <w:szCs w:val="17"/>
          <w:color w:val="auto"/>
        </w:rPr>
        <w:t>PAA currently participates in a number of projects with various counterparties, and may continue to pursue new capital projects in the future. Thees projects can involve the expansion, modification, divestiture or combination of existing assets or the construction of new midstream energy infrastructure assets and involve numerous regulatory, environmental, commercial, economic, weather-related, political and legal uncertainties that are beyond its control, including the following:</w:t>
      </w:r>
    </w:p>
    <w:p>
      <w:pPr>
        <w:spacing w:after="0" w:line="42" w:lineRule="exact"/>
        <w:rPr>
          <w:sz w:val="20"/>
          <w:szCs w:val="20"/>
          <w:color w:val="auto"/>
        </w:rPr>
      </w:pPr>
    </w:p>
    <w:p>
      <w:pPr>
        <w:ind w:left="1060" w:right="300" w:hanging="362"/>
        <w:spacing w:after="0" w:line="271" w:lineRule="auto"/>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PAA may be unable to realize its forecasted commercial, operational or administrative synergies in connection with its joint ventures and joint ownership arrangements, including the Permian JV;</w:t>
      </w:r>
    </w:p>
    <w:p>
      <w:pPr>
        <w:spacing w:after="0" w:line="68" w:lineRule="exact"/>
        <w:rPr>
          <w:rFonts w:ascii="Arial" w:cs="Arial" w:eastAsia="Arial" w:hAnsi="Arial"/>
          <w:sz w:val="20"/>
          <w:szCs w:val="20"/>
          <w:color w:val="auto"/>
        </w:rPr>
      </w:pPr>
    </w:p>
    <w:p>
      <w:pPr>
        <w:ind w:left="1060" w:right="120" w:hanging="362"/>
        <w:spacing w:after="0" w:line="271" w:lineRule="auto"/>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Joint ventures and other joint ownership arrangements may demand substantial internal resources and may divert resources and attention from other areas of PAA’s business;</w:t>
      </w:r>
    </w:p>
    <w:p>
      <w:pPr>
        <w:spacing w:after="0" w:line="68" w:lineRule="exact"/>
        <w:rPr>
          <w:rFonts w:ascii="Arial" w:cs="Arial" w:eastAsia="Arial" w:hAnsi="Arial"/>
          <w:sz w:val="20"/>
          <w:szCs w:val="20"/>
          <w:color w:val="auto"/>
        </w:rPr>
      </w:pPr>
    </w:p>
    <w:p>
      <w:pPr>
        <w:ind w:left="1060" w:right="120" w:hanging="362"/>
        <w:spacing w:after="0" w:line="271" w:lineRule="auto"/>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PAA may construct pipelines, facilities or other assets in anticipation of market demand that dissipates or market growth that never materializes;</w:t>
      </w:r>
    </w:p>
    <w:p>
      <w:pPr>
        <w:spacing w:after="0" w:line="68" w:lineRule="exact"/>
        <w:rPr>
          <w:rFonts w:ascii="Arial" w:cs="Arial" w:eastAsia="Arial" w:hAnsi="Arial"/>
          <w:sz w:val="20"/>
          <w:szCs w:val="20"/>
          <w:color w:val="auto"/>
        </w:rPr>
      </w:pPr>
    </w:p>
    <w:p>
      <w:pPr>
        <w:ind w:left="1060" w:right="160" w:hanging="362"/>
        <w:spacing w:after="0" w:line="31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41" w:lineRule="exact"/>
        <w:rPr>
          <w:rFonts w:ascii="Arial" w:cs="Arial" w:eastAsia="Arial" w:hAnsi="Arial"/>
          <w:sz w:val="17"/>
          <w:szCs w:val="17"/>
          <w:color w:val="auto"/>
        </w:rPr>
      </w:pPr>
    </w:p>
    <w:p>
      <w:pPr>
        <w:jc w:val="both"/>
        <w:ind w:left="1060" w:right="160" w:hanging="362"/>
        <w:spacing w:after="0" w:line="258" w:lineRule="auto"/>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81" w:lineRule="exact"/>
        <w:rPr>
          <w:rFonts w:ascii="Arial" w:cs="Arial" w:eastAsia="Arial" w:hAnsi="Arial"/>
          <w:sz w:val="20"/>
          <w:szCs w:val="20"/>
          <w:color w:val="auto"/>
        </w:rPr>
      </w:pPr>
    </w:p>
    <w:p>
      <w:pPr>
        <w:ind w:left="1060" w:right="120" w:hanging="362"/>
        <w:spacing w:after="0" w:line="360"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PAA may face opposition to its planned projects from environmental groups, landowners, local groups and other advocates, including lawsuits or other actions designed to disrupt or delay PAA’s planned projects;</w:t>
      </w:r>
    </w:p>
    <w:p>
      <w:pPr>
        <w:spacing w:after="0" w:line="1" w:lineRule="exact"/>
        <w:rPr>
          <w:rFonts w:ascii="Arial" w:cs="Arial" w:eastAsia="Arial" w:hAnsi="Arial"/>
          <w:sz w:val="17"/>
          <w:szCs w:val="17"/>
          <w:color w:val="auto"/>
        </w:rPr>
      </w:pPr>
    </w:p>
    <w:p>
      <w:pPr>
        <w:ind w:left="1060" w:hanging="362"/>
        <w:spacing w:after="0" w:line="258" w:lineRule="auto"/>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81" w:lineRule="exact"/>
        <w:rPr>
          <w:rFonts w:ascii="Arial" w:cs="Arial" w:eastAsia="Arial" w:hAnsi="Arial"/>
          <w:sz w:val="20"/>
          <w:szCs w:val="20"/>
          <w:color w:val="auto"/>
        </w:rPr>
      </w:pPr>
    </w:p>
    <w:p>
      <w:pPr>
        <w:ind w:left="1060" w:right="140" w:hanging="362"/>
        <w:spacing w:after="0" w:line="251" w:lineRule="auto"/>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91" w:lineRule="exact"/>
        <w:rPr>
          <w:rFonts w:ascii="Arial" w:cs="Arial" w:eastAsia="Arial" w:hAnsi="Arial"/>
          <w:sz w:val="20"/>
          <w:szCs w:val="20"/>
          <w:color w:val="auto"/>
        </w:rPr>
      </w:pPr>
    </w:p>
    <w:p>
      <w:pPr>
        <w:ind w:left="1060" w:right="280" w:hanging="362"/>
        <w:spacing w:after="0" w:line="271" w:lineRule="auto"/>
        <w:tabs>
          <w:tab w:leader="none" w:pos="10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completion or success of PAA’s projects may depend on the completion or success of third-party facilities over which PAA has no control.</w:t>
      </w:r>
    </w:p>
    <w:p>
      <w:pPr>
        <w:spacing w:after="0" w:line="186" w:lineRule="exact"/>
        <w:rPr>
          <w:sz w:val="20"/>
          <w:szCs w:val="20"/>
          <w:color w:val="auto"/>
        </w:rPr>
      </w:pPr>
    </w:p>
    <w:p>
      <w:pPr>
        <w:ind w:right="140" w:firstLine="706"/>
        <w:spacing w:after="0" w:line="258" w:lineRule="auto"/>
        <w:rPr>
          <w:sz w:val="20"/>
          <w:szCs w:val="20"/>
          <w:color w:val="auto"/>
        </w:rPr>
      </w:pPr>
      <w:r>
        <w:rPr>
          <w:rFonts w:ascii="Arial" w:cs="Arial" w:eastAsia="Arial" w:hAnsi="Arial"/>
          <w:sz w:val="20"/>
          <w:szCs w:val="20"/>
          <w:color w:val="auto"/>
        </w:rPr>
        <w:t>As a result of these uncertainties, the anticipated benefits associated with PAA’s joint ventures, joint ownership arrangements and other capital projects may not be achieved or could be delayed. In turn, this could negatively impact PAA’s cash flow and its ability to make or increase cash distributions to its partners.</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020"/>
          </w:cols>
          <w:pgMar w:left="920" w:top="575" w:right="940"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i w:val="1"/>
          <w:iCs w:val="1"/>
          <w:color w:val="auto"/>
        </w:rPr>
        <w:t>Acquisitions and divestitures involve risks that may adversely affect PAA’s business.</w:t>
      </w:r>
    </w:p>
    <w:p>
      <w:pPr>
        <w:spacing w:after="0" w:line="248" w:lineRule="exact"/>
        <w:rPr>
          <w:sz w:val="20"/>
          <w:szCs w:val="20"/>
          <w:color w:val="auto"/>
        </w:rPr>
      </w:pPr>
    </w:p>
    <w:p>
      <w:pPr>
        <w:ind w:firstLine="706"/>
        <w:spacing w:after="0" w:line="300" w:lineRule="auto"/>
        <w:rPr>
          <w:sz w:val="20"/>
          <w:szCs w:val="20"/>
          <w:color w:val="auto"/>
        </w:rPr>
      </w:pPr>
      <w:r>
        <w:rPr>
          <w:rFonts w:ascii="Arial" w:cs="Arial" w:eastAsia="Arial" w:hAnsi="Arial"/>
          <w:sz w:val="17"/>
          <w:szCs w:val="17"/>
          <w:color w:val="auto"/>
        </w:rPr>
        <w:t>PAA’s ability to execute its financial strategy is in part dependent on its ability to complete strategic transactions, including acquisitions, divestitures or sales of interests to strategic partners. If PAA is unable to successfully complete, integrate or realize the anticipated benefits of future acquisitions or planned divestitures (due to reduced investment in the energy sector, governmental action, litigation, counterparty non-performance or other factors), it may be more difficult for PAA to implement its business strategies, maintain its desired leverage levels, increase returns to equity holders or otherwise accomplish its financial goals. In addition, in connection with our divestitures, PAA may agree to retain responsibility for certain liabilities that relate to its period of ownership, which could adversely impact its future financial performance.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Acquisitions also involve potential risks, including:</w:t>
      </w:r>
    </w:p>
    <w:p>
      <w:pPr>
        <w:spacing w:after="0" w:line="240" w:lineRule="exact"/>
        <w:rPr>
          <w:sz w:val="20"/>
          <w:szCs w:val="20"/>
          <w:color w:val="auto"/>
        </w:rPr>
      </w:pPr>
    </w:p>
    <w:p>
      <w:pPr>
        <w:ind w:left="1060" w:right="680" w:hanging="362"/>
        <w:spacing w:after="0" w:line="271" w:lineRule="auto"/>
        <w:tabs>
          <w:tab w:leader="none" w:pos="10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performance from the acquired businesses or assets that is below the forecasts PAA used in evaluating the acquisition;</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significant increase in PAA’s indebtedness and working capital requirements;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inability to timely and effectively integrate the operations of recently acquired businesses or assets;</w:t>
      </w:r>
    </w:p>
    <w:p>
      <w:pPr>
        <w:spacing w:after="0" w:line="134" w:lineRule="exact"/>
        <w:rPr>
          <w:rFonts w:ascii="Arial" w:cs="Arial" w:eastAsia="Arial" w:hAnsi="Arial"/>
          <w:sz w:val="19"/>
          <w:szCs w:val="19"/>
          <w:color w:val="auto"/>
        </w:rPr>
      </w:pPr>
    </w:p>
    <w:p>
      <w:pPr>
        <w:jc w:val="both"/>
        <w:ind w:left="1060" w:right="140" w:hanging="362"/>
        <w:spacing w:after="0" w:line="258" w:lineRule="auto"/>
        <w:tabs>
          <w:tab w:leader="none" w:pos="10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81" w:lineRule="exact"/>
        <w:rPr>
          <w:rFonts w:ascii="Arial" w:cs="Arial" w:eastAsia="Arial" w:hAnsi="Arial"/>
          <w:sz w:val="20"/>
          <w:szCs w:val="20"/>
          <w:color w:val="auto"/>
        </w:rPr>
      </w:pPr>
    </w:p>
    <w:p>
      <w:pPr>
        <w:ind w:left="1060" w:hanging="362"/>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risks associated with operating in lines of business that are distinct and separate from PAA’s historical operations;</w:t>
      </w:r>
    </w:p>
    <w:p>
      <w:pPr>
        <w:spacing w:after="0" w:line="157" w:lineRule="exact"/>
        <w:rPr>
          <w:rFonts w:ascii="Arial" w:cs="Arial" w:eastAsia="Arial" w:hAnsi="Arial"/>
          <w:sz w:val="17"/>
          <w:szCs w:val="17"/>
          <w:color w:val="auto"/>
        </w:rPr>
      </w:pPr>
    </w:p>
    <w:p>
      <w:pPr>
        <w:ind w:left="1060" w:hanging="362"/>
        <w:spacing w:after="0"/>
        <w:tabs>
          <w:tab w:leader="none" w:pos="10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customer or key employee loss from the acquired businesses;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diversion of management’s attention from other business concerns.</w:t>
      </w:r>
    </w:p>
    <w:p>
      <w:pPr>
        <w:spacing w:after="0" w:line="240" w:lineRule="exact"/>
        <w:rPr>
          <w:sz w:val="20"/>
          <w:szCs w:val="20"/>
          <w:color w:val="auto"/>
        </w:rPr>
      </w:pPr>
    </w:p>
    <w:p>
      <w:pPr>
        <w:ind w:right="160" w:firstLine="706"/>
        <w:spacing w:after="0" w:line="271" w:lineRule="auto"/>
        <w:rPr>
          <w:sz w:val="20"/>
          <w:szCs w:val="20"/>
          <w:color w:val="auto"/>
        </w:rPr>
      </w:pPr>
      <w:r>
        <w:rPr>
          <w:rFonts w:ascii="Arial" w:cs="Arial" w:eastAsia="Arial" w:hAnsi="Arial"/>
          <w:sz w:val="20"/>
          <w:szCs w:val="20"/>
          <w:color w:val="auto"/>
        </w:rPr>
        <w:t>Any of these factors could adversely affect PAA’s ability to achieve anticipated levels of cash flows or other benefits from its acquisitions, pay distributions to its partners or meet its debt service requirements.</w:t>
      </w:r>
    </w:p>
    <w:p>
      <w:pPr>
        <w:spacing w:after="0" w:line="179" w:lineRule="exact"/>
        <w:rPr>
          <w:sz w:val="20"/>
          <w:szCs w:val="20"/>
          <w:color w:val="auto"/>
        </w:rPr>
      </w:pPr>
    </w:p>
    <w:p>
      <w:pPr>
        <w:ind w:right="20"/>
        <w:spacing w:after="0" w:line="327" w:lineRule="auto"/>
        <w:rPr>
          <w:sz w:val="20"/>
          <w:szCs w:val="20"/>
          <w:color w:val="auto"/>
        </w:rPr>
      </w:pPr>
      <w:r>
        <w:rPr>
          <w:rFonts w:ascii="Arial" w:cs="Arial" w:eastAsia="Arial" w:hAnsi="Arial"/>
          <w:sz w:val="17"/>
          <w:szCs w:val="17"/>
          <w:b w:val="1"/>
          <w:bCs w:val="1"/>
          <w:i w:val="1"/>
          <w:iCs w:val="1"/>
          <w:color w:val="auto"/>
        </w:rPr>
        <w:t>PAA may enter into new businesses in connection with its strategy to participate in emerging energy opportunities. If PAA is unable to execute on this strategy or operate these new lines of business effectively, PAA’s future growth could be limited. These new lines of business may never develop or may present risks that PAA cannot effectively manage.</w:t>
      </w:r>
    </w:p>
    <w:p>
      <w:pPr>
        <w:spacing w:after="0" w:line="149" w:lineRule="exact"/>
        <w:rPr>
          <w:sz w:val="20"/>
          <w:szCs w:val="20"/>
          <w:color w:val="auto"/>
        </w:rPr>
      </w:pPr>
    </w:p>
    <w:p>
      <w:pPr>
        <w:ind w:right="120" w:firstLine="706"/>
        <w:spacing w:after="0" w:line="296" w:lineRule="auto"/>
        <w:rPr>
          <w:sz w:val="20"/>
          <w:szCs w:val="20"/>
          <w:color w:val="auto"/>
        </w:rPr>
      </w:pPr>
      <w:r>
        <w:rPr>
          <w:rFonts w:ascii="Arial" w:cs="Arial" w:eastAsia="Arial" w:hAnsi="Arial"/>
          <w:sz w:val="17"/>
          <w:szCs w:val="17"/>
          <w:color w:val="auto"/>
        </w:rPr>
        <w:t>As part of PAA’s strategy, it intends to evaluate the potential to repurpose certain under-utilized assets for an alternative use in emerging energy opportunities. This may involve entering into new lines of businesses, which present different challenges and risks. PAA may be unable to execute on its business plans, demand for these new services may not develop on a large or economic scale, or PAA may fail to operate these businesses effectively. In addition, PAA may not be able to compete with companies who also plan to enter into these new lines of business, and who may be larger than PAA and may have greater financial resources to devote to these businesses. These new businesses may also present novel issues in law, taxation, safety or environmental policy, and other areas that PAA may not be able to manage effectively. Management’s assessment of the risks in these new lines of business may be inexact and not identify or resolve all the problems that PAA would face. If PAA is not able to enter into these new lines of business effectively or at all, it could limit PAA’s future growth if such emerging energy businesses grow and become a more important part of the energy industry.</w:t>
      </w:r>
    </w:p>
    <w:p>
      <w:pPr>
        <w:spacing w:after="0" w:line="169" w:lineRule="exact"/>
        <w:rPr>
          <w:sz w:val="20"/>
          <w:szCs w:val="20"/>
          <w:color w:val="auto"/>
        </w:rPr>
      </w:pPr>
    </w:p>
    <w:p>
      <w:pPr>
        <w:ind w:right="460"/>
        <w:spacing w:after="0" w:line="275" w:lineRule="auto"/>
        <w:rPr>
          <w:sz w:val="20"/>
          <w:szCs w:val="20"/>
          <w:color w:val="auto"/>
        </w:rPr>
      </w:pPr>
      <w:r>
        <w:rPr>
          <w:rFonts w:ascii="Arial" w:cs="Arial" w:eastAsia="Arial" w:hAnsi="Arial"/>
          <w:sz w:val="20"/>
          <w:szCs w:val="20"/>
          <w:b w:val="1"/>
          <w:bCs w:val="1"/>
          <w:i w:val="1"/>
          <w:iCs w:val="1"/>
          <w:color w:val="auto"/>
        </w:rPr>
        <w:t>PAA is exposed to the credit risk of its customers and other counterparties it transacts with in the ordinary course of its business activities.</w:t>
      </w:r>
    </w:p>
    <w:p>
      <w:pPr>
        <w:spacing w:after="0" w:line="186" w:lineRule="exact"/>
        <w:rPr>
          <w:sz w:val="20"/>
          <w:szCs w:val="20"/>
          <w:color w:val="auto"/>
        </w:rPr>
      </w:pPr>
    </w:p>
    <w:p>
      <w:pPr>
        <w:ind w:right="160" w:firstLine="706"/>
        <w:spacing w:after="0" w:line="266" w:lineRule="auto"/>
        <w:rPr>
          <w:sz w:val="20"/>
          <w:szCs w:val="20"/>
          <w:color w:val="auto"/>
        </w:rPr>
      </w:pPr>
      <w:r>
        <w:rPr>
          <w:rFonts w:ascii="Arial" w:cs="Arial" w:eastAsia="Arial" w:hAnsi="Arial"/>
          <w:sz w:val="19"/>
          <w:szCs w:val="19"/>
          <w:color w:val="auto"/>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040"/>
          </w:cols>
          <w:pgMar w:left="920" w:top="575" w:right="920" w:bottom="0" w:gutter="0" w:footer="0" w:header="0"/>
          <w:type w:val="continuous"/>
        </w:sectPr>
      </w:pPr>
    </w:p>
    <w:bookmarkStart w:id="54" w:name="page55"/>
    <w:bookmarkEnd w:id="54"/>
    <w:p>
      <w:pPr>
        <w:ind w:firstLine="706"/>
        <w:spacing w:after="0" w:line="297" w:lineRule="auto"/>
        <w:rPr>
          <w:sz w:val="20"/>
          <w:szCs w:val="20"/>
          <w:color w:val="auto"/>
        </w:rPr>
      </w:pPr>
      <w:r>
        <w:rPr>
          <w:rFonts w:ascii="Arial" w:cs="Arial" w:eastAsia="Arial" w:hAnsi="Arial"/>
          <w:sz w:val="17"/>
          <w:szCs w:val="17"/>
          <w:color w:val="auto"/>
        </w:rPr>
        <w:t>PAA has a number of minimum volume commitment contracts that support its pipelines.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movements by shippers of volumes that are less than minimum volume commitments could be significant and could adversely affect PAA’s profitability and earnings.</w:t>
      </w:r>
    </w:p>
    <w:p>
      <w:pPr>
        <w:spacing w:after="0" w:line="175" w:lineRule="exact"/>
        <w:rPr>
          <w:sz w:val="20"/>
          <w:szCs w:val="20"/>
          <w:color w:val="auto"/>
        </w:rPr>
      </w:pPr>
    </w:p>
    <w:p>
      <w:pPr>
        <w:ind w:firstLine="706"/>
        <w:spacing w:after="0" w:line="251" w:lineRule="auto"/>
        <w:rPr>
          <w:sz w:val="20"/>
          <w:szCs w:val="20"/>
          <w:color w:val="auto"/>
        </w:rPr>
      </w:pPr>
      <w:r>
        <w:rPr>
          <w:rFonts w:ascii="Arial" w:cs="Arial" w:eastAsia="Arial" w:hAnsi="Arial"/>
          <w:sz w:val="20"/>
          <w:szCs w:val="20"/>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209" w:lineRule="exact"/>
        <w:rPr>
          <w:sz w:val="20"/>
          <w:szCs w:val="20"/>
          <w:color w:val="auto"/>
        </w:rPr>
      </w:pPr>
    </w:p>
    <w:p>
      <w:pPr>
        <w:ind w:right="100" w:firstLine="706"/>
        <w:spacing w:after="0" w:line="251" w:lineRule="auto"/>
        <w:rPr>
          <w:sz w:val="20"/>
          <w:szCs w:val="20"/>
          <w:color w:val="auto"/>
        </w:rPr>
      </w:pPr>
      <w:r>
        <w:rPr>
          <w:rFonts w:ascii="Arial" w:cs="Arial" w:eastAsia="Arial" w:hAnsi="Arial"/>
          <w:sz w:val="20"/>
          <w:szCs w:val="20"/>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209" w:lineRule="exact"/>
        <w:rPr>
          <w:sz w:val="20"/>
          <w:szCs w:val="20"/>
          <w:color w:val="auto"/>
        </w:rPr>
      </w:pPr>
    </w:p>
    <w:p>
      <w:pPr>
        <w:ind w:right="20" w:firstLine="706"/>
        <w:spacing w:after="0" w:line="271" w:lineRule="auto"/>
        <w:rPr>
          <w:sz w:val="20"/>
          <w:szCs w:val="20"/>
          <w:color w:val="auto"/>
        </w:rPr>
      </w:pPr>
      <w:r>
        <w:rPr>
          <w:rFonts w:ascii="Arial" w:cs="Arial" w:eastAsia="Arial" w:hAnsi="Arial"/>
          <w:sz w:val="19"/>
          <w:szCs w:val="19"/>
          <w:color w:val="auto"/>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189" w:lineRule="exact"/>
        <w:rPr>
          <w:sz w:val="20"/>
          <w:szCs w:val="20"/>
          <w:color w:val="auto"/>
        </w:rPr>
      </w:pPr>
    </w:p>
    <w:p>
      <w:pPr>
        <w:ind w:right="560" w:firstLine="706"/>
        <w:spacing w:after="0" w:line="254" w:lineRule="auto"/>
        <w:rPr>
          <w:sz w:val="20"/>
          <w:szCs w:val="20"/>
          <w:color w:val="auto"/>
        </w:rPr>
      </w:pPr>
      <w:r>
        <w:rPr>
          <w:rFonts w:ascii="Arial" w:cs="Arial" w:eastAsia="Arial" w:hAnsi="Arial"/>
          <w:sz w:val="20"/>
          <w:szCs w:val="20"/>
          <w:color w:val="auto"/>
        </w:rPr>
        <w:t>PAA also relies to a significant degree on the banks that lend to it under its revolving credit facility for financial liquidity, and any failure of those banks to perform their obligations to PAA could significantly impair its liquidity. Furthermore, nonpayment by the counterparties to PAA’s interest rate and/or commodity derivatives could expose it to additional interest rate and/or commodity price risk.</w:t>
      </w:r>
    </w:p>
    <w:p>
      <w:pPr>
        <w:spacing w:after="0" w:line="195" w:lineRule="exact"/>
        <w:rPr>
          <w:sz w:val="20"/>
          <w:szCs w:val="20"/>
          <w:color w:val="auto"/>
        </w:rPr>
      </w:pPr>
    </w:p>
    <w:p>
      <w:pPr>
        <w:ind w:right="280"/>
        <w:spacing w:after="0" w:line="275" w:lineRule="auto"/>
        <w:rPr>
          <w:sz w:val="20"/>
          <w:szCs w:val="20"/>
          <w:color w:val="auto"/>
        </w:rPr>
      </w:pPr>
      <w:r>
        <w:rPr>
          <w:rFonts w:ascii="Arial" w:cs="Arial" w:eastAsia="Arial" w:hAnsi="Arial"/>
          <w:sz w:val="20"/>
          <w:szCs w:val="20"/>
          <w:b w:val="1"/>
          <w:bCs w:val="1"/>
          <w:i w:val="1"/>
          <w:iCs w:val="1"/>
          <w:color w:val="auto"/>
        </w:rPr>
        <w:t>Tightened capital markets or other factors that increase PAA’s cost of capital or otherwise limit its access to capital could impair its ability to achieve its strategic objectives.</w:t>
      </w:r>
    </w:p>
    <w:p>
      <w:pPr>
        <w:spacing w:after="0" w:line="186" w:lineRule="exact"/>
        <w:rPr>
          <w:sz w:val="20"/>
          <w:szCs w:val="20"/>
          <w:color w:val="auto"/>
        </w:rPr>
      </w:pPr>
    </w:p>
    <w:p>
      <w:pPr>
        <w:ind w:right="80" w:firstLine="706"/>
        <w:spacing w:after="0" w:line="266" w:lineRule="auto"/>
        <w:rPr>
          <w:sz w:val="20"/>
          <w:szCs w:val="20"/>
          <w:color w:val="auto"/>
        </w:rPr>
      </w:pPr>
      <w:r>
        <w:rPr>
          <w:rFonts w:ascii="Arial" w:cs="Arial" w:eastAsia="Arial" w:hAnsi="Arial"/>
          <w:sz w:val="19"/>
          <w:szCs w:val="19"/>
          <w:color w:val="auto"/>
        </w:rPr>
        <w:t>Any limitations on PAA’s access to capital or increase in the cost of that capital could significantly impair the implementation of its strategy. PAA’s inability to maintain its targeted credit profile, including maintaining its credit ratings, could adversely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93" w:lineRule="exact"/>
        <w:rPr>
          <w:sz w:val="20"/>
          <w:szCs w:val="20"/>
          <w:color w:val="auto"/>
        </w:rPr>
      </w:pPr>
    </w:p>
    <w:p>
      <w:pPr>
        <w:ind w:firstLine="706"/>
        <w:spacing w:after="0" w:line="268" w:lineRule="auto"/>
        <w:rPr>
          <w:sz w:val="20"/>
          <w:szCs w:val="20"/>
          <w:color w:val="auto"/>
        </w:rPr>
      </w:pPr>
      <w:r>
        <w:rPr>
          <w:rFonts w:ascii="Arial" w:cs="Arial" w:eastAsia="Arial" w:hAnsi="Arial"/>
          <w:sz w:val="19"/>
          <w:szCs w:val="19"/>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cash flows and results of operations.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040"/>
          </w:cols>
          <w:pgMar w:left="920" w:top="582" w:right="920" w:bottom="0" w:gutter="0" w:footer="0" w:header="0"/>
          <w:type w:val="continuous"/>
        </w:sectPr>
      </w:pPr>
    </w:p>
    <w:bookmarkStart w:id="55" w:name="page56"/>
    <w:bookmarkEnd w:id="55"/>
    <w:p>
      <w:pPr>
        <w:ind w:left="7" w:right="200"/>
        <w:spacing w:after="0" w:line="275" w:lineRule="auto"/>
        <w:rPr>
          <w:sz w:val="20"/>
          <w:szCs w:val="20"/>
          <w:color w:val="auto"/>
        </w:rPr>
      </w:pPr>
      <w:r>
        <w:rPr>
          <w:rFonts w:ascii="Arial" w:cs="Arial" w:eastAsia="Arial" w:hAnsi="Arial"/>
          <w:sz w:val="20"/>
          <w:szCs w:val="20"/>
          <w:b w:val="1"/>
          <w:bCs w:val="1"/>
          <w:i w:val="1"/>
          <w:iCs w:val="1"/>
          <w:color w:val="auto"/>
        </w:rPr>
        <w:t>PAA’s risk policies cannot eliminate all risks and the insufficiency of, or non-compliance with its risk policies could result in significant financial losses.</w:t>
      </w:r>
    </w:p>
    <w:p>
      <w:pPr>
        <w:spacing w:after="0" w:line="186" w:lineRule="exact"/>
        <w:rPr>
          <w:sz w:val="20"/>
          <w:szCs w:val="20"/>
          <w:color w:val="auto"/>
        </w:rPr>
      </w:pPr>
    </w:p>
    <w:p>
      <w:pPr>
        <w:ind w:left="7" w:firstLine="706"/>
        <w:spacing w:after="0" w:line="294"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futures or derivative contracts that require future delivery or financial settlement, as applicable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or benchmark and sold against a different index or benchmark. PAA may also face disruptions to futures markets for crude oil, NGL and other petroleum products, which may impair its ability to execute its commercial or hedging strategies. Margin requirements due to spikes or crashes in commodity prices may require PAA to exit hedge strategies at inopportune times. PAA is also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and NGL, up to predefined limits and authorizations. Although this activity is monitored independently by PAA’s risk management function, it exposes PAA to commodity price risks within these limits.</w:t>
      </w:r>
    </w:p>
    <w:p>
      <w:pPr>
        <w:spacing w:after="0" w:line="200" w:lineRule="exact"/>
        <w:rPr>
          <w:sz w:val="20"/>
          <w:szCs w:val="20"/>
          <w:color w:val="auto"/>
        </w:rPr>
      </w:pPr>
    </w:p>
    <w:p>
      <w:pPr>
        <w:spacing w:after="0" w:line="211" w:lineRule="exact"/>
        <w:rPr>
          <w:sz w:val="20"/>
          <w:szCs w:val="20"/>
          <w:color w:val="auto"/>
        </w:rPr>
      </w:pPr>
    </w:p>
    <w:p>
      <w:pPr>
        <w:ind w:left="7" w:right="240" w:firstLine="706"/>
        <w:spacing w:after="0" w:line="254" w:lineRule="auto"/>
        <w:rPr>
          <w:sz w:val="20"/>
          <w:szCs w:val="20"/>
          <w:color w:val="auto"/>
        </w:rPr>
      </w:pPr>
      <w:r>
        <w:rPr>
          <w:rFonts w:ascii="Arial" w:cs="Arial" w:eastAsia="Arial" w:hAnsi="Arial"/>
          <w:sz w:val="20"/>
          <w:szCs w:val="20"/>
          <w:color w:val="auto"/>
        </w:rPr>
        <w:t>PAA has taken steps within its organization to implement processes and procedures designed to detect unauthorized trading and non-compliance with its risk policies; however, PAA can provide no assurance that these steps will detect and prevent all violations of its risk policies and procedures, particularly if deception, collusion or other intentional misconduct is involved.</w:t>
      </w:r>
    </w:p>
    <w:p>
      <w:pPr>
        <w:spacing w:after="0" w:line="195" w:lineRule="exact"/>
        <w:rPr>
          <w:sz w:val="20"/>
          <w:szCs w:val="20"/>
          <w:color w:val="auto"/>
        </w:rPr>
      </w:pPr>
    </w:p>
    <w:p>
      <w:pPr>
        <w:ind w:left="7" w:right="260"/>
        <w:spacing w:after="0" w:line="275" w:lineRule="auto"/>
        <w:rPr>
          <w:sz w:val="20"/>
          <w:szCs w:val="20"/>
          <w:color w:val="auto"/>
        </w:rPr>
      </w:pPr>
      <w:r>
        <w:rPr>
          <w:rFonts w:ascii="Arial" w:cs="Arial" w:eastAsia="Arial" w:hAnsi="Arial"/>
          <w:sz w:val="20"/>
          <w:szCs w:val="20"/>
          <w:b w:val="1"/>
          <w:bCs w:val="1"/>
          <w:i w:val="1"/>
          <w:iCs w:val="1"/>
          <w:color w:val="auto"/>
        </w:rPr>
        <w:t>PAA’s insurance coverage may not fully cover its losses and it may in the future encounter increased costs related to, and lack of availability of, insurance.</w:t>
      </w:r>
    </w:p>
    <w:p>
      <w:pPr>
        <w:spacing w:after="0" w:line="186" w:lineRule="exact"/>
        <w:rPr>
          <w:sz w:val="20"/>
          <w:szCs w:val="20"/>
          <w:color w:val="auto"/>
        </w:rPr>
      </w:pPr>
    </w:p>
    <w:p>
      <w:pPr>
        <w:ind w:left="7" w:right="60" w:firstLine="706"/>
        <w:spacing w:after="0" w:line="294" w:lineRule="auto"/>
        <w:rPr>
          <w:sz w:val="20"/>
          <w:szCs w:val="20"/>
          <w:color w:val="auto"/>
        </w:rPr>
      </w:pPr>
      <w:r>
        <w:rPr>
          <w:rFonts w:ascii="Arial" w:cs="Arial" w:eastAsia="Arial" w:hAnsi="Arial"/>
          <w:sz w:val="17"/>
          <w:szCs w:val="17"/>
          <w:color w:val="auto"/>
        </w:rPr>
        <w:t>While PAA maintains insurance coverage at levels that it believes to be reasonable and prudent, PAA can provide no assurance that its current levels of insurance will be sufficient to cover any losses that it has incurred or may incur in the future,</w:t>
      </w:r>
    </w:p>
    <w:p>
      <w:pPr>
        <w:spacing w:after="0" w:line="1" w:lineRule="exact"/>
        <w:rPr>
          <w:sz w:val="20"/>
          <w:szCs w:val="20"/>
          <w:color w:val="auto"/>
        </w:rPr>
      </w:pPr>
    </w:p>
    <w:p>
      <w:pPr>
        <w:ind w:left="7"/>
        <w:spacing w:after="0" w:line="280" w:lineRule="auto"/>
        <w:rPr>
          <w:sz w:val="20"/>
          <w:szCs w:val="20"/>
          <w:color w:val="auto"/>
        </w:rPr>
      </w:pPr>
      <w:r>
        <w:rPr>
          <w:rFonts w:ascii="Arial" w:cs="Arial" w:eastAsia="Arial" w:hAnsi="Arial"/>
          <w:sz w:val="17"/>
          <w:szCs w:val="17"/>
          <w:color w:val="auto"/>
        </w:rPr>
        <w:t>whether due to deductibles, coverage challenges or other limitations. In addition, 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in the past,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losses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PAA’s financial position, results of operations and cash flows. For a discussion of our Line 901 Incident insurance receivable, please read Item</w:t>
      </w:r>
    </w:p>
    <w:p>
      <w:pPr>
        <w:spacing w:after="0" w:line="9" w:lineRule="exact"/>
        <w:rPr>
          <w:sz w:val="20"/>
          <w:szCs w:val="20"/>
          <w:color w:val="auto"/>
        </w:rPr>
      </w:pPr>
    </w:p>
    <w:p>
      <w:pPr>
        <w:ind w:left="7" w:right="320" w:hanging="7"/>
        <w:spacing w:after="0" w:line="322" w:lineRule="auto"/>
        <w:tabs>
          <w:tab w:leader="none" w:pos="2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Operations—Critical Accounting Policies and Estimates— Line 901 Incident Insurance Receivable” and Note 18 to our Consolidated Financial Statements.</w:t>
      </w:r>
    </w:p>
    <w:p>
      <w:pPr>
        <w:spacing w:after="0" w:line="132" w:lineRule="exact"/>
        <w:rPr>
          <w:sz w:val="20"/>
          <w:szCs w:val="20"/>
          <w:color w:val="auto"/>
        </w:rPr>
      </w:pPr>
    </w:p>
    <w:p>
      <w:pPr>
        <w:ind w:left="7" w:right="40"/>
        <w:spacing w:after="0" w:line="404" w:lineRule="auto"/>
        <w:rPr>
          <w:sz w:val="20"/>
          <w:szCs w:val="20"/>
          <w:color w:val="auto"/>
        </w:rPr>
      </w:pPr>
      <w:r>
        <w:rPr>
          <w:rFonts w:ascii="Arial" w:cs="Arial" w:eastAsia="Arial" w:hAnsi="Arial"/>
          <w:sz w:val="16"/>
          <w:szCs w:val="16"/>
          <w:b w:val="1"/>
          <w:bCs w:val="1"/>
          <w:i w:val="1"/>
          <w:iCs w:val="1"/>
          <w:color w:val="auto"/>
        </w:rPr>
        <w:t>Trade tariffs, duties, quotas, inflation, supply disruptions or other factors affecting the commodities and materials PAA uses in its business could have a material and adverse impact on its results of operations, financial condition and cash flows.</w:t>
      </w:r>
    </w:p>
    <w:p>
      <w:pPr>
        <w:spacing w:after="0" w:line="93" w:lineRule="exact"/>
        <w:rPr>
          <w:sz w:val="20"/>
          <w:szCs w:val="20"/>
          <w:color w:val="auto"/>
        </w:rPr>
      </w:pPr>
    </w:p>
    <w:p>
      <w:pPr>
        <w:ind w:left="7" w:right="180" w:firstLine="706"/>
        <w:spacing w:after="0" w:line="250" w:lineRule="auto"/>
        <w:rPr>
          <w:sz w:val="20"/>
          <w:szCs w:val="20"/>
          <w:color w:val="auto"/>
        </w:rPr>
      </w:pPr>
      <w:r>
        <w:rPr>
          <w:rFonts w:ascii="Arial" w:cs="Arial" w:eastAsia="Arial" w:hAnsi="Arial"/>
          <w:sz w:val="20"/>
          <w:szCs w:val="20"/>
          <w:color w:val="auto"/>
        </w:rPr>
        <w:t>Many of the commodities and materials PAA uses in its business are imported and exported. PAA exports crude oil and NGL from Canada into U.S. markets. To the extent these products become subject to import tariffs in the U.S., it could expose PAA to costs that it cannot recover from its customers.Existing and future trade tariffs, import duties and quotas could also materially increase PAA’s costs of procuring the commodities and materials it uses and disrupt the markets for the products it handles, which in turn could have a material adverse effect on its financial position, results of operations and cash flows.</w:t>
      </w:r>
    </w:p>
    <w:p>
      <w:pPr>
        <w:spacing w:after="0" w:line="209" w:lineRule="exact"/>
        <w:rPr>
          <w:sz w:val="20"/>
          <w:szCs w:val="20"/>
          <w:color w:val="auto"/>
        </w:rPr>
      </w:pPr>
    </w:p>
    <w:p>
      <w:pPr>
        <w:ind w:left="7" w:right="40" w:firstLine="706"/>
        <w:spacing w:after="0" w:line="254" w:lineRule="auto"/>
        <w:rPr>
          <w:sz w:val="20"/>
          <w:szCs w:val="20"/>
          <w:color w:val="auto"/>
        </w:rPr>
      </w:pPr>
      <w:r>
        <w:rPr>
          <w:rFonts w:ascii="Arial" w:cs="Arial" w:eastAsia="Arial" w:hAnsi="Arial"/>
          <w:sz w:val="20"/>
          <w:szCs w:val="20"/>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ectPr>
          <w:pgSz w:w="11880" w:h="15480" w:orient="portrait"/>
          <w:cols w:equalWidth="0" w:num="1">
            <w:col w:w="10047"/>
          </w:cols>
          <w:pgMar w:left="913"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047"/>
          </w:cols>
          <w:pgMar w:left="913" w:top="575" w:right="920" w:bottom="0" w:gutter="0" w:footer="0" w:header="0"/>
          <w:type w:val="continuous"/>
        </w:sectPr>
      </w:pPr>
    </w:p>
    <w:bookmarkStart w:id="56" w:name="page57"/>
    <w:bookmarkEnd w:id="56"/>
    <w:p>
      <w:pPr>
        <w:jc w:val="both"/>
        <w:ind w:right="140" w:firstLine="706"/>
        <w:spacing w:after="0" w:line="258" w:lineRule="auto"/>
        <w:rPr>
          <w:sz w:val="20"/>
          <w:szCs w:val="20"/>
          <w:color w:val="auto"/>
        </w:rPr>
      </w:pPr>
      <w:r>
        <w:rPr>
          <w:rFonts w:ascii="Arial" w:cs="Arial" w:eastAsia="Arial" w:hAnsi="Arial"/>
          <w:sz w:val="20"/>
          <w:szCs w:val="20"/>
          <w:color w:val="auto"/>
        </w:rPr>
        <w:t>PAA’s business also depends on having access to significant amounts of electricity and other commodities. If PAA is unable to obtain commodities sufficient to operate and maintain its assets, or only able to do so at commercially unreasonable prices, it could materially and adversely affect PAA’s business.</w:t>
      </w:r>
    </w:p>
    <w:p>
      <w:pPr>
        <w:spacing w:after="0" w:line="199" w:lineRule="exact"/>
        <w:rPr>
          <w:sz w:val="20"/>
          <w:szCs w:val="20"/>
          <w:color w:val="auto"/>
        </w:rPr>
      </w:pPr>
    </w:p>
    <w:p>
      <w:pPr>
        <w:ind w:right="180" w:firstLine="706"/>
        <w:spacing w:after="0" w:line="254" w:lineRule="auto"/>
        <w:rPr>
          <w:sz w:val="20"/>
          <w:szCs w:val="20"/>
          <w:color w:val="auto"/>
        </w:rPr>
      </w:pPr>
      <w:r>
        <w:rPr>
          <w:rFonts w:ascii="Arial" w:cs="Arial" w:eastAsia="Arial" w:hAnsi="Arial"/>
          <w:sz w:val="20"/>
          <w:szCs w:val="20"/>
          <w:color w:val="auto"/>
        </w:rPr>
        <w:t>Supply chain disruptions and inflation of prices for commodities, materials, products and shipping may make it more challenging to obtain sufficient quantities of high quality materials at acceptable prices and in a timely manner. If PAA is unable to source such materials, it could materially and adversely affect its ability to construct new infrastructure and operate and maintain its existing assets.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b w:val="1"/>
          <w:bCs w:val="1"/>
          <w:i w:val="1"/>
          <w:iCs w:val="1"/>
          <w:color w:val="auto"/>
        </w:rPr>
        <w:t>PAA’s business, results of operations, financial condition, cash flows and unit price can be adversely affected by pandemics, epidemics or other public health events.</w:t>
      </w:r>
    </w:p>
    <w:p>
      <w:pPr>
        <w:spacing w:after="0" w:line="186"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PAA’s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161" w:lineRule="exact"/>
        <w:rPr>
          <w:sz w:val="20"/>
          <w:szCs w:val="20"/>
          <w:color w:val="auto"/>
        </w:rPr>
      </w:pPr>
    </w:p>
    <w:p>
      <w:pPr>
        <w:ind w:right="120"/>
        <w:spacing w:after="0" w:line="366" w:lineRule="auto"/>
        <w:rPr>
          <w:sz w:val="20"/>
          <w:szCs w:val="20"/>
          <w:color w:val="auto"/>
        </w:rPr>
      </w:pPr>
      <w:r>
        <w:rPr>
          <w:rFonts w:ascii="Arial" w:cs="Arial" w:eastAsia="Arial" w:hAnsi="Arial"/>
          <w:sz w:val="17"/>
          <w:szCs w:val="17"/>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17" w:lineRule="exact"/>
        <w:rPr>
          <w:sz w:val="20"/>
          <w:szCs w:val="20"/>
          <w:color w:val="auto"/>
        </w:rPr>
      </w:pPr>
    </w:p>
    <w:p>
      <w:pPr>
        <w:ind w:right="20" w:firstLine="706"/>
        <w:spacing w:after="0" w:line="296" w:lineRule="auto"/>
        <w:rPr>
          <w:sz w:val="20"/>
          <w:szCs w:val="20"/>
          <w:color w:val="auto"/>
        </w:rPr>
      </w:pPr>
      <w:r>
        <w:rPr>
          <w:rFonts w:ascii="Arial" w:cs="Arial" w:eastAsia="Arial" w:hAnsi="Arial"/>
          <w:sz w:val="17"/>
          <w:szCs w:val="17"/>
          <w:color w:val="auto"/>
        </w:rPr>
        <w:t>PAA’s business is dependent on its ability to maintain an attractive credit rating and continue to receive open credit from its suppliers and trade counterparties. PAA’s senior unsecured debt is currently rated as “investment grade” by Standard &amp; Poor’s, Moody’s Investors Service and Fitch Ratings Inc. A downgrade by such agencies to a level below investment grade could increase PAA’s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Accordingly, loss of PAA’s investment grade credit ratings could adversely impact its cash flows, its ability to make distributions and the value of its outstanding equity and debt securities.</w:t>
      </w:r>
    </w:p>
    <w:p>
      <w:pPr>
        <w:spacing w:after="0" w:line="169"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b w:val="1"/>
          <w:bCs w:val="1"/>
          <w:i w:val="1"/>
          <w:iCs w:val="1"/>
          <w:color w:val="auto"/>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spacing w:after="0" w:line="201" w:lineRule="exact"/>
        <w:rPr>
          <w:sz w:val="20"/>
          <w:szCs w:val="20"/>
          <w:color w:val="auto"/>
        </w:rPr>
      </w:pPr>
    </w:p>
    <w:p>
      <w:pPr>
        <w:ind w:right="480" w:firstLine="706"/>
        <w:spacing w:after="0" w:line="300" w:lineRule="auto"/>
        <w:rPr>
          <w:sz w:val="20"/>
          <w:szCs w:val="20"/>
          <w:color w:val="auto"/>
        </w:rPr>
      </w:pPr>
      <w:r>
        <w:rPr>
          <w:rFonts w:ascii="Arial" w:cs="Arial" w:eastAsia="Arial" w:hAnsi="Arial"/>
          <w:sz w:val="17"/>
          <w:szCs w:val="17"/>
          <w:color w:val="auto"/>
        </w:rPr>
        <w:t>As of December 31, 2024, the face value of PAA’s consolidated debt outstanding was approximately $7.7 billion (excluding unamortized discounts and debt issuance costs of approximately $42 million), consisting of approximately</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$7.3 billion face value of long-term debt (including senior notes and finance lease obligations) and approximately $408 million of short-term borrowings. As of December 31, 2024, PAA had over $2.6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spacing w:after="0" w:line="199" w:lineRule="exact"/>
        <w:rPr>
          <w:sz w:val="20"/>
          <w:szCs w:val="20"/>
          <w:color w:val="auto"/>
        </w:rPr>
      </w:pPr>
    </w:p>
    <w:p>
      <w:pPr>
        <w:ind w:right="60" w:firstLine="706"/>
        <w:spacing w:after="0" w:line="271" w:lineRule="auto"/>
        <w:rPr>
          <w:sz w:val="20"/>
          <w:szCs w:val="20"/>
          <w:color w:val="auto"/>
        </w:rPr>
      </w:pPr>
      <w:r>
        <w:rPr>
          <w:rFonts w:ascii="Arial" w:cs="Arial" w:eastAsia="Arial" w:hAnsi="Arial"/>
          <w:sz w:val="20"/>
          <w:szCs w:val="20"/>
          <w:color w:val="auto"/>
        </w:rPr>
        <w:t>The amount of PAA’s current or future indebtedness could have significant effects on its operations, including, among other things:</w:t>
      </w:r>
    </w:p>
    <w:p>
      <w:pPr>
        <w:spacing w:after="0" w:line="69" w:lineRule="exact"/>
        <w:rPr>
          <w:sz w:val="20"/>
          <w:szCs w:val="20"/>
          <w:color w:val="auto"/>
        </w:rPr>
      </w:pPr>
    </w:p>
    <w:p>
      <w:pPr>
        <w:ind w:left="1060" w:right="160" w:hanging="362"/>
        <w:spacing w:after="0" w:line="258" w:lineRule="auto"/>
        <w:tabs>
          <w:tab w:leader="none" w:pos="10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81" w:lineRule="exact"/>
        <w:rPr>
          <w:rFonts w:ascii="Arial" w:cs="Arial" w:eastAsia="Arial" w:hAnsi="Arial"/>
          <w:sz w:val="20"/>
          <w:szCs w:val="20"/>
          <w:color w:val="auto"/>
        </w:rPr>
      </w:pPr>
    </w:p>
    <w:p>
      <w:pPr>
        <w:ind w:left="1060" w:hanging="362"/>
        <w:spacing w:after="0"/>
        <w:tabs>
          <w:tab w:leader="none" w:pos="10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credit rating agencies may view PAA’s debt level negatively;</w:t>
      </w:r>
    </w:p>
    <w:p>
      <w:pPr>
        <w:spacing w:after="0" w:line="122" w:lineRule="exact"/>
        <w:rPr>
          <w:rFonts w:ascii="Arial" w:cs="Arial" w:eastAsia="Arial" w:hAnsi="Arial"/>
          <w:sz w:val="20"/>
          <w:szCs w:val="20"/>
          <w:color w:val="auto"/>
        </w:rPr>
      </w:pPr>
    </w:p>
    <w:p>
      <w:pPr>
        <w:ind w:left="1060" w:right="320" w:hanging="362"/>
        <w:spacing w:after="0" w:line="298"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covenants contained in PAA’s existing debt arrangements will require it to continue to meet financial tests that may adversely affect its flexibility to plan for and react to changes in its business;</w:t>
      </w:r>
    </w:p>
    <w:p>
      <w:pPr>
        <w:spacing w:after="0" w:line="45" w:lineRule="exact"/>
        <w:rPr>
          <w:rFonts w:ascii="Arial" w:cs="Arial" w:eastAsia="Arial" w:hAnsi="Arial"/>
          <w:sz w:val="19"/>
          <w:szCs w:val="19"/>
          <w:color w:val="auto"/>
        </w:rPr>
      </w:pPr>
    </w:p>
    <w:p>
      <w:pPr>
        <w:ind w:left="1060" w:right="340" w:hanging="362"/>
        <w:spacing w:after="0" w:line="271" w:lineRule="auto"/>
        <w:tabs>
          <w:tab w:leader="none" w:pos="10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PAA’s ability to obtain additional financing for working capital, capital expenditures, acquisitions and general partnership purposes may be limited;</w:t>
      </w:r>
    </w:p>
    <w:p>
      <w:pPr>
        <w:sectPr>
          <w:pgSz w:w="11880" w:h="15480" w:orient="portrait"/>
          <w:cols w:equalWidth="0" w:num="1">
            <w:col w:w="10040"/>
          </w:cols>
          <w:pgMar w:left="920" w:top="582" w:right="920" w:bottom="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040"/>
          </w:cols>
          <w:pgMar w:left="920" w:top="582" w:right="920" w:bottom="0" w:gutter="0" w:footer="0" w:header="0"/>
          <w:type w:val="continuous"/>
        </w:sectPr>
      </w:pPr>
    </w:p>
    <w:bookmarkStart w:id="57" w:name="page58"/>
    <w:bookmarkEnd w:id="57"/>
    <w:p>
      <w:pPr>
        <w:ind w:left="1060" w:hanging="362"/>
        <w:spacing w:after="0"/>
        <w:tabs>
          <w:tab w:leader="none" w:pos="10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PAA may be at a competitive disadvantage relative to similar companies that have less debt;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PAA may be more vulnerable to adverse economic and industry conditions as a result of its significant debt level.</w:t>
      </w:r>
    </w:p>
    <w:p>
      <w:pPr>
        <w:spacing w:after="0" w:line="275" w:lineRule="exact"/>
        <w:rPr>
          <w:sz w:val="20"/>
          <w:szCs w:val="20"/>
          <w:color w:val="auto"/>
        </w:rPr>
      </w:pPr>
    </w:p>
    <w:p>
      <w:pPr>
        <w:ind w:right="20" w:firstLine="706"/>
        <w:spacing w:after="0" w:line="299" w:lineRule="auto"/>
        <w:rPr>
          <w:sz w:val="20"/>
          <w:szCs w:val="20"/>
          <w:color w:val="auto"/>
        </w:rPr>
      </w:pPr>
      <w:r>
        <w:rPr>
          <w:rFonts w:ascii="Arial" w:cs="Arial" w:eastAsia="Arial" w:hAnsi="Arial"/>
          <w:sz w:val="17"/>
          <w:szCs w:val="17"/>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 Liquidity and Capital Resources—Credit Agreements, Commercial Paper Program and Indentures.”</w:t>
      </w:r>
    </w:p>
    <w:p>
      <w:pPr>
        <w:spacing w:after="0" w:line="169" w:lineRule="exact"/>
        <w:rPr>
          <w:sz w:val="20"/>
          <w:szCs w:val="20"/>
          <w:color w:val="auto"/>
        </w:rPr>
      </w:pPr>
    </w:p>
    <w:p>
      <w:pPr>
        <w:ind w:right="120" w:firstLine="706"/>
        <w:spacing w:after="0" w:line="295"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In addition,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more expensive and restrictive bank credit, as opposed to long-term public debt securities or equity securities, or the sale of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execute its capital allocation strategies and priorities.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Increases in interest rates could adversely affect PAA’s business and the trading price of its units.</w:t>
      </w:r>
    </w:p>
    <w:p>
      <w:pPr>
        <w:spacing w:after="0" w:line="248" w:lineRule="exact"/>
        <w:rPr>
          <w:sz w:val="20"/>
          <w:szCs w:val="20"/>
          <w:color w:val="auto"/>
        </w:rPr>
      </w:pPr>
    </w:p>
    <w:p>
      <w:pPr>
        <w:ind w:right="160" w:firstLine="706"/>
        <w:spacing w:after="0" w:line="254" w:lineRule="auto"/>
        <w:rPr>
          <w:sz w:val="20"/>
          <w:szCs w:val="20"/>
          <w:color w:val="auto"/>
        </w:rPr>
      </w:pPr>
      <w:r>
        <w:rPr>
          <w:rFonts w:ascii="Arial" w:cs="Arial" w:eastAsia="Arial" w:hAnsi="Arial"/>
          <w:sz w:val="20"/>
          <w:szCs w:val="20"/>
          <w:color w:val="auto"/>
        </w:rPr>
        <w:t>As of December 31, 2024, the face value of PAA’s consolidated debt was approximately $7.7 billion (excluding unamortized discounts and debt issuance costs of approximately $42 million), substantially all of which was at fixed interest rates. Significant increases in interest rates above current levels could adversely affect PAA’s results of operations, cash flows and financial position due to, among other things:</w:t>
      </w:r>
    </w:p>
    <w:p>
      <w:pPr>
        <w:spacing w:after="0" w:line="202" w:lineRule="exact"/>
        <w:rPr>
          <w:sz w:val="20"/>
          <w:szCs w:val="20"/>
          <w:color w:val="auto"/>
        </w:rPr>
      </w:pPr>
    </w:p>
    <w:p>
      <w:pPr>
        <w:ind w:left="1060" w:right="220" w:hanging="362"/>
        <w:spacing w:after="0" w:line="255" w:lineRule="auto"/>
        <w:tabs>
          <w:tab w:leader="none" w:pos="10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PAA’s exposure to market risk due to the short-term nature of its commercial paper borrowings and the floating interest rates on its credit facilities;</w:t>
      </w:r>
    </w:p>
    <w:p>
      <w:pPr>
        <w:spacing w:after="0" w:line="1" w:lineRule="exact"/>
        <w:rPr>
          <w:rFonts w:ascii="Arial" w:cs="Arial" w:eastAsia="Arial" w:hAnsi="Arial"/>
          <w:sz w:val="20"/>
          <w:szCs w:val="20"/>
          <w:color w:val="auto"/>
        </w:rPr>
      </w:pPr>
    </w:p>
    <w:p>
      <w:pPr>
        <w:ind w:left="1060" w:hanging="362"/>
        <w:spacing w:after="0"/>
        <w:tabs>
          <w:tab w:leader="none" w:pos="10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potential refinancing of PAA’s indebtedness at rates higher than historical amounts;</w:t>
      </w:r>
    </w:p>
    <w:p>
      <w:pPr>
        <w:spacing w:after="0" w:line="5" w:lineRule="exact"/>
        <w:rPr>
          <w:rFonts w:ascii="Arial" w:cs="Arial" w:eastAsia="Arial" w:hAnsi="Arial"/>
          <w:sz w:val="20"/>
          <w:szCs w:val="20"/>
          <w:color w:val="auto"/>
        </w:rPr>
      </w:pPr>
    </w:p>
    <w:p>
      <w:pPr>
        <w:ind w:left="1060" w:right="240" w:hanging="362"/>
        <w:spacing w:after="0" w:line="245" w:lineRule="auto"/>
        <w:tabs>
          <w:tab w:leader="none" w:pos="10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Increasing interest costs associated with the storage of hedged crude oil and NGL inventory in PAA’s merchant activities; and</w:t>
      </w:r>
    </w:p>
    <w:p>
      <w:pPr>
        <w:ind w:left="1060" w:right="280" w:hanging="362"/>
        <w:spacing w:after="0" w:line="267"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Distributions payable on PAA’s Series B preferred units, which accumulate for each distribution period at a percentage of the liquidation preference equal to the applicable three-month Secured Overnight Financing Rate (SOFR), plus a credit spread adjustment of 0.26161%, plus 4.11% per annum.</w:t>
      </w:r>
    </w:p>
    <w:p>
      <w:pPr>
        <w:spacing w:after="0" w:line="192" w:lineRule="exact"/>
        <w:rPr>
          <w:sz w:val="20"/>
          <w:szCs w:val="20"/>
          <w:color w:val="auto"/>
        </w:rPr>
      </w:pPr>
    </w:p>
    <w:p>
      <w:pPr>
        <w:ind w:right="120" w:firstLine="706"/>
        <w:spacing w:after="0" w:line="271" w:lineRule="auto"/>
        <w:rPr>
          <w:sz w:val="20"/>
          <w:szCs w:val="20"/>
          <w:color w:val="auto"/>
        </w:rPr>
      </w:pPr>
      <w:r>
        <w:rPr>
          <w:rFonts w:ascii="Arial" w:cs="Arial" w:eastAsia="Arial" w:hAnsi="Arial"/>
          <w:sz w:val="20"/>
          <w:szCs w:val="20"/>
          <w:color w:val="auto"/>
        </w:rPr>
        <w:t>Further, the trading price of PAA’s common units may be sensitive to changes in interest rates and any rise in interest rates could adversely impact such trading price.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currency exchange rates could adversely affect PAA’s operating results.</w:t>
      </w:r>
    </w:p>
    <w:p>
      <w:pPr>
        <w:spacing w:after="0" w:line="248" w:lineRule="exact"/>
        <w:rPr>
          <w:sz w:val="20"/>
          <w:szCs w:val="20"/>
          <w:color w:val="auto"/>
        </w:rPr>
      </w:pPr>
    </w:p>
    <w:p>
      <w:pPr>
        <w:ind w:firstLine="706"/>
        <w:spacing w:after="0" w:line="312" w:lineRule="auto"/>
        <w:rPr>
          <w:sz w:val="20"/>
          <w:szCs w:val="20"/>
          <w:color w:val="auto"/>
        </w:rPr>
      </w:pPr>
      <w:r>
        <w:rPr>
          <w:rFonts w:ascii="Arial" w:cs="Arial" w:eastAsia="Arial" w:hAnsi="Arial"/>
          <w:sz w:val="17"/>
          <w:szCs w:val="17"/>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if the U.S. dollar appreciates against the Canadian dollar, the U.S. dollar value of PAA’s Canadian dollar denominated earnings is reduced for U.S. reporting purposes.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040"/>
          </w:cols>
          <w:pgMar w:left="920" w:top="582" w:right="920" w:bottom="0" w:gutter="0" w:footer="0" w:header="0"/>
          <w:type w:val="continuous"/>
        </w:sectPr>
      </w:pPr>
    </w:p>
    <w:bookmarkStart w:id="58" w:name="page59"/>
    <w:bookmarkEnd w:id="58"/>
    <w:p>
      <w:pPr>
        <w:ind w:right="320"/>
        <w:spacing w:after="0" w:line="275" w:lineRule="auto"/>
        <w:rPr>
          <w:sz w:val="20"/>
          <w:szCs w:val="20"/>
          <w:color w:val="auto"/>
        </w:rPr>
      </w:pPr>
      <w:r>
        <w:rPr>
          <w:rFonts w:ascii="Arial" w:cs="Arial" w:eastAsia="Arial" w:hAnsi="Arial"/>
          <w:sz w:val="20"/>
          <w:szCs w:val="20"/>
          <w:b w:val="1"/>
          <w:bCs w:val="1"/>
          <w:i w:val="1"/>
          <w:iCs w:val="1"/>
          <w:color w:val="auto"/>
        </w:rPr>
        <w:t>PAA’s business requires the retention and recruitment of a skilled workforce, and difficulties retaining and recruiting its workforce could result in a failure to implement PAA’s business plans.</w:t>
      </w:r>
    </w:p>
    <w:p>
      <w:pPr>
        <w:spacing w:after="0" w:line="186" w:lineRule="exact"/>
        <w:rPr>
          <w:sz w:val="20"/>
          <w:szCs w:val="20"/>
          <w:color w:val="auto"/>
        </w:rPr>
      </w:pPr>
    </w:p>
    <w:p>
      <w:pPr>
        <w:ind w:right="40" w:firstLine="706"/>
        <w:spacing w:after="0" w:line="264" w:lineRule="auto"/>
        <w:rPr>
          <w:sz w:val="20"/>
          <w:szCs w:val="20"/>
          <w:color w:val="auto"/>
        </w:rPr>
      </w:pPr>
      <w:r>
        <w:rPr>
          <w:rFonts w:ascii="Arial" w:cs="Arial" w:eastAsia="Arial" w:hAnsi="Arial"/>
          <w:sz w:val="19"/>
          <w:szCs w:val="19"/>
          <w:color w:val="auto"/>
        </w:rPr>
        <w:t>PAA’s operations and management require the retention and recruitment of a skilled workforce, including engineers, technical personnel and other professionals. PAA and its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PAA is unable to (i) retain current employees; and/or (ii) recruit new employees of comparable knowledge and experience, PAA’s business could be negatively impacted. In addition, PAA could experience increased costs to retain current employees and recruit new employees.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 impairment of long-term assets could reduce PAA’s earnings.</w:t>
      </w:r>
    </w:p>
    <w:p>
      <w:pPr>
        <w:spacing w:after="0" w:line="248" w:lineRule="exact"/>
        <w:rPr>
          <w:sz w:val="20"/>
          <w:szCs w:val="20"/>
          <w:color w:val="auto"/>
        </w:rPr>
      </w:pPr>
    </w:p>
    <w:p>
      <w:pPr>
        <w:ind w:right="100" w:firstLine="706"/>
        <w:spacing w:after="0" w:line="297" w:lineRule="auto"/>
        <w:rPr>
          <w:sz w:val="20"/>
          <w:szCs w:val="20"/>
          <w:color w:val="auto"/>
        </w:rPr>
      </w:pPr>
      <w:r>
        <w:rPr>
          <w:rFonts w:ascii="Arial" w:cs="Arial" w:eastAsia="Arial" w:hAnsi="Arial"/>
          <w:sz w:val="17"/>
          <w:szCs w:val="17"/>
          <w:color w:val="auto"/>
        </w:rPr>
        <w:t>At December 31, 2024, PAA had approximately $15.4 billion of net property and equipment, $968 million of linefill, $2.8 billion of investments accounted for under the equity method of accounting and approximately $1.7 billion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PAA is dependent on the use or availability of third-party assets for certain of its operations.</w:t>
      </w:r>
    </w:p>
    <w:p>
      <w:pPr>
        <w:spacing w:after="0" w:line="248" w:lineRule="exact"/>
        <w:rPr>
          <w:sz w:val="20"/>
          <w:szCs w:val="20"/>
          <w:color w:val="auto"/>
        </w:rPr>
      </w:pPr>
    </w:p>
    <w:p>
      <w:pPr>
        <w:ind w:right="40" w:firstLine="706"/>
        <w:spacing w:after="0" w:line="278" w:lineRule="auto"/>
        <w:rPr>
          <w:sz w:val="20"/>
          <w:szCs w:val="20"/>
          <w:color w:val="auto"/>
        </w:rPr>
      </w:pPr>
      <w:r>
        <w:rPr>
          <w:rFonts w:ascii="Arial" w:cs="Arial" w:eastAsia="Arial" w:hAnsi="Arial"/>
          <w:sz w:val="19"/>
          <w:szCs w:val="19"/>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174" w:lineRule="exact"/>
        <w:rPr>
          <w:sz w:val="20"/>
          <w:szCs w:val="20"/>
          <w:color w:val="auto"/>
        </w:rPr>
      </w:pPr>
    </w:p>
    <w:p>
      <w:pPr>
        <w:ind w:right="320"/>
        <w:spacing w:after="0" w:line="275" w:lineRule="auto"/>
        <w:rPr>
          <w:sz w:val="20"/>
          <w:szCs w:val="20"/>
          <w:color w:val="auto"/>
        </w:rPr>
      </w:pPr>
      <w:r>
        <w:rPr>
          <w:rFonts w:ascii="Arial" w:cs="Arial" w:eastAsia="Arial" w:hAnsi="Arial"/>
          <w:sz w:val="20"/>
          <w:szCs w:val="20"/>
          <w:b w:val="1"/>
          <w:bCs w:val="1"/>
          <w:i w:val="1"/>
          <w:iCs w:val="1"/>
          <w:color w:val="auto"/>
        </w:rPr>
        <w:t>Significant under-utilization of certain assets could significantly reduce PAA’s profitability due to fixed costs incurred to obtain the right to use such assets.</w:t>
      </w:r>
    </w:p>
    <w:p>
      <w:pPr>
        <w:spacing w:after="0" w:line="186"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(such as maintenance, storage or other costs). Significant under-utilization of assets PAA leases or otherwise secures the right to use in connection with its business could have a significant negative impact on PAA’s profitability and cash flows.</w:t>
      </w:r>
    </w:p>
    <w:p>
      <w:pPr>
        <w:spacing w:after="0" w:line="161" w:lineRule="exact"/>
        <w:rPr>
          <w:sz w:val="20"/>
          <w:szCs w:val="20"/>
          <w:color w:val="auto"/>
        </w:rPr>
      </w:pPr>
    </w:p>
    <w:p>
      <w:pPr>
        <w:ind w:right="80"/>
        <w:spacing w:after="0" w:line="366" w:lineRule="auto"/>
        <w:rPr>
          <w:sz w:val="20"/>
          <w:szCs w:val="20"/>
          <w:color w:val="auto"/>
        </w:rPr>
      </w:pPr>
      <w:r>
        <w:rPr>
          <w:rFonts w:ascii="Arial" w:cs="Arial" w:eastAsia="Arial" w:hAnsi="Arial"/>
          <w:sz w:val="17"/>
          <w:szCs w:val="17"/>
          <w:b w:val="1"/>
          <w:bCs w:val="1"/>
          <w:i w:val="1"/>
          <w:iCs w:val="1"/>
          <w:color w:val="auto"/>
        </w:rPr>
        <w:t>Many of PAA’s assets have been in service for many years and require significant expenditures to maintain them or remove them from service. As a result, its maintenance, repair or asset retirement costs may increase in the future.</w:t>
      </w:r>
    </w:p>
    <w:p>
      <w:pPr>
        <w:spacing w:after="0" w:line="117" w:lineRule="exact"/>
        <w:rPr>
          <w:sz w:val="20"/>
          <w:szCs w:val="20"/>
          <w:color w:val="auto"/>
        </w:rPr>
      </w:pPr>
    </w:p>
    <w:p>
      <w:pPr>
        <w:ind w:right="20" w:firstLine="706"/>
        <w:spacing w:after="0" w:line="312" w:lineRule="auto"/>
        <w:rPr>
          <w:sz w:val="20"/>
          <w:szCs w:val="20"/>
          <w:color w:val="auto"/>
        </w:rPr>
      </w:pPr>
      <w:r>
        <w:rPr>
          <w:rFonts w:ascii="Arial" w:cs="Arial" w:eastAsia="Arial" w:hAnsi="Arial"/>
          <w:sz w:val="17"/>
          <w:szCs w:val="17"/>
          <w:color w:val="auto"/>
        </w:rPr>
        <w:t>PAA’s pipelines, terminals, storage and processing and fractionation assets are generally long-lived assets, and many of them have been in service for many years. The age and condition of its assets could result in increased maintenance, repair or asset retirement expenditures in the future. Any significant increase in these expenditures could adversely affect PAA’s results of operations, financial position or cash flows, as well as its ability to make cash distributions to its unitholders.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040"/>
          </w:cols>
          <w:pgMar w:left="920" w:top="575" w:right="920" w:bottom="0" w:gutter="0" w:footer="0" w:header="0"/>
          <w:type w:val="continuous"/>
        </w:sectPr>
      </w:pPr>
    </w:p>
    <w:bookmarkStart w:id="59" w:name="page60"/>
    <w:bookmarkEnd w:id="59"/>
    <w:p>
      <w:pPr>
        <w:ind w:right="380"/>
        <w:spacing w:after="0" w:line="275" w:lineRule="auto"/>
        <w:rPr>
          <w:sz w:val="20"/>
          <w:szCs w:val="20"/>
          <w:color w:val="auto"/>
        </w:rPr>
      </w:pPr>
      <w:r>
        <w:rPr>
          <w:rFonts w:ascii="Arial" w:cs="Arial" w:eastAsia="Arial" w:hAnsi="Arial"/>
          <w:sz w:val="20"/>
          <w:szCs w:val="20"/>
          <w:b w:val="1"/>
          <w:bCs w:val="1"/>
          <w:i w:val="1"/>
          <w:iCs w:val="1"/>
          <w:color w:val="auto"/>
        </w:rPr>
        <w:t>PAA does not own all of the land on which its pipelines and facilities are located, which could result in disruptions to its operations.</w:t>
      </w:r>
    </w:p>
    <w:p>
      <w:pPr>
        <w:spacing w:after="0" w:line="186" w:lineRule="exact"/>
        <w:rPr>
          <w:sz w:val="20"/>
          <w:szCs w:val="20"/>
          <w:color w:val="auto"/>
        </w:rPr>
      </w:pPr>
    </w:p>
    <w:p>
      <w:pPr>
        <w:ind w:firstLine="706"/>
        <w:spacing w:after="0" w:line="294" w:lineRule="auto"/>
        <w:rPr>
          <w:sz w:val="20"/>
          <w:szCs w:val="20"/>
          <w:color w:val="auto"/>
        </w:rPr>
      </w:pPr>
      <w:r>
        <w:rPr>
          <w:rFonts w:ascii="Arial" w:cs="Arial" w:eastAsia="Arial" w:hAnsi="Arial"/>
          <w:sz w:val="17"/>
          <w:szCs w:val="17"/>
          <w:color w:val="auto"/>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pacing w:after="0" w:line="200" w:lineRule="exact"/>
        <w:rPr>
          <w:sz w:val="20"/>
          <w:szCs w:val="20"/>
          <w:color w:val="auto"/>
        </w:rPr>
      </w:pPr>
    </w:p>
    <w:p>
      <w:pPr>
        <w:spacing w:after="0" w:line="208" w:lineRule="exact"/>
        <w:rPr>
          <w:sz w:val="20"/>
          <w:szCs w:val="20"/>
          <w:color w:val="auto"/>
        </w:rPr>
      </w:pPr>
    </w:p>
    <w:p>
      <w:pPr>
        <w:ind w:right="560"/>
        <w:spacing w:after="0" w:line="275" w:lineRule="auto"/>
        <w:rPr>
          <w:sz w:val="20"/>
          <w:szCs w:val="20"/>
          <w:color w:val="auto"/>
        </w:rPr>
      </w:pPr>
      <w:r>
        <w:rPr>
          <w:rFonts w:ascii="Arial" w:cs="Arial" w:eastAsia="Arial" w:hAnsi="Arial"/>
          <w:sz w:val="20"/>
          <w:szCs w:val="20"/>
          <w:b w:val="1"/>
          <w:bCs w:val="1"/>
          <w:i w:val="1"/>
          <w:iCs w:val="1"/>
          <w:color w:val="auto"/>
        </w:rPr>
        <w:t>The pace of development of natural gas infrastructure could have an adverse impact on expected crude oil production growth in the Permian Basin.</w:t>
      </w:r>
    </w:p>
    <w:p>
      <w:pPr>
        <w:spacing w:after="0" w:line="186" w:lineRule="exact"/>
        <w:rPr>
          <w:sz w:val="20"/>
          <w:szCs w:val="20"/>
          <w:color w:val="auto"/>
        </w:rPr>
      </w:pPr>
    </w:p>
    <w:p>
      <w:pPr>
        <w:ind w:right="100" w:firstLine="706"/>
        <w:spacing w:after="0" w:line="264" w:lineRule="auto"/>
        <w:rPr>
          <w:sz w:val="20"/>
          <w:szCs w:val="20"/>
          <w:color w:val="auto"/>
        </w:rPr>
      </w:pPr>
      <w:r>
        <w:rPr>
          <w:rFonts w:ascii="Arial" w:cs="Arial" w:eastAsia="Arial" w:hAnsi="Arial"/>
          <w:sz w:val="19"/>
          <w:szCs w:val="19"/>
          <w:color w:val="auto"/>
        </w:rPr>
        <w:t>In certain areas where PAA operates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that PAA purchases in connection with its operations and reduced throughput on its pipelines and at its other facilities, which, depending on the impact to production growth, could have a material adverse effect on PAA’s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Laws and Regulations Impacting PAA’s Business</w:t>
      </w:r>
    </w:p>
    <w:p>
      <w:pPr>
        <w:spacing w:after="0" w:line="240" w:lineRule="exact"/>
        <w:rPr>
          <w:sz w:val="20"/>
          <w:szCs w:val="20"/>
          <w:color w:val="auto"/>
        </w:rPr>
      </w:pPr>
    </w:p>
    <w:p>
      <w:pPr>
        <w:ind w:right="40"/>
        <w:spacing w:after="0" w:line="314" w:lineRule="auto"/>
        <w:rPr>
          <w:sz w:val="20"/>
          <w:szCs w:val="20"/>
          <w:color w:val="auto"/>
        </w:rPr>
      </w:pPr>
      <w:r>
        <w:rPr>
          <w:rFonts w:ascii="Arial" w:cs="Arial" w:eastAsia="Arial" w:hAnsi="Arial"/>
          <w:sz w:val="17"/>
          <w:szCs w:val="17"/>
          <w:b w:val="1"/>
          <w:bCs w:val="1"/>
          <w:i w:val="1"/>
          <w:iCs w:val="1"/>
          <w:color w:val="auto"/>
        </w:rPr>
        <w:t>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spacing w:after="0" w:line="160" w:lineRule="exact"/>
        <w:rPr>
          <w:sz w:val="20"/>
          <w:szCs w:val="20"/>
          <w:color w:val="auto"/>
        </w:rPr>
      </w:pPr>
    </w:p>
    <w:p>
      <w:pPr>
        <w:ind w:right="20" w:firstLine="706"/>
        <w:spacing w:after="0" w:line="292" w:lineRule="auto"/>
        <w:rPr>
          <w:sz w:val="20"/>
          <w:szCs w:val="20"/>
          <w:color w:val="auto"/>
        </w:rPr>
      </w:pPr>
      <w:r>
        <w:rPr>
          <w:rFonts w:ascii="Arial" w:cs="Arial" w:eastAsia="Arial" w:hAnsi="Arial"/>
          <w:sz w:val="17"/>
          <w:szCs w:val="17"/>
          <w:color w:val="auto"/>
        </w:rPr>
        <w:t>PAA’s operations involving the storage, treatment, processing, and transportation of liquid hydrocarbons, including crude oil, NGL and natural gas, are subject to stringent federal, state, and local laws and regulations governing the discharge of materials into the environment. PAA’s operations are also subject to laws and regulations relating to protection of the environment, natural resources, operational safety, climate change and related matters. Compliance with these laws and regulations may increase its overall cost of doing business, including its capital costs to construct, maintain and upgrade equipment and facilities. Also, new or additional laws and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or remedial obligations or the incurrence of capital expenditures, the costs of which may be substantial. Any such failure could also result in the imposition of restrictions, delays or cancellations in the permitting or performance of projects, or the issuance of injunctions that may subject PAA to additional operational requirements and constraints, or claims of damages to property or persons.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new or additional laws or regulations. For example, certain U.S presidential administrations have pursued regulatory agendas focused on the emission of GHGs or other pollutants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PAA could have a material adverse effect on its financial position, results of operations and cash flows.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040"/>
          </w:cols>
          <w:pgMar w:left="920" w:top="575" w:right="920" w:bottom="0" w:gutter="0" w:footer="0" w:header="0"/>
          <w:type w:val="continuous"/>
        </w:sectPr>
      </w:pPr>
    </w:p>
    <w:bookmarkStart w:id="60" w:name="page61"/>
    <w:bookmarkEnd w:id="60"/>
    <w:p>
      <w:pPr>
        <w:ind w:right="40" w:firstLine="706"/>
        <w:spacing w:after="0" w:line="299" w:lineRule="auto"/>
        <w:rPr>
          <w:sz w:val="20"/>
          <w:szCs w:val="20"/>
          <w:color w:val="auto"/>
        </w:rPr>
      </w:pPr>
      <w:r>
        <w:rPr>
          <w:rFonts w:ascii="Arial" w:cs="Arial" w:eastAsia="Arial" w:hAnsi="Arial"/>
          <w:sz w:val="17"/>
          <w:szCs w:val="17"/>
          <w:color w:val="auto"/>
        </w:rPr>
        <w:t>PAA has a history of making incremental additions to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increases the capacity of its existing assets or acquires additional assets it is at risk for an increase in the number and/or volume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w:t>
      </w:r>
    </w:p>
    <w:p>
      <w:pPr>
        <w:spacing w:after="0" w:line="169" w:lineRule="exact"/>
        <w:rPr>
          <w:sz w:val="20"/>
          <w:szCs w:val="20"/>
          <w:color w:val="auto"/>
        </w:rPr>
      </w:pPr>
    </w:p>
    <w:p>
      <w:pPr>
        <w:ind w:right="40" w:firstLine="706"/>
        <w:spacing w:after="0" w:line="264" w:lineRule="auto"/>
        <w:rPr>
          <w:sz w:val="20"/>
          <w:szCs w:val="20"/>
          <w:color w:val="auto"/>
        </w:rPr>
      </w:pPr>
      <w:r>
        <w:rPr>
          <w:rFonts w:ascii="Arial" w:cs="Arial" w:eastAsia="Arial" w:hAnsi="Arial"/>
          <w:sz w:val="19"/>
          <w:szCs w:val="19"/>
          <w:color w:val="auto"/>
        </w:rPr>
        <w:t>PAA currently devotes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pacing w:after="0" w:line="199" w:lineRule="exact"/>
        <w:rPr>
          <w:sz w:val="20"/>
          <w:szCs w:val="20"/>
          <w:color w:val="auto"/>
        </w:rPr>
      </w:pPr>
    </w:p>
    <w:p>
      <w:pPr>
        <w:ind w:firstLine="706"/>
        <w:spacing w:after="0" w:line="293" w:lineRule="auto"/>
        <w:rPr>
          <w:sz w:val="20"/>
          <w:szCs w:val="20"/>
          <w:color w:val="auto"/>
        </w:rPr>
      </w:pPr>
      <w:r>
        <w:rPr>
          <w:rFonts w:ascii="Arial" w:cs="Arial" w:eastAsia="Arial" w:hAnsi="Arial"/>
          <w:sz w:val="17"/>
          <w:szCs w:val="17"/>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18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200" w:lineRule="exact"/>
        <w:rPr>
          <w:sz w:val="20"/>
          <w:szCs w:val="20"/>
          <w:color w:val="auto"/>
        </w:rPr>
      </w:pPr>
    </w:p>
    <w:p>
      <w:pPr>
        <w:spacing w:after="0" w:line="212" w:lineRule="exact"/>
        <w:rPr>
          <w:sz w:val="20"/>
          <w:szCs w:val="20"/>
          <w:color w:val="auto"/>
        </w:rPr>
      </w:pPr>
    </w:p>
    <w:p>
      <w:pPr>
        <w:ind w:right="220"/>
        <w:spacing w:after="0" w:line="366" w:lineRule="auto"/>
        <w:rPr>
          <w:sz w:val="20"/>
          <w:szCs w:val="20"/>
          <w:color w:val="auto"/>
        </w:rPr>
      </w:pPr>
      <w:r>
        <w:rPr>
          <w:rFonts w:ascii="Arial" w:cs="Arial" w:eastAsia="Arial" w:hAnsi="Arial"/>
          <w:sz w:val="17"/>
          <w:szCs w:val="17"/>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17" w:lineRule="exact"/>
        <w:rPr>
          <w:sz w:val="20"/>
          <w:szCs w:val="20"/>
          <w:color w:val="auto"/>
        </w:rPr>
      </w:pPr>
    </w:p>
    <w:p>
      <w:pPr>
        <w:ind w:right="80" w:firstLine="706"/>
        <w:spacing w:after="0" w:line="251" w:lineRule="auto"/>
        <w:rPr>
          <w:sz w:val="20"/>
          <w:szCs w:val="20"/>
          <w:color w:val="auto"/>
        </w:rPr>
      </w:pPr>
      <w:r>
        <w:rPr>
          <w:rFonts w:ascii="Arial" w:cs="Arial" w:eastAsia="Arial" w:hAnsi="Arial"/>
          <w:sz w:val="20"/>
          <w:szCs w:val="20"/>
          <w:color w:val="auto"/>
        </w:rPr>
        <w:t>PAA’s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PAA is also subject to the Pipeline Safety Regulations of the DOT. PAA’s intrastate pipeline transportation activities are subject to various state laws and regulations as well as orders of state regulatory bodies.</w:t>
      </w:r>
    </w:p>
    <w:p>
      <w:pPr>
        <w:spacing w:after="0" w:line="209" w:lineRule="exact"/>
        <w:rPr>
          <w:sz w:val="20"/>
          <w:szCs w:val="20"/>
          <w:color w:val="auto"/>
        </w:rPr>
      </w:pPr>
    </w:p>
    <w:p>
      <w:pPr>
        <w:ind w:right="100" w:firstLine="706"/>
        <w:spacing w:after="0" w:line="268" w:lineRule="auto"/>
        <w:rPr>
          <w:sz w:val="20"/>
          <w:szCs w:val="20"/>
          <w:color w:val="auto"/>
        </w:rPr>
      </w:pPr>
      <w:r>
        <w:rPr>
          <w:rFonts w:ascii="Arial" w:cs="Arial" w:eastAsia="Arial" w:hAnsi="Arial"/>
          <w:sz w:val="19"/>
          <w:szCs w:val="19"/>
          <w:color w:val="auto"/>
        </w:rPr>
        <w:t>For PAA’s U.S. interstate common carrier liquids pipelines subject to FERC regulation under the ICA, shippers may protest its pipeline tariff filings or file complaints against its existing rates or complaints alleging that it is engaging in discriminatory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w:t>
      </w:r>
    </w:p>
    <w:p>
      <w:pPr>
        <w:spacing w:after="0" w:line="191"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ectPr>
          <w:pgSz w:w="11880" w:h="15480" w:orient="portrait"/>
          <w:cols w:equalWidth="0" w:num="1">
            <w:col w:w="9940"/>
          </w:cols>
          <w:pgMar w:left="920" w:top="817" w:right="102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940"/>
          </w:cols>
          <w:pgMar w:left="920" w:top="817" w:right="1020" w:bottom="0" w:gutter="0" w:footer="0" w:header="0"/>
          <w:type w:val="continuous"/>
        </w:sectPr>
      </w:pPr>
    </w:p>
    <w:bookmarkStart w:id="61" w:name="page62"/>
    <w:bookmarkEnd w:id="61"/>
    <w:p>
      <w:pPr>
        <w:ind w:firstLine="706"/>
        <w:spacing w:after="0" w:line="296" w:lineRule="auto"/>
        <w:rPr>
          <w:sz w:val="20"/>
          <w:szCs w:val="20"/>
          <w:color w:val="auto"/>
        </w:rPr>
      </w:pPr>
      <w:r>
        <w:rPr>
          <w:rFonts w:ascii="Arial" w:cs="Arial" w:eastAsia="Arial" w:hAnsi="Arial"/>
          <w:sz w:val="17"/>
          <w:szCs w:val="17"/>
          <w:color w:val="auto"/>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Some of PAA’s operations cross the U.S./Canada border and are subject to cross-border regulation.</w:t>
      </w:r>
    </w:p>
    <w:p>
      <w:pPr>
        <w:spacing w:after="0" w:line="248" w:lineRule="exact"/>
        <w:rPr>
          <w:sz w:val="20"/>
          <w:szCs w:val="20"/>
          <w:color w:val="auto"/>
        </w:rPr>
      </w:pPr>
    </w:p>
    <w:p>
      <w:pPr>
        <w:ind w:right="200" w:firstLine="706"/>
        <w:spacing w:after="0" w:line="251" w:lineRule="auto"/>
        <w:rPr>
          <w:sz w:val="20"/>
          <w:szCs w:val="20"/>
          <w:color w:val="auto"/>
        </w:rPr>
      </w:pPr>
      <w:r>
        <w:rPr>
          <w:rFonts w:ascii="Arial" w:cs="Arial" w:eastAsia="Arial" w:hAnsi="Arial"/>
          <w:sz w:val="20"/>
          <w:szCs w:val="20"/>
          <w:color w:val="auto"/>
        </w:rPr>
        <w:t>PAA’s cross border activities subject it to regulatory matters, including import and export licenses, trade tariffs, Canadian and U.S. customs and tax issues and toxic substance certifications. Such regulations include the USMCA and the TSCA. Violations of these licensing, trade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PAA’s purchases and sales of crude oil, natural gas and NGL, and hedging activities, expose it to potential regulatory risks.</w:t>
      </w:r>
    </w:p>
    <w:p>
      <w:pPr>
        <w:spacing w:after="0" w:line="282" w:lineRule="exact"/>
        <w:rPr>
          <w:sz w:val="20"/>
          <w:szCs w:val="20"/>
          <w:color w:val="auto"/>
        </w:rPr>
      </w:pPr>
    </w:p>
    <w:p>
      <w:pPr>
        <w:ind w:firstLine="706"/>
        <w:spacing w:after="0" w:line="296" w:lineRule="auto"/>
        <w:rPr>
          <w:sz w:val="20"/>
          <w:szCs w:val="20"/>
          <w:color w:val="auto"/>
        </w:rPr>
      </w:pPr>
      <w:r>
        <w:rPr>
          <w:rFonts w:ascii="Arial" w:cs="Arial" w:eastAsia="Arial" w:hAnsi="Arial"/>
          <w:sz w:val="17"/>
          <w:szCs w:val="17"/>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169" w:lineRule="exact"/>
        <w:rPr>
          <w:sz w:val="20"/>
          <w:szCs w:val="20"/>
          <w:color w:val="auto"/>
        </w:rPr>
      </w:pPr>
    </w:p>
    <w:p>
      <w:pPr>
        <w:jc w:val="both"/>
        <w:ind w:right="280"/>
        <w:spacing w:after="0" w:line="280" w:lineRule="auto"/>
        <w:rPr>
          <w:sz w:val="20"/>
          <w:szCs w:val="20"/>
          <w:color w:val="auto"/>
        </w:rPr>
      </w:pPr>
      <w:r>
        <w:rPr>
          <w:rFonts w:ascii="Arial" w:cs="Arial" w:eastAsia="Arial" w:hAnsi="Arial"/>
          <w:sz w:val="19"/>
          <w:szCs w:val="19"/>
          <w:b w:val="1"/>
          <w:bCs w:val="1"/>
          <w:i w:val="1"/>
          <w:iCs w:val="1"/>
          <w:color w:val="auto"/>
        </w:rPr>
        <w:t>Existing or future derivatives legislation and regulations could have an adverse impact on PAA’s ability to use derivative instruments to reduce the effect of commodity price, interest rate and other risks associated with its business and increase the amount of working capital required to conduct these hedging activities.</w:t>
      </w:r>
    </w:p>
    <w:p>
      <w:pPr>
        <w:spacing w:after="0" w:line="183" w:lineRule="exact"/>
        <w:rPr>
          <w:sz w:val="20"/>
          <w:szCs w:val="20"/>
          <w:color w:val="auto"/>
        </w:rPr>
      </w:pPr>
    </w:p>
    <w:p>
      <w:pPr>
        <w:ind w:right="520" w:firstLine="706"/>
        <w:spacing w:after="0" w:line="278" w:lineRule="auto"/>
        <w:rPr>
          <w:sz w:val="20"/>
          <w:szCs w:val="20"/>
          <w:color w:val="auto"/>
        </w:rPr>
      </w:pPr>
      <w:r>
        <w:rPr>
          <w:rFonts w:ascii="Arial" w:cs="Arial" w:eastAsia="Arial" w:hAnsi="Arial"/>
          <w:sz w:val="19"/>
          <w:szCs w:val="19"/>
          <w:color w:val="auto"/>
        </w:rPr>
        <w:t>The Dodd-Frank Wall Street Reform and Consumer Protection Act (the “Dodd-Frank Act”) established federal oversight and regulation of derivative markets and entities, such as PAA, that participate in those markets. The CFTC has promulgated implementing regulations with respect to the Dodd-Frank Act.</w:t>
      </w:r>
    </w:p>
    <w:p>
      <w:pPr>
        <w:spacing w:after="0" w:line="182" w:lineRule="exact"/>
        <w:rPr>
          <w:sz w:val="20"/>
          <w:szCs w:val="20"/>
          <w:color w:val="auto"/>
        </w:rPr>
      </w:pPr>
    </w:p>
    <w:p>
      <w:pPr>
        <w:ind w:right="100" w:firstLine="706"/>
        <w:spacing w:after="0" w:line="296" w:lineRule="auto"/>
        <w:rPr>
          <w:sz w:val="20"/>
          <w:szCs w:val="20"/>
          <w:color w:val="auto"/>
        </w:rPr>
      </w:pPr>
      <w:r>
        <w:rPr>
          <w:rFonts w:ascii="Arial" w:cs="Arial" w:eastAsia="Arial" w:hAnsi="Arial"/>
          <w:sz w:val="17"/>
          <w:szCs w:val="17"/>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76" w:lineRule="exact"/>
        <w:rPr>
          <w:sz w:val="20"/>
          <w:szCs w:val="20"/>
          <w:color w:val="auto"/>
        </w:rPr>
      </w:pPr>
    </w:p>
    <w:p>
      <w:pPr>
        <w:ind w:right="60" w:firstLine="706"/>
        <w:spacing w:after="0" w:line="264" w:lineRule="auto"/>
        <w:rPr>
          <w:sz w:val="20"/>
          <w:szCs w:val="20"/>
          <w:color w:val="auto"/>
        </w:rPr>
      </w:pPr>
      <w:r>
        <w:rPr>
          <w:rFonts w:ascii="Arial" w:cs="Arial" w:eastAsia="Arial" w:hAnsi="Arial"/>
          <w:sz w:val="19"/>
          <w:szCs w:val="19"/>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its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our credit facilities) and reduce its ability to use cash for capital expenditures or other partnership purposes.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040"/>
          </w:cols>
          <w:pgMar w:left="920" w:top="582" w:right="920" w:bottom="0" w:gutter="0" w:footer="0" w:header="0"/>
          <w:type w:val="continuous"/>
        </w:sectPr>
      </w:pPr>
    </w:p>
    <w:bookmarkStart w:id="62" w:name="page63"/>
    <w:bookmarkEnd w:id="62"/>
    <w:p>
      <w:pPr>
        <w:ind w:firstLine="706"/>
        <w:spacing w:after="0" w:line="300"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it is able to capture by limiting the extent to which PAA is able to execute its hedging strategies.</w:t>
      </w:r>
    </w:p>
    <w:p>
      <w:pPr>
        <w:spacing w:after="0" w:line="171" w:lineRule="exact"/>
        <w:rPr>
          <w:sz w:val="20"/>
          <w:szCs w:val="20"/>
          <w:color w:val="auto"/>
        </w:rPr>
      </w:pPr>
    </w:p>
    <w:p>
      <w:pPr>
        <w:ind w:right="120" w:firstLine="706"/>
        <w:spacing w:after="0" w:line="258" w:lineRule="auto"/>
        <w:rPr>
          <w:sz w:val="20"/>
          <w:szCs w:val="20"/>
          <w:color w:val="auto"/>
        </w:rPr>
      </w:pPr>
      <w:r>
        <w:rPr>
          <w:rFonts w:ascii="Arial" w:cs="Arial" w:eastAsia="Arial" w:hAnsi="Arial"/>
          <w:sz w:val="20"/>
          <w:szCs w:val="20"/>
          <w:color w:val="auto"/>
        </w:rPr>
        <w:t>The current statutory or regulatory provisions implementing derivatives regulations could be amended, and PAA cannot predict the impact on its hedging activities of any future amendments. Any such changes could have a material adverse effect on PAA, its financial condition and its results of operations.</w:t>
      </w:r>
    </w:p>
    <w:p>
      <w:pPr>
        <w:spacing w:after="0" w:line="192" w:lineRule="exact"/>
        <w:rPr>
          <w:sz w:val="20"/>
          <w:szCs w:val="20"/>
          <w:color w:val="auto"/>
        </w:rPr>
      </w:pPr>
    </w:p>
    <w:p>
      <w:pPr>
        <w:ind w:right="260"/>
        <w:spacing w:after="0" w:line="366" w:lineRule="auto"/>
        <w:rPr>
          <w:sz w:val="20"/>
          <w:szCs w:val="20"/>
          <w:color w:val="auto"/>
        </w:rPr>
      </w:pPr>
      <w:r>
        <w:rPr>
          <w:rFonts w:ascii="Arial" w:cs="Arial" w:eastAsia="Arial" w:hAnsi="Arial"/>
          <w:sz w:val="17"/>
          <w:szCs w:val="17"/>
          <w:b w:val="1"/>
          <w:bCs w:val="1"/>
          <w:i w:val="1"/>
          <w:iCs w:val="1"/>
          <w:color w:val="auto"/>
        </w:rPr>
        <w:t>Legislation, executive orders and regulatory initiatives relating to climate change could have a material adverse effect on PAA’s business, demand for its services, financial condition, results of operations and cash flows.</w:t>
      </w:r>
    </w:p>
    <w:p>
      <w:pPr>
        <w:spacing w:after="0" w:line="117" w:lineRule="exact"/>
        <w:rPr>
          <w:sz w:val="20"/>
          <w:szCs w:val="20"/>
          <w:color w:val="auto"/>
        </w:rPr>
      </w:pPr>
    </w:p>
    <w:p>
      <w:pPr>
        <w:ind w:firstLine="706"/>
        <w:spacing w:after="0" w:line="297" w:lineRule="auto"/>
        <w:rPr>
          <w:sz w:val="20"/>
          <w:szCs w:val="20"/>
          <w:color w:val="auto"/>
        </w:rPr>
      </w:pPr>
      <w:r>
        <w:rPr>
          <w:rFonts w:ascii="Arial" w:cs="Arial" w:eastAsia="Arial" w:hAnsi="Arial"/>
          <w:sz w:val="17"/>
          <w:szCs w:val="17"/>
          <w:color w:val="auto"/>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or require enhanced disclosure of such GHG emission and other climate-related information, or promote and subsidize lower GHG emitting, alternative energy products, could result in reduced demand for crude oil and natural gas, and thus PAA’s services, as well as increase its compliance costs. Although it is not possible at this time to predict how legislation or new regulations that may be adopted to address GHG emissions and climate change could impact PAA’s business, any such future laws and regulations could have a material adverse effect on its business, demand for our services, financial condition, results of operations and cash flows.</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86" w:lineRule="exact"/>
        <w:rPr>
          <w:sz w:val="20"/>
          <w:szCs w:val="20"/>
          <w:color w:val="auto"/>
        </w:rPr>
      </w:pPr>
    </w:p>
    <w:p>
      <w:pPr>
        <w:ind w:right="20" w:firstLine="706"/>
        <w:spacing w:after="0" w:line="294" w:lineRule="auto"/>
        <w:rPr>
          <w:sz w:val="20"/>
          <w:szCs w:val="20"/>
          <w:color w:val="auto"/>
        </w:rPr>
      </w:pPr>
      <w:r>
        <w:rPr>
          <w:rFonts w:ascii="Arial" w:cs="Arial" w:eastAsia="Arial" w:hAnsi="Arial"/>
          <w:sz w:val="17"/>
          <w:szCs w:val="17"/>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PAA does not perform hydraulic fracturing, but much of the production that flows on its assets was produced with the benefit of hydraulic fracturing. There have been a variety of legislative and regulatory proposals to prohibit, restrict, or more closely regulate various forms of hydraulic fracturing; for example, California’s Department of Conservation’s Geologic Energy Management Division issued a final regulatory statewide ban on hydraulic fracturing in October 2024. Other states require the disclosure of certain chemicals used in hydraulic fracturing and have conducted investigations into connections between hydraulic fracturing and induced seismicity.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PAA’s transportation, terminalling and storage services as well as its merchant activities.</w:t>
      </w:r>
    </w:p>
    <w:p>
      <w:pPr>
        <w:spacing w:after="0" w:line="200" w:lineRule="exact"/>
        <w:rPr>
          <w:sz w:val="20"/>
          <w:szCs w:val="20"/>
          <w:color w:val="auto"/>
        </w:rPr>
      </w:pPr>
    </w:p>
    <w:p>
      <w:pPr>
        <w:spacing w:after="0" w:line="208" w:lineRule="exact"/>
        <w:rPr>
          <w:sz w:val="20"/>
          <w:szCs w:val="20"/>
          <w:color w:val="auto"/>
        </w:rPr>
      </w:pPr>
    </w:p>
    <w:p>
      <w:pPr>
        <w:ind w:right="120"/>
        <w:spacing w:after="0" w:line="327" w:lineRule="auto"/>
        <w:rPr>
          <w:sz w:val="20"/>
          <w:szCs w:val="20"/>
          <w:color w:val="auto"/>
        </w:rPr>
      </w:pPr>
      <w:r>
        <w:rPr>
          <w:rFonts w:ascii="Arial" w:cs="Arial" w:eastAsia="Arial" w:hAnsi="Arial"/>
          <w:sz w:val="17"/>
          <w:szCs w:val="17"/>
          <w:b w:val="1"/>
          <w:bCs w:val="1"/>
          <w:i w:val="1"/>
          <w:iCs w:val="1"/>
          <w:color w:val="auto"/>
        </w:rPr>
        <w:t>Laws and regulations pertaining to the protection of threatened and endangered species or to critical habitat, wetlands and natural resources could delay, restrict or prohibit PAA’s and its customers’ operations and cause PAA or its customers to incur substantial costs that may have a material adverse effect on its results of operations.</w:t>
      </w:r>
    </w:p>
    <w:p>
      <w:pPr>
        <w:spacing w:after="0" w:line="149" w:lineRule="exact"/>
        <w:rPr>
          <w:sz w:val="20"/>
          <w:szCs w:val="20"/>
          <w:color w:val="auto"/>
        </w:rPr>
      </w:pPr>
    </w:p>
    <w:p>
      <w:pPr>
        <w:ind w:right="80" w:firstLine="706"/>
        <w:spacing w:after="0" w:line="295" w:lineRule="auto"/>
        <w:rPr>
          <w:sz w:val="20"/>
          <w:szCs w:val="20"/>
          <w:color w:val="auto"/>
        </w:rPr>
      </w:pPr>
      <w:r>
        <w:rPr>
          <w:rFonts w:ascii="Arial" w:cs="Arial" w:eastAsia="Arial" w:hAnsi="Arial"/>
          <w:sz w:val="17"/>
          <w:szCs w:val="17"/>
          <w:color w:val="auto"/>
        </w:rPr>
        <w:t>In the United States, the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PAA’s operations are conducted in areas where protected species or their habitats are known to exist, and from time to time PAA’s development plans have been impacted in these areas. PAA may be obligated to develop and implement plans to avoid potential adverse effects to protected species and their habitats, and PAA may be delayed, restricted or prohibited from conducting operations in certain locations or during certain seasons, such as breeding and nesting seasons, when its operations could have an adverse effect on the species. Additionally, the designation of previously unprotected species or the re-designation of under-protected species as threatened or endangered in areas where PAA or its customers conduct operations could cause PAA to incur increased costs arising from species protection measures or could result in delays, restrictions or prohibitions on PAA’s customers’ development and production activities that could have a material adverse effect on its results of operations.</w:t>
      </w:r>
    </w:p>
    <w:p>
      <w:pPr>
        <w:sectPr>
          <w:pgSz w:w="11880" w:h="15480" w:orient="portrait"/>
          <w:cols w:equalWidth="0" w:num="1">
            <w:col w:w="10000"/>
          </w:cols>
          <w:pgMar w:left="920" w:top="582" w:right="960" w:bottom="0" w:gutter="0" w:footer="0" w:header="0"/>
        </w:sect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000"/>
          </w:cols>
          <w:pgMar w:left="920" w:top="582" w:right="96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Risks Inherent in an Investment in PAA</w:t>
      </w:r>
    </w:p>
    <w:p>
      <w:pPr>
        <w:spacing w:after="0" w:line="240"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b w:val="1"/>
          <w:bCs w:val="1"/>
          <w:i w:val="1"/>
          <w:iCs w:val="1"/>
          <w:color w:val="auto"/>
        </w:rPr>
        <w:t>Cost reimbursements due to PAA’s general partner may be substantial and will reduce PAA’s cash available for distribution to its unitholders.</w:t>
      </w:r>
    </w:p>
    <w:p>
      <w:pPr>
        <w:spacing w:after="0" w:line="186" w:lineRule="exact"/>
        <w:rPr>
          <w:sz w:val="20"/>
          <w:szCs w:val="20"/>
          <w:color w:val="auto"/>
        </w:rPr>
      </w:pPr>
    </w:p>
    <w:p>
      <w:pPr>
        <w:ind w:firstLine="706"/>
        <w:spacing w:after="0" w:line="303" w:lineRule="auto"/>
        <w:rPr>
          <w:sz w:val="20"/>
          <w:szCs w:val="20"/>
          <w:color w:val="auto"/>
        </w:rPr>
      </w:pPr>
      <w:r>
        <w:rPr>
          <w:rFonts w:ascii="Arial" w:cs="Arial" w:eastAsia="Arial" w:hAnsi="Arial"/>
          <w:sz w:val="17"/>
          <w:szCs w:val="17"/>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159" w:lineRule="exact"/>
        <w:rPr>
          <w:sz w:val="20"/>
          <w:szCs w:val="20"/>
          <w:color w:val="auto"/>
        </w:rPr>
      </w:pPr>
    </w:p>
    <w:p>
      <w:pPr>
        <w:ind w:right="620"/>
        <w:spacing w:after="0" w:line="275" w:lineRule="auto"/>
        <w:rPr>
          <w:sz w:val="20"/>
          <w:szCs w:val="20"/>
          <w:color w:val="auto"/>
        </w:rPr>
      </w:pPr>
      <w:r>
        <w:rPr>
          <w:rFonts w:ascii="Arial" w:cs="Arial" w:eastAsia="Arial" w:hAnsi="Arial"/>
          <w:sz w:val="20"/>
          <w:szCs w:val="20"/>
          <w:b w:val="1"/>
          <w:bCs w:val="1"/>
          <w:i w:val="1"/>
          <w:iCs w:val="1"/>
          <w:color w:val="auto"/>
        </w:rPr>
        <w:t>Cash distributions are not guaranteed and may fluctuate with PAA’s performance and the establishment of financial reserves.</w:t>
      </w:r>
    </w:p>
    <w:p>
      <w:pPr>
        <w:spacing w:after="0" w:line="186" w:lineRule="exact"/>
        <w:rPr>
          <w:sz w:val="20"/>
          <w:szCs w:val="20"/>
          <w:color w:val="auto"/>
        </w:rPr>
      </w:pPr>
    </w:p>
    <w:p>
      <w:pPr>
        <w:ind w:right="20" w:firstLine="706"/>
        <w:spacing w:after="0" w:line="297" w:lineRule="auto"/>
        <w:rPr>
          <w:sz w:val="20"/>
          <w:szCs w:val="20"/>
          <w:color w:val="auto"/>
        </w:rPr>
      </w:pPr>
      <w:r>
        <w:rPr>
          <w:rFonts w:ascii="Arial" w:cs="Arial" w:eastAsia="Arial" w:hAnsi="Arial"/>
          <w:sz w:val="17"/>
          <w:szCs w:val="17"/>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legal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168" w:lineRule="exact"/>
        <w:rPr>
          <w:sz w:val="20"/>
          <w:szCs w:val="20"/>
          <w:color w:val="auto"/>
        </w:rPr>
      </w:pPr>
    </w:p>
    <w:p>
      <w:pPr>
        <w:ind w:right="160"/>
        <w:spacing w:after="0" w:line="275" w:lineRule="auto"/>
        <w:rPr>
          <w:sz w:val="20"/>
          <w:szCs w:val="20"/>
          <w:color w:val="auto"/>
        </w:rPr>
      </w:pPr>
      <w:r>
        <w:rPr>
          <w:rFonts w:ascii="Arial" w:cs="Arial" w:eastAsia="Arial" w:hAnsi="Arial"/>
          <w:sz w:val="20"/>
          <w:szCs w:val="20"/>
          <w:b w:val="1"/>
          <w:bCs w:val="1"/>
          <w:i w:val="1"/>
          <w:iCs w:val="1"/>
          <w:color w:val="auto"/>
        </w:rPr>
        <w:t>PAA’s preferred units have rights, preferences and privileges that are not the same as, and are preferential to, the rights of holders of PAA’s common units.</w:t>
      </w:r>
    </w:p>
    <w:p>
      <w:pPr>
        <w:spacing w:after="0" w:line="186" w:lineRule="exact"/>
        <w:rPr>
          <w:sz w:val="20"/>
          <w:szCs w:val="20"/>
          <w:color w:val="auto"/>
        </w:rPr>
      </w:pPr>
    </w:p>
    <w:p>
      <w:pPr>
        <w:ind w:right="40" w:firstLine="706"/>
        <w:spacing w:after="0" w:line="254" w:lineRule="auto"/>
        <w:rPr>
          <w:sz w:val="20"/>
          <w:szCs w:val="20"/>
          <w:color w:val="auto"/>
        </w:rPr>
      </w:pPr>
      <w:r>
        <w:rPr>
          <w:rFonts w:ascii="Arial" w:cs="Arial" w:eastAsia="Arial" w:hAnsi="Arial"/>
          <w:sz w:val="20"/>
          <w:szCs w:val="20"/>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202" w:lineRule="exact"/>
        <w:rPr>
          <w:sz w:val="20"/>
          <w:szCs w:val="20"/>
          <w:color w:val="auto"/>
        </w:rPr>
      </w:pPr>
    </w:p>
    <w:p>
      <w:pPr>
        <w:ind w:firstLine="706"/>
        <w:spacing w:after="0" w:line="263" w:lineRule="auto"/>
        <w:rPr>
          <w:sz w:val="20"/>
          <w:szCs w:val="20"/>
          <w:color w:val="auto"/>
        </w:rPr>
      </w:pPr>
      <w:r>
        <w:rPr>
          <w:rFonts w:ascii="Arial" w:cs="Arial" w:eastAsia="Arial" w:hAnsi="Arial"/>
          <w:sz w:val="19"/>
          <w:szCs w:val="19"/>
          <w:color w:val="auto"/>
        </w:rPr>
        <w:t>In addition, distributions on PAA’s preferred units accrue and are cumulative, at a fixed rate with respect to PAA’s Series A preferred units and at a floating rate with respect to PAA’s Series B preferred units.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ectPr>
          <w:pgSz w:w="11880" w:h="15480" w:orient="portrait"/>
          <w:cols w:equalWidth="0" w:num="1">
            <w:col w:w="10040"/>
          </w:cols>
          <w:pgMar w:left="920" w:top="81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040"/>
          </w:cols>
          <w:pgMar w:left="920" w:top="810" w:right="92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Tax Risks</w:t>
      </w:r>
    </w:p>
    <w:p>
      <w:pPr>
        <w:spacing w:after="0" w:line="248" w:lineRule="exact"/>
        <w:rPr>
          <w:sz w:val="20"/>
          <w:szCs w:val="20"/>
          <w:color w:val="auto"/>
        </w:rPr>
      </w:pPr>
    </w:p>
    <w:p>
      <w:pPr>
        <w:ind w:right="660" w:firstLine="706"/>
        <w:spacing w:after="0" w:line="361" w:lineRule="auto"/>
        <w:rPr>
          <w:sz w:val="20"/>
          <w:szCs w:val="20"/>
          <w:color w:val="auto"/>
        </w:rPr>
      </w:pPr>
      <w:r>
        <w:rPr>
          <w:rFonts w:ascii="Arial" w:cs="Arial" w:eastAsia="Arial" w:hAnsi="Arial"/>
          <w:sz w:val="17"/>
          <w:szCs w:val="17"/>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The tax treatment of PAA depends on its status as a partnership for U.S. federal income tax purposes, as well as it not being subject to a material amount of additional entity-level taxation by individual states or foreign jurisdictions. If the IRS were to treat PAA as a corporation for U.S. federal income tax purposes or if PAA becomes subject to a material amount of additional entity-level or other form of taxation for state or foreign tax purposes, it would reduce the amount of cash available for distribution to us and increase the portion of our distributions treated as taxable dividends.</w:t>
      </w:r>
    </w:p>
    <w:p>
      <w:pPr>
        <w:spacing w:after="0" w:line="164" w:lineRule="exact"/>
        <w:rPr>
          <w:sz w:val="20"/>
          <w:szCs w:val="20"/>
          <w:color w:val="auto"/>
        </w:rPr>
      </w:pPr>
    </w:p>
    <w:p>
      <w:pPr>
        <w:ind w:right="20" w:firstLine="706"/>
        <w:spacing w:after="0" w:line="299" w:lineRule="auto"/>
        <w:rPr>
          <w:sz w:val="20"/>
          <w:szCs w:val="20"/>
          <w:color w:val="auto"/>
        </w:rPr>
      </w:pPr>
      <w:r>
        <w:rPr>
          <w:rFonts w:ascii="Arial" w:cs="Arial" w:eastAsia="Arial" w:hAnsi="Arial"/>
          <w:sz w:val="17"/>
          <w:szCs w:val="17"/>
          <w:color w:val="auto"/>
        </w:rPr>
        <w:t>At December 31, 2024, we owned an approximate 85% limited partner interest in AAP, which directly owned a limited partner interest in PAA through its ownership of approximately 232.9 million PAA common units (approximately 30% of PAA’s Series A preferred units and common units combined). Accordingly, the value of our indirect investment in PAA, as well as the anticipated after-tax economic benefit of an investment in our Class A shares, depends largely on PAA being treated as a partnership for U.S. federal income tax purposes, which requires that 90% or more of PAA’s gross income for every taxable year consist of qualifying income, as defined in Section 7704 of the Code. Based on PAA’s current operations, and current U.S. Treasury regulations, PAA believes that it is treated as a partnership rather than a corporation for such purposes; however, a change in PAA’s business could cause it to be treated as a corporation for U.S. federal income tax purposes.</w:t>
      </w:r>
    </w:p>
    <w:p>
      <w:pPr>
        <w:spacing w:after="0" w:line="169" w:lineRule="exact"/>
        <w:rPr>
          <w:sz w:val="20"/>
          <w:szCs w:val="20"/>
          <w:color w:val="auto"/>
        </w:rPr>
      </w:pPr>
    </w:p>
    <w:p>
      <w:pPr>
        <w:ind w:firstLine="706"/>
        <w:spacing w:after="0" w:line="264" w:lineRule="auto"/>
        <w:rPr>
          <w:sz w:val="20"/>
          <w:szCs w:val="20"/>
          <w:color w:val="auto"/>
        </w:rPr>
      </w:pPr>
      <w:r>
        <w:rPr>
          <w:rFonts w:ascii="Arial" w:cs="Arial" w:eastAsia="Arial" w:hAnsi="Arial"/>
          <w:sz w:val="19"/>
          <w:szCs w:val="19"/>
          <w:color w:val="auto"/>
        </w:rPr>
        <w:t>Current law may change, causing PAA to be treated as a corporation for U.S. federal income tax purposes or otherwise subjecting PAA to additional entity-level taxation. In addition, several states impose and others have been evaluating ways to subject partnerships to entity-level taxation through the imposition of state income, franchise and other forms of taxation. For example, PAA is subject to entity-level tax on the portion of its income apportioned to Texas. Imposition of any similar taxes by individual states or additional federal or foreign taxes on PAA may result in a decrease in the amount of distributions AAP receives from PAA and our resulting cash flows could be reduced substantially, which would adversely affect our ability to pay distributions to our shareholders.</w:t>
      </w:r>
    </w:p>
    <w:p>
      <w:pPr>
        <w:spacing w:after="0" w:line="199" w:lineRule="exact"/>
        <w:rPr>
          <w:sz w:val="20"/>
          <w:szCs w:val="20"/>
          <w:color w:val="auto"/>
        </w:rPr>
      </w:pPr>
    </w:p>
    <w:p>
      <w:pPr>
        <w:ind w:right="60" w:firstLine="706"/>
        <w:spacing w:after="0" w:line="303" w:lineRule="auto"/>
        <w:rPr>
          <w:sz w:val="20"/>
          <w:szCs w:val="20"/>
          <w:color w:val="auto"/>
        </w:rPr>
      </w:pPr>
      <w:r>
        <w:rPr>
          <w:rFonts w:ascii="Arial" w:cs="Arial" w:eastAsia="Arial" w:hAnsi="Arial"/>
          <w:sz w:val="17"/>
          <w:szCs w:val="17"/>
          <w:color w:val="auto"/>
        </w:rPr>
        <w:t>If PAA were treated as a corporation for U.S. federal income tax purposes, it would pay U.S.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166" w:lineRule="exact"/>
        <w:rPr>
          <w:sz w:val="20"/>
          <w:szCs w:val="20"/>
          <w:color w:val="auto"/>
        </w:rPr>
      </w:pPr>
    </w:p>
    <w:p>
      <w:pPr>
        <w:ind w:right="140" w:firstLine="706"/>
        <w:spacing w:after="0" w:line="312" w:lineRule="auto"/>
        <w:rPr>
          <w:sz w:val="20"/>
          <w:szCs w:val="20"/>
          <w:color w:val="auto"/>
        </w:rPr>
      </w:pPr>
      <w:r>
        <w:rPr>
          <w:rFonts w:ascii="Arial" w:cs="Arial" w:eastAsia="Arial" w:hAnsi="Arial"/>
          <w:sz w:val="17"/>
          <w:szCs w:val="17"/>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152" w:lineRule="exact"/>
        <w:rPr>
          <w:sz w:val="20"/>
          <w:szCs w:val="20"/>
          <w:color w:val="auto"/>
        </w:rPr>
      </w:pPr>
    </w:p>
    <w:p>
      <w:pPr>
        <w:ind w:right="520"/>
        <w:spacing w:after="0" w:line="404" w:lineRule="auto"/>
        <w:rPr>
          <w:sz w:val="20"/>
          <w:szCs w:val="20"/>
          <w:color w:val="auto"/>
        </w:rPr>
      </w:pPr>
      <w:r>
        <w:rPr>
          <w:rFonts w:ascii="Arial" w:cs="Arial" w:eastAsia="Arial" w:hAnsi="Arial"/>
          <w:sz w:val="16"/>
          <w:szCs w:val="16"/>
          <w:b w:val="1"/>
          <w:bCs w:val="1"/>
          <w:i w:val="1"/>
          <w:iCs w:val="1"/>
          <w:color w:val="auto"/>
        </w:rPr>
        <w:t>The tax treatment of publicly traded partnerships or an investment in PAA common units could be subject to potential legislative, judicial or administrative changes or differing interpretations, possibly applied on a retroactive basis.</w:t>
      </w:r>
    </w:p>
    <w:p>
      <w:pPr>
        <w:spacing w:after="0" w:line="93" w:lineRule="exact"/>
        <w:rPr>
          <w:sz w:val="20"/>
          <w:szCs w:val="20"/>
          <w:color w:val="auto"/>
        </w:rPr>
      </w:pPr>
    </w:p>
    <w:p>
      <w:pPr>
        <w:ind w:right="80" w:firstLine="706"/>
        <w:spacing w:after="0" w:line="300" w:lineRule="auto"/>
        <w:rPr>
          <w:sz w:val="20"/>
          <w:szCs w:val="20"/>
          <w:color w:val="auto"/>
        </w:rPr>
      </w:pPr>
      <w:r>
        <w:rPr>
          <w:rFonts w:ascii="Arial" w:cs="Arial" w:eastAsia="Arial" w:hAnsi="Arial"/>
          <w:sz w:val="17"/>
          <w:szCs w:val="17"/>
          <w:color w:val="auto"/>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PAA relies for its partnership tax treatment.</w:t>
      </w:r>
    </w:p>
    <w:p>
      <w:pPr>
        <w:spacing w:after="0" w:line="161" w:lineRule="exact"/>
        <w:rPr>
          <w:sz w:val="20"/>
          <w:szCs w:val="20"/>
          <w:color w:val="auto"/>
        </w:rPr>
      </w:pPr>
    </w:p>
    <w:p>
      <w:pPr>
        <w:ind w:right="80" w:firstLine="706"/>
        <w:spacing w:after="0" w:line="243" w:lineRule="auto"/>
        <w:rPr>
          <w:sz w:val="20"/>
          <w:szCs w:val="20"/>
          <w:color w:val="auto"/>
        </w:rPr>
      </w:pPr>
      <w:r>
        <w:rPr>
          <w:rFonts w:ascii="Arial" w:cs="Arial" w:eastAsia="Arial" w:hAnsi="Arial"/>
          <w:sz w:val="20"/>
          <w:szCs w:val="20"/>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020"/>
          </w:cols>
          <w:pgMar w:left="920" w:top="575" w:right="940" w:bottom="0" w:gutter="0" w:footer="0" w:header="0"/>
          <w:type w:val="continuous"/>
        </w:sectPr>
      </w:pPr>
    </w:p>
    <w:bookmarkStart w:id="65" w:name="page66"/>
    <w:bookmarkEnd w:id="65"/>
    <w:p>
      <w:pPr>
        <w:ind w:right="40" w:firstLine="706"/>
        <w:spacing w:after="0" w:line="251" w:lineRule="auto"/>
        <w:rPr>
          <w:sz w:val="20"/>
          <w:szCs w:val="20"/>
          <w:color w:val="auto"/>
        </w:rPr>
      </w:pPr>
      <w:r>
        <w:rPr>
          <w:rFonts w:ascii="Arial" w:cs="Arial" w:eastAsia="Arial" w:hAnsi="Arial"/>
          <w:sz w:val="20"/>
          <w:szCs w:val="20"/>
          <w:color w:val="auto"/>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spacing w:after="0" w:line="201" w:lineRule="exact"/>
        <w:rPr>
          <w:sz w:val="20"/>
          <w:szCs w:val="20"/>
          <w:color w:val="auto"/>
        </w:rPr>
      </w:pPr>
    </w:p>
    <w:p>
      <w:pPr>
        <w:ind w:right="140"/>
        <w:spacing w:after="0" w:line="357" w:lineRule="auto"/>
        <w:rPr>
          <w:sz w:val="20"/>
          <w:szCs w:val="20"/>
          <w:color w:val="auto"/>
        </w:rPr>
      </w:pPr>
      <w:r>
        <w:rPr>
          <w:rFonts w:ascii="Arial" w:cs="Arial" w:eastAsia="Arial" w:hAnsi="Arial"/>
          <w:sz w:val="16"/>
          <w:szCs w:val="16"/>
          <w:b w:val="1"/>
          <w:bCs w:val="1"/>
          <w:i w:val="1"/>
          <w:iCs w:val="1"/>
          <w:color w:val="auto"/>
        </w:rPr>
        <w:t>If the IRS makes audit adjustments to PAA’s income tax returns,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127" w:lineRule="exact"/>
        <w:rPr>
          <w:sz w:val="20"/>
          <w:szCs w:val="20"/>
          <w:color w:val="auto"/>
        </w:rPr>
      </w:pPr>
    </w:p>
    <w:p>
      <w:pPr>
        <w:ind w:right="40" w:firstLine="706"/>
        <w:spacing w:after="0" w:line="295" w:lineRule="auto"/>
        <w:rPr>
          <w:sz w:val="20"/>
          <w:szCs w:val="20"/>
          <w:color w:val="auto"/>
        </w:rPr>
      </w:pPr>
      <w:r>
        <w:rPr>
          <w:rFonts w:ascii="Arial" w:cs="Arial" w:eastAsia="Arial" w:hAnsi="Arial"/>
          <w:sz w:val="17"/>
          <w:szCs w:val="17"/>
          <w:color w:val="auto"/>
        </w:rPr>
        <w:t>If the IRS makes audit adjustments to PAA’s income tax returns, it (and some states) may assess and collect any taxes (including any applicable penalties and interest) resulting from such audit adjustments directly from PAA. To the extent possible,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Taxable gain or loss on the sale of our Class A shares could be more or less than expected.</w:t>
      </w:r>
    </w:p>
    <w:p>
      <w:pPr>
        <w:spacing w:after="0" w:line="248" w:lineRule="exact"/>
        <w:rPr>
          <w:sz w:val="20"/>
          <w:szCs w:val="20"/>
          <w:color w:val="auto"/>
        </w:rPr>
      </w:pPr>
    </w:p>
    <w:p>
      <w:pPr>
        <w:ind w:right="80" w:firstLine="706"/>
        <w:spacing w:after="0" w:line="300" w:lineRule="auto"/>
        <w:rPr>
          <w:sz w:val="20"/>
          <w:szCs w:val="20"/>
          <w:color w:val="auto"/>
        </w:rPr>
      </w:pPr>
      <w:r>
        <w:rPr>
          <w:rFonts w:ascii="Arial" w:cs="Arial" w:eastAsia="Arial" w:hAnsi="Arial"/>
          <w:sz w:val="17"/>
          <w:szCs w:val="17"/>
          <w:color w:val="auto"/>
        </w:rPr>
        <w:t>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2024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20"/>
          <w:szCs w:val="20"/>
          <w:b w:val="1"/>
          <w:bCs w:val="1"/>
          <w:i w:val="1"/>
          <w:iCs w:val="1"/>
          <w:color w:val="auto"/>
        </w:rPr>
        <w:t>Our current tax treatment may change, which could affect the value of our Class A shares or reduce our cash available for distribution.</w:t>
      </w:r>
    </w:p>
    <w:p>
      <w:pPr>
        <w:spacing w:after="0" w:line="186" w:lineRule="exact"/>
        <w:rPr>
          <w:sz w:val="20"/>
          <w:szCs w:val="20"/>
          <w:color w:val="auto"/>
        </w:rPr>
      </w:pPr>
    </w:p>
    <w:p>
      <w:pPr>
        <w:ind w:firstLine="706"/>
        <w:spacing w:after="0" w:line="297" w:lineRule="auto"/>
        <w:rPr>
          <w:sz w:val="20"/>
          <w:szCs w:val="20"/>
          <w:color w:val="auto"/>
        </w:rPr>
      </w:pPr>
      <w:r>
        <w:rPr>
          <w:rFonts w:ascii="Arial" w:cs="Arial" w:eastAsia="Arial" w:hAnsi="Arial"/>
          <w:sz w:val="17"/>
          <w:szCs w:val="17"/>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U.S.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Any decrease in our Class A share price could adversely affect our amount of cash available for distribution.</w:t>
      </w:r>
    </w:p>
    <w:p>
      <w:pPr>
        <w:spacing w:after="0" w:line="259" w:lineRule="exact"/>
        <w:rPr>
          <w:sz w:val="20"/>
          <w:szCs w:val="20"/>
          <w:color w:val="auto"/>
        </w:rPr>
      </w:pPr>
    </w:p>
    <w:p>
      <w:pPr>
        <w:ind w:right="20" w:firstLine="706"/>
        <w:spacing w:after="0" w:line="250" w:lineRule="auto"/>
        <w:rPr>
          <w:sz w:val="20"/>
          <w:szCs w:val="20"/>
          <w:color w:val="auto"/>
        </w:rPr>
      </w:pPr>
      <w:r>
        <w:rPr>
          <w:rFonts w:ascii="Arial" w:cs="Arial" w:eastAsia="Arial" w:hAnsi="Arial"/>
          <w:sz w:val="20"/>
          <w:szCs w:val="20"/>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040"/>
          </w:cols>
          <w:pgMar w:left="920" w:top="582" w:right="920" w:bottom="0" w:gutter="0" w:footer="0" w:header="0"/>
          <w:type w:val="continuous"/>
        </w:sectPr>
      </w:pPr>
    </w:p>
    <w:bookmarkStart w:id="66" w:name="page67"/>
    <w:bookmarkEnd w:id="66"/>
    <w:p>
      <w:pPr>
        <w:ind w:right="40"/>
        <w:spacing w:after="0" w:line="304" w:lineRule="auto"/>
        <w:rPr>
          <w:sz w:val="20"/>
          <w:szCs w:val="20"/>
          <w:color w:val="auto"/>
        </w:rPr>
      </w:pPr>
      <w:r>
        <w:rPr>
          <w:rFonts w:ascii="Arial" w:cs="Arial" w:eastAsia="Arial" w:hAnsi="Arial"/>
          <w:sz w:val="17"/>
          <w:szCs w:val="17"/>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68"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169" w:lineRule="exact"/>
        <w:rPr>
          <w:sz w:val="20"/>
          <w:szCs w:val="20"/>
          <w:color w:val="auto"/>
        </w:rPr>
      </w:pPr>
    </w:p>
    <w:p>
      <w:pPr>
        <w:ind w:right="100" w:firstLine="706"/>
        <w:spacing w:after="0" w:line="249" w:lineRule="auto"/>
        <w:rPr>
          <w:sz w:val="20"/>
          <w:szCs w:val="20"/>
          <w:color w:val="auto"/>
        </w:rPr>
      </w:pPr>
      <w:r>
        <w:rPr>
          <w:rFonts w:ascii="Arial" w:cs="Arial" w:eastAsia="Arial" w:hAnsi="Arial"/>
          <w:sz w:val="20"/>
          <w:szCs w:val="20"/>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211" w:lineRule="exact"/>
        <w:rPr>
          <w:sz w:val="20"/>
          <w:szCs w:val="20"/>
          <w:color w:val="auto"/>
        </w:rPr>
      </w:pPr>
    </w:p>
    <w:p>
      <w:pPr>
        <w:ind w:firstLine="706"/>
        <w:spacing w:after="0" w:line="264" w:lineRule="auto"/>
        <w:rPr>
          <w:sz w:val="20"/>
          <w:szCs w:val="20"/>
          <w:color w:val="auto"/>
        </w:rPr>
      </w:pPr>
      <w:r>
        <w:rPr>
          <w:rFonts w:ascii="Arial" w:cs="Arial" w:eastAsia="Arial" w:hAnsi="Arial"/>
          <w:sz w:val="19"/>
          <w:szCs w:val="19"/>
          <w:color w:val="auto"/>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p>
    <w:p>
      <w:pPr>
        <w:spacing w:after="0" w:line="248" w:lineRule="exact"/>
        <w:rPr>
          <w:sz w:val="20"/>
          <w:szCs w:val="20"/>
          <w:color w:val="auto"/>
        </w:rPr>
      </w:pPr>
    </w:p>
    <w:p>
      <w:pPr>
        <w:jc w:val="center"/>
        <w:ind w:right="8160"/>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1C. </w:t>
      </w:r>
      <w:r>
        <w:rPr>
          <w:rFonts w:ascii="Arial" w:cs="Arial" w:eastAsia="Arial" w:hAnsi="Arial"/>
          <w:sz w:val="20"/>
          <w:szCs w:val="20"/>
          <w:b w:val="1"/>
          <w:bCs w:val="1"/>
          <w:i w:val="1"/>
          <w:iCs w:val="1"/>
          <w:color w:val="auto"/>
        </w:rPr>
        <w:t>Cybersecurity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Cybersecurity Risk Management and Strategy</w:t>
      </w:r>
    </w:p>
    <w:p>
      <w:pPr>
        <w:spacing w:after="0" w:line="248" w:lineRule="exact"/>
        <w:rPr>
          <w:sz w:val="20"/>
          <w:szCs w:val="20"/>
          <w:color w:val="auto"/>
        </w:rPr>
      </w:pPr>
    </w:p>
    <w:p>
      <w:pPr>
        <w:ind w:right="40" w:firstLine="706"/>
        <w:spacing w:after="0" w:line="299" w:lineRule="auto"/>
        <w:rPr>
          <w:sz w:val="20"/>
          <w:szCs w:val="20"/>
          <w:color w:val="auto"/>
        </w:rPr>
      </w:pPr>
      <w:r>
        <w:rPr>
          <w:rFonts w:ascii="Arial" w:cs="Arial" w:eastAsia="Arial" w:hAnsi="Arial"/>
          <w:sz w:val="17"/>
          <w:szCs w:val="17"/>
          <w:color w:val="auto"/>
        </w:rPr>
        <w:t>To assess, identify and manage material cybersecurity risks, we have endeavored to implement policies, standards and technical controls with the aim of protecting our information and operations systems (collectively,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spacing w:after="0" w:line="169" w:lineRule="exact"/>
        <w:rPr>
          <w:sz w:val="20"/>
          <w:szCs w:val="20"/>
          <w:color w:val="auto"/>
        </w:rPr>
      </w:pPr>
    </w:p>
    <w:p>
      <w:pPr>
        <w:ind w:right="80" w:firstLine="706"/>
        <w:spacing w:after="0" w:line="266" w:lineRule="auto"/>
        <w:rPr>
          <w:sz w:val="20"/>
          <w:szCs w:val="20"/>
          <w:color w:val="auto"/>
        </w:rPr>
      </w:pPr>
      <w:r>
        <w:rPr>
          <w:rFonts w:ascii="Arial" w:cs="Arial" w:eastAsia="Arial" w:hAnsi="Arial"/>
          <w:sz w:val="19"/>
          <w:szCs w:val="19"/>
          <w:color w:val="auto"/>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040"/>
          </w:cols>
          <w:pgMar w:left="920" w:top="575" w:right="920" w:bottom="0" w:gutter="0" w:footer="0" w:header="0"/>
          <w:type w:val="continuous"/>
        </w:sectPr>
      </w:pPr>
    </w:p>
    <w:bookmarkStart w:id="67" w:name="page68"/>
    <w:bookmarkEnd w:id="67"/>
    <w:p>
      <w:pPr>
        <w:ind w:firstLine="706"/>
        <w:spacing w:after="0" w:line="251" w:lineRule="auto"/>
        <w:rPr>
          <w:sz w:val="20"/>
          <w:szCs w:val="20"/>
          <w:color w:val="auto"/>
        </w:rPr>
      </w:pPr>
      <w:r>
        <w:rPr>
          <w:rFonts w:ascii="Arial" w:cs="Arial" w:eastAsia="Arial" w:hAnsi="Arial"/>
          <w:sz w:val="20"/>
          <w:szCs w:val="20"/>
          <w:color w:val="auto"/>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spacing w:after="0" w:line="209" w:lineRule="exact"/>
        <w:rPr>
          <w:sz w:val="20"/>
          <w:szCs w:val="20"/>
          <w:color w:val="auto"/>
        </w:rPr>
      </w:pPr>
    </w:p>
    <w:p>
      <w:pPr>
        <w:ind w:right="180" w:firstLine="706"/>
        <w:spacing w:after="0" w:line="268" w:lineRule="auto"/>
        <w:rPr>
          <w:sz w:val="20"/>
          <w:szCs w:val="20"/>
          <w:color w:val="auto"/>
        </w:rPr>
      </w:pPr>
      <w:r>
        <w:rPr>
          <w:rFonts w:ascii="Arial" w:cs="Arial" w:eastAsia="Arial" w:hAnsi="Arial"/>
          <w:sz w:val="19"/>
          <w:szCs w:val="19"/>
          <w:color w:val="auto"/>
        </w:rPr>
        <w:t>Despite the implementation of our cybersecurity programs, our security measures cannot guarantee that a significant cyberattack will not occur. A successful attack on our IT systems or those of our vendors could have significant consequences to the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Program Governance</w:t>
      </w:r>
    </w:p>
    <w:p>
      <w:pPr>
        <w:spacing w:after="0" w:line="248" w:lineRule="exact"/>
        <w:rPr>
          <w:sz w:val="20"/>
          <w:szCs w:val="20"/>
          <w:color w:val="auto"/>
        </w:rPr>
      </w:pPr>
    </w:p>
    <w:p>
      <w:pPr>
        <w:ind w:right="60" w:firstLine="706"/>
        <w:spacing w:after="0" w:line="249" w:lineRule="auto"/>
        <w:rPr>
          <w:sz w:val="20"/>
          <w:szCs w:val="20"/>
          <w:color w:val="auto"/>
        </w:rPr>
      </w:pPr>
      <w:r>
        <w:rPr>
          <w:rFonts w:ascii="Arial" w:cs="Arial" w:eastAsia="Arial" w:hAnsi="Arial"/>
          <w:sz w:val="20"/>
          <w:szCs w:val="20"/>
          <w:color w:val="auto"/>
        </w:rPr>
        <w:t>Our cybersecurity program is led by our Vice President of Information Services, North America, who reports directly to our CFO and oversees the dedicated team responsible for executing our cybersecurity strategy, including the primary assessment and management of cybersecurity risks. Our cybersecurity leadership team also includes our Director, Technology Risk and Cybersecurity, our Senior Director, Strategic Planning, our Senior Director, North American Solution Delivery and our Senior Director, Enterprise Technology. The Board receives quarterly updates on material security incidents (if applicable), detection, monitoring, security culture scores, and other key initiatives and notable events from our cybersecurity leadership team.</w:t>
      </w:r>
    </w:p>
    <w:p>
      <w:pPr>
        <w:spacing w:after="0" w:line="211" w:lineRule="exact"/>
        <w:rPr>
          <w:sz w:val="20"/>
          <w:szCs w:val="20"/>
          <w:color w:val="auto"/>
        </w:rPr>
      </w:pPr>
    </w:p>
    <w:p>
      <w:pPr>
        <w:ind w:right="60" w:firstLine="706"/>
        <w:spacing w:after="0" w:line="250" w:lineRule="auto"/>
        <w:rPr>
          <w:sz w:val="20"/>
          <w:szCs w:val="20"/>
          <w:color w:val="auto"/>
        </w:rPr>
      </w:pPr>
      <w:r>
        <w:rPr>
          <w:rFonts w:ascii="Arial" w:cs="Arial" w:eastAsia="Arial" w:hAnsi="Arial"/>
          <w:sz w:val="20"/>
          <w:szCs w:val="20"/>
          <w:color w:val="auto"/>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spacing w:after="0" w:line="209" w:lineRule="exact"/>
        <w:rPr>
          <w:sz w:val="20"/>
          <w:szCs w:val="20"/>
          <w:color w:val="auto"/>
        </w:rPr>
      </w:pPr>
    </w:p>
    <w:p>
      <w:pPr>
        <w:ind w:right="20" w:firstLine="706"/>
        <w:spacing w:after="0" w:line="264" w:lineRule="auto"/>
        <w:rPr>
          <w:sz w:val="20"/>
          <w:szCs w:val="20"/>
          <w:color w:val="auto"/>
        </w:rPr>
      </w:pPr>
      <w:r>
        <w:rPr>
          <w:rFonts w:ascii="Arial" w:cs="Arial" w:eastAsia="Arial" w:hAnsi="Arial"/>
          <w:sz w:val="19"/>
          <w:szCs w:val="19"/>
          <w:color w:val="auto"/>
        </w:rPr>
        <w:t>Our cybersecurity leadership team is made up of highly experienced professionals with an extensive background in information security, risk management, and incident response. This background includes more than 50 years of collective experience in infrastructure, cybersecurity and telecommunications.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248" w:lineRule="exact"/>
        <w:rPr>
          <w:sz w:val="20"/>
          <w:szCs w:val="20"/>
          <w:color w:val="auto"/>
        </w:rPr>
      </w:pPr>
    </w:p>
    <w:p>
      <w:pPr>
        <w:ind w:right="780" w:firstLine="706"/>
        <w:spacing w:after="0" w:line="271" w:lineRule="auto"/>
        <w:rPr>
          <w:sz w:val="20"/>
          <w:szCs w:val="20"/>
          <w:color w:val="auto"/>
        </w:rPr>
      </w:pPr>
      <w:r>
        <w:rPr>
          <w:rFonts w:ascii="Arial" w:cs="Arial" w:eastAsia="Arial" w:hAnsi="Arial"/>
          <w:sz w:val="20"/>
          <w:szCs w:val="20"/>
          <w:color w:val="auto"/>
        </w:rPr>
        <w:t>The information required by this item is included in Note 18 to our Consolidated Financial Statements, and is incorporated herein by reference thereto.</w:t>
      </w:r>
    </w:p>
    <w:p>
      <w:pPr>
        <w:spacing w:after="0" w:line="179" w:lineRule="exact"/>
        <w:rPr>
          <w:sz w:val="20"/>
          <w:szCs w:val="20"/>
          <w:color w:val="auto"/>
        </w:rPr>
      </w:pPr>
    </w:p>
    <w:p>
      <w:pPr>
        <w:jc w:val="center"/>
        <w:ind w:right="7460"/>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8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040"/>
          </w:cols>
          <w:pgMar w:left="920" w:top="582" w:right="920" w:bottom="0" w:gutter="0" w:footer="0" w:header="0"/>
          <w:type w:val="continuous"/>
        </w:sectPr>
      </w:pPr>
    </w:p>
    <w:bookmarkStart w:id="68" w:name="page69"/>
    <w:bookmarkEnd w:id="68"/>
    <w:p>
      <w:pPr>
        <w:jc w:val="center"/>
        <w:ind w:right="13"/>
        <w:spacing w:after="0"/>
        <w:rPr>
          <w:sz w:val="20"/>
          <w:szCs w:val="20"/>
          <w:color w:val="auto"/>
        </w:rPr>
      </w:pPr>
      <w:r>
        <w:rPr>
          <w:rFonts w:ascii="Arial" w:cs="Arial" w:eastAsia="Arial" w:hAnsi="Arial"/>
          <w:sz w:val="20"/>
          <w:szCs w:val="20"/>
          <w:b w:val="1"/>
          <w:bCs w:val="1"/>
          <w:color w:val="auto"/>
        </w:rPr>
        <w:t>PART II</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Shares, Related Shareholder Matters and Issuer Purchases of Equity Securities</w:t>
      </w:r>
    </w:p>
    <w:p>
      <w:pPr>
        <w:spacing w:after="0" w:line="25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Market Information, Holders and Distributions</w:t>
      </w:r>
    </w:p>
    <w:p>
      <w:pPr>
        <w:spacing w:after="0" w:line="248" w:lineRule="exact"/>
        <w:rPr>
          <w:sz w:val="20"/>
          <w:szCs w:val="20"/>
          <w:color w:val="auto"/>
        </w:rPr>
      </w:pPr>
    </w:p>
    <w:p>
      <w:pPr>
        <w:ind w:left="7" w:right="160" w:firstLine="706"/>
        <w:spacing w:after="0" w:line="361" w:lineRule="auto"/>
        <w:rPr>
          <w:sz w:val="20"/>
          <w:szCs w:val="20"/>
          <w:color w:val="auto"/>
        </w:rPr>
      </w:pPr>
      <w:r>
        <w:rPr>
          <w:rFonts w:ascii="Arial" w:cs="Arial" w:eastAsia="Arial" w:hAnsi="Arial"/>
          <w:sz w:val="17"/>
          <w:szCs w:val="17"/>
          <w:color w:val="auto"/>
        </w:rPr>
        <w:t>Our Class A shares are listed and traded on Nasdaq under the symbol “PAGP.” As of February 14, 2025, there were 197,743,624 Class A shares outstanding and approximately 85,000 record holders and beneficial owners (held in street name).</w:t>
      </w:r>
    </w:p>
    <w:p>
      <w:pPr>
        <w:spacing w:after="0" w:line="118" w:lineRule="exact"/>
        <w:rPr>
          <w:sz w:val="20"/>
          <w:szCs w:val="20"/>
          <w:color w:val="auto"/>
        </w:rPr>
      </w:pPr>
    </w:p>
    <w:p>
      <w:pPr>
        <w:ind w:left="7" w:right="320" w:firstLine="706"/>
        <w:spacing w:after="0" w:line="258" w:lineRule="auto"/>
        <w:rPr>
          <w:sz w:val="20"/>
          <w:szCs w:val="20"/>
          <w:color w:val="auto"/>
        </w:rPr>
      </w:pPr>
      <w:r>
        <w:rPr>
          <w:rFonts w:ascii="Arial" w:cs="Arial" w:eastAsia="Arial" w:hAnsi="Arial"/>
          <w:sz w:val="20"/>
          <w:szCs w:val="20"/>
          <w:color w:val="auto"/>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spacing w:after="0" w:line="287" w:lineRule="exact"/>
        <w:rPr>
          <w:sz w:val="20"/>
          <w:szCs w:val="20"/>
          <w:color w:val="auto"/>
        </w:rPr>
      </w:pPr>
    </w:p>
    <w:tbl>
      <w:tblPr>
        <w:tblLayout w:type="fixed"/>
        <w:tblInd w:w="87"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w w:val="96"/>
              </w:rPr>
              <w:t>First Quarter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w w:val="89"/>
              </w:rPr>
              <w:t>Second Quarter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w w:val="99"/>
              </w:rPr>
              <w:t>Third Quarter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w w:val="93"/>
              </w:rPr>
              <w:t>Fourth Quarter</w:t>
            </w:r>
          </w:p>
        </w:tc>
      </w:tr>
      <w:tr>
        <w:trPr>
          <w:trHeight w:val="270"/>
        </w:trPr>
        <w:tc>
          <w:tcPr>
            <w:tcW w:w="3780" w:type="dxa"/>
            <w:vAlign w:val="bottom"/>
          </w:tcPr>
          <w:p>
            <w:pPr>
              <w:jc w:val="right"/>
              <w:ind w:right="3282"/>
              <w:spacing w:after="0"/>
              <w:rPr>
                <w:sz w:val="20"/>
                <w:szCs w:val="20"/>
                <w:color w:val="auto"/>
              </w:rPr>
            </w:pPr>
            <w:r>
              <w:rPr>
                <w:rFonts w:ascii="Arial" w:cs="Arial" w:eastAsia="Arial" w:hAnsi="Arial"/>
                <w:sz w:val="20"/>
                <w:szCs w:val="20"/>
                <w:b w:val="1"/>
                <w:bCs w:val="1"/>
                <w:color w:val="auto"/>
                <w:w w:val="85"/>
              </w:rPr>
              <w:t>2024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0.3175</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0.3175</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0.3175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0.3800</w:t>
            </w:r>
          </w:p>
        </w:tc>
      </w:tr>
      <w:tr>
        <w:trPr>
          <w:trHeight w:val="294"/>
        </w:trPr>
        <w:tc>
          <w:tcPr>
            <w:tcW w:w="3780" w:type="dxa"/>
            <w:vAlign w:val="bottom"/>
          </w:tcPr>
          <w:p>
            <w:pPr>
              <w:jc w:val="right"/>
              <w:ind w:right="3282"/>
              <w:spacing w:after="0"/>
              <w:rPr>
                <w:sz w:val="20"/>
                <w:szCs w:val="20"/>
                <w:color w:val="auto"/>
              </w:rPr>
            </w:pPr>
            <w:r>
              <w:rPr>
                <w:rFonts w:ascii="Arial" w:cs="Arial" w:eastAsia="Arial" w:hAnsi="Arial"/>
                <w:sz w:val="20"/>
                <w:szCs w:val="20"/>
                <w:b w:val="1"/>
                <w:bCs w:val="1"/>
                <w:color w:val="auto"/>
                <w:w w:val="85"/>
              </w:rPr>
              <w:t>2023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0.2675</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0.2675</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0.2675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0.3175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-376555</wp:posOffset>
            </wp:positionV>
            <wp:extent cx="6354445" cy="398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6354445" cy="398780"/>
                    </a:xfrm>
                    <a:prstGeom prst="rect">
                      <a:avLst/>
                    </a:prstGeom>
                    <a:noFill/>
                  </pic:spPr>
                </pic:pic>
              </a:graphicData>
            </a:graphic>
          </wp:anchor>
        </w:drawing>
      </w:r>
    </w:p>
    <w:p>
      <w:pPr>
        <w:spacing w:after="0" w:line="266" w:lineRule="exact"/>
        <w:rPr>
          <w:sz w:val="20"/>
          <w:szCs w:val="20"/>
          <w:color w:val="auto"/>
        </w:rPr>
      </w:pPr>
    </w:p>
    <w:p>
      <w:pPr>
        <w:ind w:left="7" w:right="780" w:firstLine="706"/>
        <w:spacing w:after="0" w:line="361" w:lineRule="auto"/>
        <w:rPr>
          <w:sz w:val="20"/>
          <w:szCs w:val="20"/>
          <w:color w:val="auto"/>
        </w:rPr>
      </w:pPr>
      <w:r>
        <w:rPr>
          <w:rFonts w:ascii="Arial" w:cs="Arial" w:eastAsia="Arial" w:hAnsi="Arial"/>
          <w:sz w:val="17"/>
          <w:szCs w:val="17"/>
          <w:color w:val="auto"/>
        </w:rPr>
        <w:t>Our Class A shares are also used as a form of compensation to our directors. See Note 17 to our Consolidated Financial Statements for additional information regarding our equity-indexed compensation plans.</w:t>
      </w:r>
    </w:p>
    <w:p>
      <w:pPr>
        <w:spacing w:after="0" w:line="118" w:lineRule="exact"/>
        <w:rPr>
          <w:sz w:val="20"/>
          <w:szCs w:val="20"/>
          <w:color w:val="auto"/>
        </w:rPr>
      </w:pPr>
    </w:p>
    <w:p>
      <w:pPr>
        <w:ind w:left="707"/>
        <w:spacing w:after="0"/>
        <w:rPr>
          <w:sz w:val="20"/>
          <w:szCs w:val="20"/>
          <w:color w:val="auto"/>
        </w:rPr>
      </w:pPr>
      <w:r>
        <w:rPr>
          <w:rFonts w:ascii="Arial" w:cs="Arial" w:eastAsia="Arial" w:hAnsi="Arial"/>
          <w:sz w:val="20"/>
          <w:szCs w:val="20"/>
          <w:color w:val="auto"/>
        </w:rPr>
        <w:t>Our Class B shares and Class C shares are not listed or traded on any stock exchange.</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Performance Graph</w:t>
      </w:r>
    </w:p>
    <w:p>
      <w:pPr>
        <w:spacing w:after="0" w:line="248" w:lineRule="exact"/>
        <w:rPr>
          <w:sz w:val="20"/>
          <w:szCs w:val="20"/>
          <w:color w:val="auto"/>
        </w:rPr>
      </w:pPr>
    </w:p>
    <w:p>
      <w:pPr>
        <w:ind w:left="707"/>
        <w:spacing w:after="0"/>
        <w:rPr>
          <w:sz w:val="20"/>
          <w:szCs w:val="20"/>
          <w:color w:val="auto"/>
        </w:rPr>
      </w:pPr>
      <w:r>
        <w:rPr>
          <w:rFonts w:ascii="Arial" w:cs="Arial" w:eastAsia="Arial" w:hAnsi="Arial"/>
          <w:sz w:val="17"/>
          <w:szCs w:val="17"/>
          <w:color w:val="auto"/>
        </w:rPr>
        <w:t>The following graph compares the total unitholder return performance of our Class A shares with the performance of:</w:t>
      </w:r>
    </w:p>
    <w:p>
      <w:pPr>
        <w:spacing w:after="0" w:line="59" w:lineRule="exact"/>
        <w:rPr>
          <w:sz w:val="20"/>
          <w:szCs w:val="20"/>
          <w:color w:val="auto"/>
        </w:rPr>
      </w:pPr>
    </w:p>
    <w:p>
      <w:pPr>
        <w:ind w:left="7" w:right="140" w:hanging="7"/>
        <w:spacing w:after="0" w:line="305" w:lineRule="auto"/>
        <w:tabs>
          <w:tab w:leader="none" w:pos="24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Class A shares and each comparison index beginning on December 31, 2019 and that all distributions were reinvested on a quarterly basis.</w:t>
      </w:r>
    </w:p>
    <w:p>
      <w:pPr>
        <w:spacing w:after="0" w:line="204" w:lineRule="exact"/>
        <w:rPr>
          <w:sz w:val="20"/>
          <w:szCs w:val="20"/>
          <w:color w:val="auto"/>
        </w:rPr>
      </w:pPr>
    </w:p>
    <w:tbl>
      <w:tblPr>
        <w:tblLayout w:type="fixed"/>
        <w:tblInd w:w="17" w:type="dxa"/>
        <w:tblCellMar>
          <w:top w:w="0" w:type="dxa"/>
          <w:left w:w="0" w:type="dxa"/>
          <w:bottom w:w="0" w:type="dxa"/>
          <w:right w:w="0" w:type="dxa"/>
        </w:tblCellMar>
      </w:tblPr>
      <w:tr>
        <w:trPr>
          <w:trHeight w:val="157"/>
        </w:trPr>
        <w:tc>
          <w:tcPr>
            <w:tcW w:w="740" w:type="dxa"/>
            <w:vAlign w:val="bottom"/>
            <w:tcBorders>
              <w:top w:val="single" w:sz="8" w:color="auto"/>
              <w:left w:val="single" w:sz="8" w:color="auto"/>
              <w:bottom w:val="single" w:sz="8" w:color="auto"/>
            </w:tcBorders>
            <w:vMerge w:val="restart"/>
          </w:tcPr>
          <w:p>
            <w:pPr>
              <w:jc w:val="right"/>
              <w:ind w:right="122"/>
              <w:spacing w:after="0"/>
              <w:rPr>
                <w:sz w:val="20"/>
                <w:szCs w:val="20"/>
                <w:color w:val="auto"/>
              </w:rPr>
            </w:pPr>
            <w:r>
              <w:rPr>
                <w:rFonts w:ascii="Arial" w:cs="Arial" w:eastAsia="Arial" w:hAnsi="Arial"/>
                <w:sz w:val="20"/>
                <w:szCs w:val="20"/>
                <w:color w:val="auto"/>
              </w:rPr>
              <w:t>$300</w:t>
            </w:r>
          </w:p>
        </w:tc>
        <w:tc>
          <w:tcPr>
            <w:tcW w:w="1520" w:type="dxa"/>
            <w:vAlign w:val="bottom"/>
            <w:tcBorders>
              <w:top w:val="single" w:sz="8" w:color="auto"/>
              <w:bottom w:val="single" w:sz="8" w:color="E6E6E6"/>
            </w:tcBorders>
          </w:tcPr>
          <w:p>
            <w:pPr>
              <w:spacing w:after="0"/>
              <w:rPr>
                <w:sz w:val="13"/>
                <w:szCs w:val="13"/>
                <w:color w:val="auto"/>
              </w:rPr>
            </w:pPr>
          </w:p>
        </w:tc>
        <w:tc>
          <w:tcPr>
            <w:tcW w:w="480" w:type="dxa"/>
            <w:vAlign w:val="bottom"/>
            <w:tcBorders>
              <w:top w:val="single" w:sz="8" w:color="auto"/>
              <w:bottom w:val="single" w:sz="8" w:color="E6E6E6"/>
            </w:tcBorders>
          </w:tcPr>
          <w:p>
            <w:pPr>
              <w:spacing w:after="0"/>
              <w:rPr>
                <w:sz w:val="13"/>
                <w:szCs w:val="13"/>
                <w:color w:val="auto"/>
              </w:rPr>
            </w:pPr>
          </w:p>
        </w:tc>
        <w:tc>
          <w:tcPr>
            <w:tcW w:w="10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160" w:type="dxa"/>
            <w:vAlign w:val="bottom"/>
            <w:tcBorders>
              <w:top w:val="single" w:sz="8" w:color="auto"/>
              <w:bottom w:val="single" w:sz="8" w:color="E6E6E6"/>
            </w:tcBorders>
          </w:tcPr>
          <w:p>
            <w:pPr>
              <w:spacing w:after="0"/>
              <w:rPr>
                <w:sz w:val="13"/>
                <w:szCs w:val="13"/>
                <w:color w:val="auto"/>
              </w:rPr>
            </w:pPr>
          </w:p>
        </w:tc>
        <w:tc>
          <w:tcPr>
            <w:tcW w:w="360" w:type="dxa"/>
            <w:vAlign w:val="bottom"/>
            <w:tcBorders>
              <w:top w:val="single" w:sz="8" w:color="auto"/>
              <w:bottom w:val="single" w:sz="8" w:color="E6E6E6"/>
            </w:tcBorders>
          </w:tcPr>
          <w:p>
            <w:pPr>
              <w:spacing w:after="0"/>
              <w:rPr>
                <w:sz w:val="13"/>
                <w:szCs w:val="13"/>
                <w:color w:val="auto"/>
              </w:rPr>
            </w:pPr>
          </w:p>
        </w:tc>
        <w:tc>
          <w:tcPr>
            <w:tcW w:w="60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180" w:type="dxa"/>
            <w:vAlign w:val="bottom"/>
            <w:tcBorders>
              <w:top w:val="single" w:sz="8" w:color="auto"/>
              <w:bottom w:val="single" w:sz="8" w:color="E6E6E6"/>
            </w:tcBorders>
          </w:tcPr>
          <w:p>
            <w:pPr>
              <w:spacing w:after="0"/>
              <w:rPr>
                <w:sz w:val="13"/>
                <w:szCs w:val="13"/>
                <w:color w:val="auto"/>
              </w:rPr>
            </w:pPr>
          </w:p>
        </w:tc>
        <w:tc>
          <w:tcPr>
            <w:tcW w:w="94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180" w:type="dxa"/>
            <w:vAlign w:val="bottom"/>
            <w:tcBorders>
              <w:top w:val="single" w:sz="8" w:color="auto"/>
              <w:bottom w:val="single" w:sz="8" w:color="E6E6E6"/>
            </w:tcBorders>
          </w:tcPr>
          <w:p>
            <w:pPr>
              <w:spacing w:after="0"/>
              <w:rPr>
                <w:sz w:val="13"/>
                <w:szCs w:val="13"/>
                <w:color w:val="auto"/>
              </w:rPr>
            </w:pPr>
          </w:p>
        </w:tc>
        <w:tc>
          <w:tcPr>
            <w:tcW w:w="960" w:type="dxa"/>
            <w:vAlign w:val="bottom"/>
            <w:tcBorders>
              <w:top w:val="single" w:sz="8" w:color="auto"/>
              <w:bottom w:val="single" w:sz="8" w:color="E6E6E6"/>
            </w:tcBorders>
          </w:tcPr>
          <w:p>
            <w:pPr>
              <w:spacing w:after="0"/>
              <w:rPr>
                <w:sz w:val="13"/>
                <w:szCs w:val="13"/>
                <w:color w:val="auto"/>
              </w:rPr>
            </w:pPr>
          </w:p>
        </w:tc>
        <w:tc>
          <w:tcPr>
            <w:tcW w:w="60" w:type="dxa"/>
            <w:vAlign w:val="bottom"/>
            <w:tcBorders>
              <w:top w:val="single" w:sz="8" w:color="auto"/>
              <w:bottom w:val="single" w:sz="8" w:color="E6E6E6"/>
            </w:tcBorders>
          </w:tcPr>
          <w:p>
            <w:pPr>
              <w:spacing w:after="0"/>
              <w:rPr>
                <w:sz w:val="13"/>
                <w:szCs w:val="13"/>
                <w:color w:val="auto"/>
              </w:rPr>
            </w:pPr>
          </w:p>
        </w:tc>
        <w:tc>
          <w:tcPr>
            <w:tcW w:w="180" w:type="dxa"/>
            <w:vAlign w:val="bottom"/>
            <w:tcBorders>
              <w:top w:val="single" w:sz="8" w:color="auto"/>
              <w:bottom w:val="single" w:sz="8" w:color="E6E6E6"/>
            </w:tcBorders>
          </w:tcPr>
          <w:p>
            <w:pPr>
              <w:spacing w:after="0"/>
              <w:rPr>
                <w:sz w:val="13"/>
                <w:szCs w:val="13"/>
                <w:color w:val="auto"/>
              </w:rPr>
            </w:pPr>
          </w:p>
        </w:tc>
        <w:tc>
          <w:tcPr>
            <w:tcW w:w="640" w:type="dxa"/>
            <w:vAlign w:val="bottom"/>
            <w:tcBorders>
              <w:top w:val="single" w:sz="8" w:color="auto"/>
              <w:bottom w:val="single" w:sz="8" w:color="E6E6E6"/>
            </w:tcBorders>
          </w:tcPr>
          <w:p>
            <w:pPr>
              <w:spacing w:after="0"/>
              <w:rPr>
                <w:sz w:val="13"/>
                <w:szCs w:val="13"/>
                <w:color w:val="auto"/>
              </w:rPr>
            </w:pPr>
          </w:p>
        </w:tc>
        <w:tc>
          <w:tcPr>
            <w:tcW w:w="32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200" w:type="dxa"/>
            <w:vAlign w:val="bottom"/>
            <w:tcBorders>
              <w:top w:val="single" w:sz="8" w:color="auto"/>
              <w:bottom w:val="single" w:sz="8" w:color="E6E6E6"/>
            </w:tcBorders>
          </w:tcPr>
          <w:p>
            <w:pPr>
              <w:spacing w:after="0"/>
              <w:rPr>
                <w:sz w:val="13"/>
                <w:szCs w:val="13"/>
                <w:color w:val="auto"/>
              </w:rPr>
            </w:pPr>
          </w:p>
        </w:tc>
        <w:tc>
          <w:tcPr>
            <w:tcW w:w="920" w:type="dxa"/>
            <w:vAlign w:val="bottom"/>
            <w:tcBorders>
              <w:top w:val="single" w:sz="8" w:color="auto"/>
              <w:bottom w:val="single" w:sz="8" w:color="E6E6E6"/>
            </w:tcBorders>
          </w:tcPr>
          <w:p>
            <w:pPr>
              <w:spacing w:after="0"/>
              <w:rPr>
                <w:sz w:val="13"/>
                <w:szCs w:val="13"/>
                <w:color w:val="auto"/>
              </w:rPr>
            </w:pPr>
          </w:p>
        </w:tc>
        <w:tc>
          <w:tcPr>
            <w:tcW w:w="80" w:type="dxa"/>
            <w:vAlign w:val="bottom"/>
            <w:tcBorders>
              <w:top w:val="single" w:sz="8" w:color="auto"/>
              <w:bottom w:val="single" w:sz="8" w:color="E6E6E6"/>
            </w:tcBorders>
          </w:tcPr>
          <w:p>
            <w:pPr>
              <w:spacing w:after="0"/>
              <w:rPr>
                <w:sz w:val="13"/>
                <w:szCs w:val="13"/>
                <w:color w:val="auto"/>
              </w:rPr>
            </w:pPr>
          </w:p>
        </w:tc>
        <w:tc>
          <w:tcPr>
            <w:tcW w:w="180" w:type="dxa"/>
            <w:vAlign w:val="bottom"/>
            <w:tcBorders>
              <w:top w:val="single" w:sz="8" w:color="auto"/>
              <w:bottom w:val="single" w:sz="8" w:color="E6E6E6"/>
            </w:tcBorders>
          </w:tcPr>
          <w:p>
            <w:pPr>
              <w:spacing w:after="0"/>
              <w:rPr>
                <w:sz w:val="13"/>
                <w:szCs w:val="13"/>
                <w:color w:val="auto"/>
              </w:rPr>
            </w:pPr>
          </w:p>
        </w:tc>
        <w:tc>
          <w:tcPr>
            <w:tcW w:w="780" w:type="dxa"/>
            <w:vAlign w:val="bottom"/>
            <w:tcBorders>
              <w:top w:val="single" w:sz="8" w:color="auto"/>
              <w:bottom w:val="single" w:sz="8" w:color="E6E6E6"/>
            </w:tcBorders>
          </w:tcPr>
          <w:p>
            <w:pPr>
              <w:spacing w:after="0"/>
              <w:rPr>
                <w:sz w:val="13"/>
                <w:szCs w:val="13"/>
                <w:color w:val="auto"/>
              </w:rPr>
            </w:pPr>
          </w:p>
        </w:tc>
        <w:tc>
          <w:tcPr>
            <w:tcW w:w="140" w:type="dxa"/>
            <w:vAlign w:val="bottom"/>
            <w:tcBorders>
              <w:top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740" w:type="dxa"/>
            <w:vAlign w:val="bottom"/>
            <w:tcBorders>
              <w:top w:val="single" w:sz="8" w:color="auto"/>
              <w:left w:val="single" w:sz="8" w:color="auto"/>
            </w:tcBorders>
            <w:vMerge w:val="continue"/>
          </w:tcPr>
          <w:p>
            <w:pPr>
              <w:spacing w:after="0"/>
              <w:rPr>
                <w:sz w:val="9"/>
                <w:szCs w:val="9"/>
                <w:color w:val="auto"/>
              </w:rPr>
            </w:pPr>
          </w:p>
        </w:tc>
        <w:tc>
          <w:tcPr>
            <w:tcW w:w="1520" w:type="dxa"/>
            <w:vAlign w:val="bottom"/>
            <w:tcBorders>
              <w:top w:val="single" w:sz="8" w:color="E6E6E6"/>
              <w:left w:val="single" w:sz="8" w:color="8A8A8A"/>
            </w:tcBorders>
          </w:tcPr>
          <w:p>
            <w:pPr>
              <w:spacing w:after="0"/>
              <w:rPr>
                <w:sz w:val="9"/>
                <w:szCs w:val="9"/>
                <w:color w:val="auto"/>
              </w:rPr>
            </w:pPr>
          </w:p>
        </w:tc>
        <w:tc>
          <w:tcPr>
            <w:tcW w:w="480" w:type="dxa"/>
            <w:vAlign w:val="bottom"/>
            <w:tcBorders>
              <w:top w:val="single" w:sz="8" w:color="E6E6E6"/>
            </w:tcBorders>
          </w:tcPr>
          <w:p>
            <w:pPr>
              <w:spacing w:after="0"/>
              <w:rPr>
                <w:sz w:val="9"/>
                <w:szCs w:val="9"/>
                <w:color w:val="auto"/>
              </w:rPr>
            </w:pPr>
          </w:p>
        </w:tc>
        <w:tc>
          <w:tcPr>
            <w:tcW w:w="10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160" w:type="dxa"/>
            <w:vAlign w:val="bottom"/>
            <w:tcBorders>
              <w:top w:val="single" w:sz="8" w:color="E6E6E6"/>
            </w:tcBorders>
          </w:tcPr>
          <w:p>
            <w:pPr>
              <w:spacing w:after="0"/>
              <w:rPr>
                <w:sz w:val="9"/>
                <w:szCs w:val="9"/>
                <w:color w:val="auto"/>
              </w:rPr>
            </w:pPr>
          </w:p>
        </w:tc>
        <w:tc>
          <w:tcPr>
            <w:tcW w:w="360" w:type="dxa"/>
            <w:vAlign w:val="bottom"/>
            <w:tcBorders>
              <w:top w:val="single" w:sz="8" w:color="E6E6E6"/>
            </w:tcBorders>
          </w:tcPr>
          <w:p>
            <w:pPr>
              <w:spacing w:after="0"/>
              <w:rPr>
                <w:sz w:val="9"/>
                <w:szCs w:val="9"/>
                <w:color w:val="auto"/>
              </w:rPr>
            </w:pPr>
          </w:p>
        </w:tc>
        <w:tc>
          <w:tcPr>
            <w:tcW w:w="60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180" w:type="dxa"/>
            <w:vAlign w:val="bottom"/>
            <w:tcBorders>
              <w:top w:val="single" w:sz="8" w:color="E6E6E6"/>
            </w:tcBorders>
          </w:tcPr>
          <w:p>
            <w:pPr>
              <w:spacing w:after="0"/>
              <w:rPr>
                <w:sz w:val="9"/>
                <w:szCs w:val="9"/>
                <w:color w:val="auto"/>
              </w:rPr>
            </w:pPr>
          </w:p>
        </w:tc>
        <w:tc>
          <w:tcPr>
            <w:tcW w:w="94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180" w:type="dxa"/>
            <w:vAlign w:val="bottom"/>
            <w:tcBorders>
              <w:top w:val="single" w:sz="8" w:color="E6E6E6"/>
            </w:tcBorders>
          </w:tcPr>
          <w:p>
            <w:pPr>
              <w:spacing w:after="0"/>
              <w:rPr>
                <w:sz w:val="9"/>
                <w:szCs w:val="9"/>
                <w:color w:val="auto"/>
              </w:rPr>
            </w:pPr>
          </w:p>
        </w:tc>
        <w:tc>
          <w:tcPr>
            <w:tcW w:w="960" w:type="dxa"/>
            <w:vAlign w:val="bottom"/>
            <w:tcBorders>
              <w:top w:val="single" w:sz="8" w:color="E6E6E6"/>
            </w:tcBorders>
          </w:tcPr>
          <w:p>
            <w:pPr>
              <w:spacing w:after="0"/>
              <w:rPr>
                <w:sz w:val="9"/>
                <w:szCs w:val="9"/>
                <w:color w:val="auto"/>
              </w:rPr>
            </w:pPr>
          </w:p>
        </w:tc>
        <w:tc>
          <w:tcPr>
            <w:tcW w:w="60" w:type="dxa"/>
            <w:vAlign w:val="bottom"/>
            <w:tcBorders>
              <w:top w:val="single" w:sz="8" w:color="E6E6E6"/>
            </w:tcBorders>
          </w:tcPr>
          <w:p>
            <w:pPr>
              <w:spacing w:after="0"/>
              <w:rPr>
                <w:sz w:val="9"/>
                <w:szCs w:val="9"/>
                <w:color w:val="auto"/>
              </w:rPr>
            </w:pPr>
          </w:p>
        </w:tc>
        <w:tc>
          <w:tcPr>
            <w:tcW w:w="180" w:type="dxa"/>
            <w:vAlign w:val="bottom"/>
            <w:tcBorders>
              <w:top w:val="single" w:sz="8" w:color="E6E6E6"/>
            </w:tcBorders>
          </w:tcPr>
          <w:p>
            <w:pPr>
              <w:spacing w:after="0"/>
              <w:rPr>
                <w:sz w:val="9"/>
                <w:szCs w:val="9"/>
                <w:color w:val="auto"/>
              </w:rPr>
            </w:pPr>
          </w:p>
        </w:tc>
        <w:tc>
          <w:tcPr>
            <w:tcW w:w="640" w:type="dxa"/>
            <w:vAlign w:val="bottom"/>
            <w:tcBorders>
              <w:top w:val="single" w:sz="8" w:color="E6E6E6"/>
            </w:tcBorders>
          </w:tcPr>
          <w:p>
            <w:pPr>
              <w:spacing w:after="0"/>
              <w:rPr>
                <w:sz w:val="9"/>
                <w:szCs w:val="9"/>
                <w:color w:val="auto"/>
              </w:rPr>
            </w:pPr>
          </w:p>
        </w:tc>
        <w:tc>
          <w:tcPr>
            <w:tcW w:w="32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200" w:type="dxa"/>
            <w:vAlign w:val="bottom"/>
            <w:tcBorders>
              <w:top w:val="single" w:sz="8" w:color="E6E6E6"/>
            </w:tcBorders>
          </w:tcPr>
          <w:p>
            <w:pPr>
              <w:spacing w:after="0"/>
              <w:rPr>
                <w:sz w:val="9"/>
                <w:szCs w:val="9"/>
                <w:color w:val="auto"/>
              </w:rPr>
            </w:pPr>
          </w:p>
        </w:tc>
        <w:tc>
          <w:tcPr>
            <w:tcW w:w="920" w:type="dxa"/>
            <w:vAlign w:val="bottom"/>
            <w:tcBorders>
              <w:top w:val="single" w:sz="8" w:color="E6E6E6"/>
            </w:tcBorders>
          </w:tcPr>
          <w:p>
            <w:pPr>
              <w:spacing w:after="0"/>
              <w:rPr>
                <w:sz w:val="9"/>
                <w:szCs w:val="9"/>
                <w:color w:val="auto"/>
              </w:rPr>
            </w:pPr>
          </w:p>
        </w:tc>
        <w:tc>
          <w:tcPr>
            <w:tcW w:w="80" w:type="dxa"/>
            <w:vAlign w:val="bottom"/>
            <w:tcBorders>
              <w:top w:val="single" w:sz="8" w:color="E6E6E6"/>
            </w:tcBorders>
          </w:tcPr>
          <w:p>
            <w:pPr>
              <w:spacing w:after="0"/>
              <w:rPr>
                <w:sz w:val="9"/>
                <w:szCs w:val="9"/>
                <w:color w:val="auto"/>
              </w:rPr>
            </w:pPr>
          </w:p>
        </w:tc>
        <w:tc>
          <w:tcPr>
            <w:tcW w:w="180" w:type="dxa"/>
            <w:vAlign w:val="bottom"/>
            <w:tcBorders>
              <w:top w:val="single" w:sz="8" w:color="E6E6E6"/>
            </w:tcBorders>
          </w:tcPr>
          <w:p>
            <w:pPr>
              <w:spacing w:after="0"/>
              <w:rPr>
                <w:sz w:val="9"/>
                <w:szCs w:val="9"/>
                <w:color w:val="auto"/>
              </w:rPr>
            </w:pPr>
          </w:p>
        </w:tc>
        <w:tc>
          <w:tcPr>
            <w:tcW w:w="780" w:type="dxa"/>
            <w:vAlign w:val="bottom"/>
            <w:tcBorders>
              <w:top w:val="single" w:sz="8" w:color="E6E6E6"/>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5"/>
        </w:trPr>
        <w:tc>
          <w:tcPr>
            <w:tcW w:w="740" w:type="dxa"/>
            <w:vAlign w:val="bottom"/>
            <w:tcBorders>
              <w:left w:val="single" w:sz="8" w:color="auto"/>
            </w:tcBorders>
            <w:vMerge w:val="restart"/>
          </w:tcPr>
          <w:p>
            <w:pPr>
              <w:jc w:val="right"/>
              <w:ind w:right="122"/>
              <w:spacing w:after="0"/>
              <w:rPr>
                <w:sz w:val="20"/>
                <w:szCs w:val="20"/>
                <w:color w:val="auto"/>
              </w:rPr>
            </w:pPr>
            <w:r>
              <w:rPr>
                <w:rFonts w:ascii="Arial" w:cs="Arial" w:eastAsia="Arial" w:hAnsi="Arial"/>
                <w:sz w:val="20"/>
                <w:szCs w:val="20"/>
                <w:color w:val="auto"/>
              </w:rPr>
              <w:t>$250</w:t>
            </w:r>
          </w:p>
        </w:tc>
        <w:tc>
          <w:tcPr>
            <w:tcW w:w="1520" w:type="dxa"/>
            <w:vAlign w:val="bottom"/>
            <w:tcBorders>
              <w:left w:val="single" w:sz="8" w:color="8A8A8A"/>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6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640" w:type="dxa"/>
            <w:vAlign w:val="bottom"/>
            <w:tcBorders>
              <w:bottom w:val="single" w:sz="8" w:color="E6E6E6"/>
            </w:tcBorders>
          </w:tcPr>
          <w:p>
            <w:pPr>
              <w:spacing w:after="0"/>
              <w:rPr>
                <w:sz w:val="24"/>
                <w:szCs w:val="24"/>
                <w:color w:val="auto"/>
              </w:rPr>
            </w:pPr>
          </w:p>
        </w:tc>
        <w:tc>
          <w:tcPr>
            <w:tcW w:w="3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9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40" w:type="dxa"/>
            <w:vAlign w:val="bottom"/>
            <w:tcBorders>
              <w:left w:val="single" w:sz="8" w:color="auto"/>
            </w:tcBorders>
            <w:vMerge w:val="continue"/>
          </w:tcPr>
          <w:p>
            <w:pPr>
              <w:spacing w:after="0"/>
              <w:rPr>
                <w:sz w:val="8"/>
                <w:szCs w:val="8"/>
                <w:color w:val="auto"/>
              </w:rPr>
            </w:pPr>
          </w:p>
        </w:tc>
        <w:tc>
          <w:tcPr>
            <w:tcW w:w="1520" w:type="dxa"/>
            <w:vAlign w:val="bottom"/>
            <w:tcBorders>
              <w:left w:val="single" w:sz="8" w:color="8A8A8A"/>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2"/>
        </w:trPr>
        <w:tc>
          <w:tcPr>
            <w:tcW w:w="740" w:type="dxa"/>
            <w:vAlign w:val="bottom"/>
            <w:tcBorders>
              <w:left w:val="single" w:sz="8" w:color="auto"/>
            </w:tcBorders>
            <w:vMerge w:val="restart"/>
          </w:tcPr>
          <w:p>
            <w:pPr>
              <w:jc w:val="right"/>
              <w:ind w:right="122"/>
              <w:spacing w:after="0"/>
              <w:rPr>
                <w:sz w:val="20"/>
                <w:szCs w:val="20"/>
                <w:color w:val="auto"/>
              </w:rPr>
            </w:pPr>
            <w:r>
              <w:rPr>
                <w:rFonts w:ascii="Arial" w:cs="Arial" w:eastAsia="Arial" w:hAnsi="Arial"/>
                <w:sz w:val="20"/>
                <w:szCs w:val="20"/>
                <w:color w:val="auto"/>
              </w:rPr>
              <w:t>$200</w:t>
            </w:r>
          </w:p>
        </w:tc>
        <w:tc>
          <w:tcPr>
            <w:tcW w:w="1520" w:type="dxa"/>
            <w:vAlign w:val="bottom"/>
            <w:tcBorders>
              <w:left w:val="single" w:sz="8" w:color="8A8A8A"/>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6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640" w:type="dxa"/>
            <w:vAlign w:val="bottom"/>
            <w:tcBorders>
              <w:bottom w:val="single" w:sz="8" w:color="E6E6E6"/>
            </w:tcBorders>
          </w:tcPr>
          <w:p>
            <w:pPr>
              <w:spacing w:after="0"/>
              <w:rPr>
                <w:sz w:val="24"/>
                <w:szCs w:val="24"/>
                <w:color w:val="auto"/>
              </w:rPr>
            </w:pPr>
          </w:p>
        </w:tc>
        <w:tc>
          <w:tcPr>
            <w:tcW w:w="3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9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40" w:type="dxa"/>
            <w:vAlign w:val="bottom"/>
            <w:tcBorders>
              <w:left w:val="single" w:sz="8" w:color="auto"/>
            </w:tcBorders>
            <w:vMerge w:val="continue"/>
          </w:tcPr>
          <w:p>
            <w:pPr>
              <w:spacing w:after="0"/>
              <w:rPr>
                <w:sz w:val="8"/>
                <w:szCs w:val="8"/>
                <w:color w:val="auto"/>
              </w:rPr>
            </w:pPr>
          </w:p>
        </w:tc>
        <w:tc>
          <w:tcPr>
            <w:tcW w:w="1520" w:type="dxa"/>
            <w:vAlign w:val="bottom"/>
            <w:tcBorders>
              <w:left w:val="single" w:sz="8" w:color="8A8A8A"/>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2"/>
        </w:trPr>
        <w:tc>
          <w:tcPr>
            <w:tcW w:w="740" w:type="dxa"/>
            <w:vAlign w:val="bottom"/>
            <w:tcBorders>
              <w:left w:val="single" w:sz="8" w:color="auto"/>
            </w:tcBorders>
            <w:vMerge w:val="restart"/>
          </w:tcPr>
          <w:p>
            <w:pPr>
              <w:jc w:val="right"/>
              <w:ind w:right="122"/>
              <w:spacing w:after="0"/>
              <w:rPr>
                <w:sz w:val="20"/>
                <w:szCs w:val="20"/>
                <w:color w:val="auto"/>
              </w:rPr>
            </w:pPr>
            <w:r>
              <w:rPr>
                <w:rFonts w:ascii="Arial" w:cs="Arial" w:eastAsia="Arial" w:hAnsi="Arial"/>
                <w:sz w:val="20"/>
                <w:szCs w:val="20"/>
                <w:color w:val="auto"/>
              </w:rPr>
              <w:t>$150</w:t>
            </w:r>
          </w:p>
        </w:tc>
        <w:tc>
          <w:tcPr>
            <w:tcW w:w="1520" w:type="dxa"/>
            <w:vAlign w:val="bottom"/>
            <w:tcBorders>
              <w:left w:val="single" w:sz="8" w:color="8A8A8A"/>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6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640" w:type="dxa"/>
            <w:vAlign w:val="bottom"/>
            <w:tcBorders>
              <w:bottom w:val="single" w:sz="8" w:color="E6E6E6"/>
            </w:tcBorders>
          </w:tcPr>
          <w:p>
            <w:pPr>
              <w:spacing w:after="0"/>
              <w:rPr>
                <w:sz w:val="24"/>
                <w:szCs w:val="24"/>
                <w:color w:val="auto"/>
              </w:rPr>
            </w:pPr>
          </w:p>
        </w:tc>
        <w:tc>
          <w:tcPr>
            <w:tcW w:w="3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9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40" w:type="dxa"/>
            <w:vAlign w:val="bottom"/>
            <w:tcBorders>
              <w:left w:val="single" w:sz="8" w:color="auto"/>
            </w:tcBorders>
            <w:vMerge w:val="continue"/>
          </w:tcPr>
          <w:p>
            <w:pPr>
              <w:spacing w:after="0"/>
              <w:rPr>
                <w:sz w:val="8"/>
                <w:szCs w:val="8"/>
                <w:color w:val="auto"/>
              </w:rPr>
            </w:pPr>
          </w:p>
        </w:tc>
        <w:tc>
          <w:tcPr>
            <w:tcW w:w="1520" w:type="dxa"/>
            <w:vAlign w:val="bottom"/>
            <w:tcBorders>
              <w:left w:val="single" w:sz="8" w:color="8A8A8A"/>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7"/>
        </w:trPr>
        <w:tc>
          <w:tcPr>
            <w:tcW w:w="740" w:type="dxa"/>
            <w:vAlign w:val="bottom"/>
            <w:tcBorders>
              <w:left w:val="single" w:sz="8" w:color="auto"/>
            </w:tcBorders>
            <w:vMerge w:val="restart"/>
          </w:tcPr>
          <w:p>
            <w:pPr>
              <w:jc w:val="right"/>
              <w:ind w:right="122"/>
              <w:spacing w:after="0"/>
              <w:rPr>
                <w:sz w:val="20"/>
                <w:szCs w:val="20"/>
                <w:color w:val="auto"/>
              </w:rPr>
            </w:pPr>
            <w:r>
              <w:rPr>
                <w:rFonts w:ascii="Arial" w:cs="Arial" w:eastAsia="Arial" w:hAnsi="Arial"/>
                <w:sz w:val="20"/>
                <w:szCs w:val="20"/>
                <w:color w:val="auto"/>
              </w:rPr>
              <w:t>$100</w:t>
            </w:r>
          </w:p>
        </w:tc>
        <w:tc>
          <w:tcPr>
            <w:tcW w:w="1520" w:type="dxa"/>
            <w:vAlign w:val="bottom"/>
            <w:tcBorders>
              <w:left w:val="single" w:sz="8" w:color="8A8A8A"/>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6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640" w:type="dxa"/>
            <w:vAlign w:val="bottom"/>
            <w:tcBorders>
              <w:bottom w:val="single" w:sz="8" w:color="E6E6E6"/>
            </w:tcBorders>
          </w:tcPr>
          <w:p>
            <w:pPr>
              <w:spacing w:after="0"/>
              <w:rPr>
                <w:sz w:val="24"/>
                <w:szCs w:val="24"/>
                <w:color w:val="auto"/>
              </w:rPr>
            </w:pPr>
          </w:p>
        </w:tc>
        <w:tc>
          <w:tcPr>
            <w:tcW w:w="3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9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40" w:type="dxa"/>
            <w:vAlign w:val="bottom"/>
            <w:tcBorders>
              <w:left w:val="single" w:sz="8" w:color="auto"/>
            </w:tcBorders>
            <w:vMerge w:val="continue"/>
          </w:tcPr>
          <w:p>
            <w:pPr>
              <w:spacing w:after="0"/>
              <w:rPr>
                <w:sz w:val="8"/>
                <w:szCs w:val="8"/>
                <w:color w:val="auto"/>
              </w:rPr>
            </w:pPr>
          </w:p>
        </w:tc>
        <w:tc>
          <w:tcPr>
            <w:tcW w:w="1520" w:type="dxa"/>
            <w:vAlign w:val="bottom"/>
            <w:tcBorders>
              <w:left w:val="single" w:sz="8" w:color="8A8A8A"/>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2"/>
        </w:trPr>
        <w:tc>
          <w:tcPr>
            <w:tcW w:w="740" w:type="dxa"/>
            <w:vAlign w:val="bottom"/>
            <w:tcBorders>
              <w:left w:val="single" w:sz="8" w:color="auto"/>
            </w:tcBorders>
            <w:vMerge w:val="restart"/>
          </w:tcPr>
          <w:p>
            <w:pPr>
              <w:jc w:val="right"/>
              <w:ind w:right="122"/>
              <w:spacing w:after="0"/>
              <w:rPr>
                <w:sz w:val="20"/>
                <w:szCs w:val="20"/>
                <w:color w:val="auto"/>
              </w:rPr>
            </w:pPr>
            <w:r>
              <w:rPr>
                <w:rFonts w:ascii="Arial" w:cs="Arial" w:eastAsia="Arial" w:hAnsi="Arial"/>
                <w:sz w:val="20"/>
                <w:szCs w:val="20"/>
                <w:color w:val="auto"/>
              </w:rPr>
              <w:t>$50</w:t>
            </w:r>
          </w:p>
        </w:tc>
        <w:tc>
          <w:tcPr>
            <w:tcW w:w="1520" w:type="dxa"/>
            <w:vAlign w:val="bottom"/>
            <w:tcBorders>
              <w:left w:val="single" w:sz="8" w:color="8A8A8A"/>
              <w:bottom w:val="single" w:sz="8" w:color="E6E6E6"/>
            </w:tcBorders>
          </w:tcPr>
          <w:p>
            <w:pPr>
              <w:spacing w:after="0"/>
              <w:rPr>
                <w:sz w:val="24"/>
                <w:szCs w:val="24"/>
                <w:color w:val="auto"/>
              </w:rPr>
            </w:pPr>
          </w:p>
        </w:tc>
        <w:tc>
          <w:tcPr>
            <w:tcW w:w="48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36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96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640" w:type="dxa"/>
            <w:vAlign w:val="bottom"/>
            <w:tcBorders>
              <w:bottom w:val="single" w:sz="8" w:color="E6E6E6"/>
            </w:tcBorders>
          </w:tcPr>
          <w:p>
            <w:pPr>
              <w:spacing w:after="0"/>
              <w:rPr>
                <w:sz w:val="24"/>
                <w:szCs w:val="24"/>
                <w:color w:val="auto"/>
              </w:rPr>
            </w:pPr>
          </w:p>
        </w:tc>
        <w:tc>
          <w:tcPr>
            <w:tcW w:w="3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9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780" w:type="dxa"/>
            <w:vAlign w:val="bottom"/>
            <w:tcBorders>
              <w:bottom w:val="single" w:sz="8" w:color="E6E6E6"/>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40" w:type="dxa"/>
            <w:vAlign w:val="bottom"/>
            <w:tcBorders>
              <w:left w:val="single" w:sz="8" w:color="auto"/>
            </w:tcBorders>
            <w:vMerge w:val="continue"/>
          </w:tcPr>
          <w:p>
            <w:pPr>
              <w:spacing w:after="0"/>
              <w:rPr>
                <w:sz w:val="8"/>
                <w:szCs w:val="8"/>
                <w:color w:val="auto"/>
              </w:rPr>
            </w:pPr>
          </w:p>
        </w:tc>
        <w:tc>
          <w:tcPr>
            <w:tcW w:w="1520" w:type="dxa"/>
            <w:vAlign w:val="bottom"/>
            <w:tcBorders>
              <w:left w:val="single" w:sz="8" w:color="8A8A8A"/>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2"/>
        </w:trPr>
        <w:tc>
          <w:tcPr>
            <w:tcW w:w="740" w:type="dxa"/>
            <w:vAlign w:val="bottom"/>
            <w:tcBorders>
              <w:left w:val="single" w:sz="8" w:color="auto"/>
            </w:tcBorders>
            <w:vMerge w:val="restart"/>
          </w:tcPr>
          <w:p>
            <w:pPr>
              <w:jc w:val="right"/>
              <w:ind w:right="122"/>
              <w:spacing w:after="0"/>
              <w:rPr>
                <w:sz w:val="20"/>
                <w:szCs w:val="20"/>
                <w:color w:val="auto"/>
              </w:rPr>
            </w:pPr>
            <w:r>
              <w:rPr>
                <w:rFonts w:ascii="Arial" w:cs="Arial" w:eastAsia="Arial" w:hAnsi="Arial"/>
                <w:sz w:val="20"/>
                <w:szCs w:val="20"/>
                <w:color w:val="auto"/>
              </w:rPr>
              <w:t>$0</w:t>
            </w:r>
          </w:p>
        </w:tc>
        <w:tc>
          <w:tcPr>
            <w:tcW w:w="1520" w:type="dxa"/>
            <w:vAlign w:val="bottom"/>
            <w:tcBorders>
              <w:left w:val="single" w:sz="8" w:color="8A8A8A"/>
              <w:bottom w:val="single" w:sz="8" w:color="8A8A8A"/>
            </w:tcBorders>
          </w:tcPr>
          <w:p>
            <w:pPr>
              <w:spacing w:after="0"/>
              <w:rPr>
                <w:sz w:val="24"/>
                <w:szCs w:val="24"/>
                <w:color w:val="auto"/>
              </w:rPr>
            </w:pPr>
          </w:p>
        </w:tc>
        <w:tc>
          <w:tcPr>
            <w:tcW w:w="480" w:type="dxa"/>
            <w:vAlign w:val="bottom"/>
            <w:tcBorders>
              <w:bottom w:val="single" w:sz="8" w:color="8A8A8A"/>
            </w:tcBorders>
          </w:tcPr>
          <w:p>
            <w:pPr>
              <w:spacing w:after="0"/>
              <w:rPr>
                <w:sz w:val="24"/>
                <w:szCs w:val="24"/>
                <w:color w:val="auto"/>
              </w:rPr>
            </w:pPr>
          </w:p>
        </w:tc>
        <w:tc>
          <w:tcPr>
            <w:tcW w:w="10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160" w:type="dxa"/>
            <w:vAlign w:val="bottom"/>
            <w:tcBorders>
              <w:bottom w:val="single" w:sz="8" w:color="8A8A8A"/>
            </w:tcBorders>
          </w:tcPr>
          <w:p>
            <w:pPr>
              <w:spacing w:after="0"/>
              <w:rPr>
                <w:sz w:val="24"/>
                <w:szCs w:val="24"/>
                <w:color w:val="auto"/>
              </w:rPr>
            </w:pPr>
          </w:p>
        </w:tc>
        <w:tc>
          <w:tcPr>
            <w:tcW w:w="360" w:type="dxa"/>
            <w:vAlign w:val="bottom"/>
            <w:tcBorders>
              <w:bottom w:val="single" w:sz="8" w:color="8A8A8A"/>
            </w:tcBorders>
          </w:tcPr>
          <w:p>
            <w:pPr>
              <w:spacing w:after="0"/>
              <w:rPr>
                <w:sz w:val="24"/>
                <w:szCs w:val="24"/>
                <w:color w:val="auto"/>
              </w:rPr>
            </w:pPr>
          </w:p>
        </w:tc>
        <w:tc>
          <w:tcPr>
            <w:tcW w:w="60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94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960" w:type="dxa"/>
            <w:vAlign w:val="bottom"/>
            <w:tcBorders>
              <w:bottom w:val="single" w:sz="8" w:color="8A8A8A"/>
            </w:tcBorders>
          </w:tcPr>
          <w:p>
            <w:pPr>
              <w:spacing w:after="0"/>
              <w:rPr>
                <w:sz w:val="24"/>
                <w:szCs w:val="24"/>
                <w:color w:val="auto"/>
              </w:rPr>
            </w:pPr>
          </w:p>
        </w:tc>
        <w:tc>
          <w:tcPr>
            <w:tcW w:w="6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640" w:type="dxa"/>
            <w:vAlign w:val="bottom"/>
            <w:tcBorders>
              <w:bottom w:val="single" w:sz="8" w:color="8A8A8A"/>
            </w:tcBorders>
          </w:tcPr>
          <w:p>
            <w:pPr>
              <w:spacing w:after="0"/>
              <w:rPr>
                <w:sz w:val="24"/>
                <w:szCs w:val="24"/>
                <w:color w:val="auto"/>
              </w:rPr>
            </w:pPr>
          </w:p>
        </w:tc>
        <w:tc>
          <w:tcPr>
            <w:tcW w:w="32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92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780" w:type="dxa"/>
            <w:vAlign w:val="bottom"/>
            <w:tcBorders>
              <w:bottom w:val="single" w:sz="8" w:color="8A8A8A"/>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tcBorders>
            <w:vMerge w:val="continue"/>
          </w:tcPr>
          <w:p>
            <w:pPr>
              <w:spacing w:after="0"/>
              <w:rPr>
                <w:sz w:val="7"/>
                <w:szCs w:val="7"/>
                <w:color w:val="auto"/>
              </w:rPr>
            </w:pPr>
          </w:p>
        </w:tc>
        <w:tc>
          <w:tcPr>
            <w:tcW w:w="1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260" w:type="dxa"/>
            <w:vAlign w:val="bottom"/>
            <w:tcBorders>
              <w:left w:val="single" w:sz="8" w:color="auto"/>
            </w:tcBorders>
            <w:gridSpan w:val="2"/>
          </w:tcPr>
          <w:p>
            <w:pPr>
              <w:jc w:val="right"/>
              <w:ind w:right="420"/>
              <w:spacing w:after="0"/>
              <w:rPr>
                <w:sz w:val="20"/>
                <w:szCs w:val="20"/>
                <w:color w:val="auto"/>
              </w:rPr>
            </w:pPr>
            <w:r>
              <w:rPr>
                <w:rFonts w:ascii="Arial" w:cs="Arial" w:eastAsia="Arial" w:hAnsi="Arial"/>
                <w:sz w:val="20"/>
                <w:szCs w:val="20"/>
                <w:color w:val="auto"/>
              </w:rPr>
              <w:t>12/31/19</w:t>
            </w:r>
          </w:p>
        </w:tc>
        <w:tc>
          <w:tcPr>
            <w:tcW w:w="1180" w:type="dxa"/>
            <w:vAlign w:val="bottom"/>
            <w:gridSpan w:val="5"/>
          </w:tcPr>
          <w:p>
            <w:pPr>
              <w:jc w:val="center"/>
              <w:ind w:left="242"/>
              <w:spacing w:after="0"/>
              <w:rPr>
                <w:sz w:val="20"/>
                <w:szCs w:val="20"/>
                <w:color w:val="auto"/>
              </w:rPr>
            </w:pPr>
            <w:r>
              <w:rPr>
                <w:rFonts w:ascii="Arial" w:cs="Arial" w:eastAsia="Arial" w:hAnsi="Arial"/>
                <w:sz w:val="20"/>
                <w:szCs w:val="20"/>
                <w:color w:val="auto"/>
                <w:w w:val="87"/>
              </w:rPr>
              <w:t>12/31/20</w:t>
            </w:r>
          </w:p>
        </w:tc>
        <w:tc>
          <w:tcPr>
            <w:tcW w:w="600" w:type="dxa"/>
            <w:vAlign w:val="bottom"/>
          </w:tcPr>
          <w:p>
            <w:pPr>
              <w:spacing w:after="0"/>
              <w:rPr>
                <w:sz w:val="22"/>
                <w:szCs w:val="22"/>
                <w:color w:val="auto"/>
              </w:rPr>
            </w:pPr>
          </w:p>
        </w:tc>
        <w:tc>
          <w:tcPr>
            <w:tcW w:w="1200" w:type="dxa"/>
            <w:vAlign w:val="bottom"/>
            <w:gridSpan w:val="3"/>
          </w:tcPr>
          <w:p>
            <w:pPr>
              <w:ind w:left="140"/>
              <w:spacing w:after="0"/>
              <w:rPr>
                <w:sz w:val="20"/>
                <w:szCs w:val="20"/>
                <w:color w:val="auto"/>
              </w:rPr>
            </w:pPr>
            <w:r>
              <w:rPr>
                <w:rFonts w:ascii="Arial" w:cs="Arial" w:eastAsia="Arial" w:hAnsi="Arial"/>
                <w:sz w:val="20"/>
                <w:szCs w:val="20"/>
                <w:color w:val="auto"/>
              </w:rPr>
              <w:t>12/31/21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12/31/22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20"/>
                <w:szCs w:val="20"/>
                <w:color w:val="auto"/>
              </w:rPr>
              <w:t>12/31/23</w:t>
            </w:r>
          </w:p>
        </w:tc>
        <w:tc>
          <w:tcPr>
            <w:tcW w:w="1960" w:type="dxa"/>
            <w:vAlign w:val="bottom"/>
            <w:gridSpan w:val="4"/>
          </w:tcPr>
          <w:p>
            <w:pPr>
              <w:jc w:val="right"/>
              <w:ind w:right="347"/>
              <w:spacing w:after="0"/>
              <w:rPr>
                <w:sz w:val="20"/>
                <w:szCs w:val="20"/>
                <w:color w:val="auto"/>
              </w:rPr>
            </w:pPr>
            <w:r>
              <w:rPr>
                <w:rFonts w:ascii="Arial" w:cs="Arial" w:eastAsia="Arial" w:hAnsi="Arial"/>
                <w:sz w:val="20"/>
                <w:szCs w:val="20"/>
                <w:color w:val="auto"/>
              </w:rPr>
              <w:t>12/31/24</w:t>
            </w:r>
          </w:p>
        </w:tc>
        <w:tc>
          <w:tcPr>
            <w:tcW w:w="1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40" w:type="dxa"/>
            <w:vAlign w:val="bottom"/>
            <w:tcBorders>
              <w:left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1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40" w:type="dxa"/>
            <w:vAlign w:val="bottom"/>
            <w:tcBorders>
              <w:lef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20"/>
                <w:szCs w:val="20"/>
                <w:color w:val="auto"/>
                <w:w w:val="97"/>
              </w:rPr>
              <w:t>PAGP</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60" w:type="dxa"/>
            <w:vAlign w:val="bottom"/>
            <w:tcBorders>
              <w:top w:val="single" w:sz="8" w:color="auto"/>
              <w:bottom w:val="single" w:sz="8" w:color="auto"/>
            </w:tcBorders>
            <w:gridSpan w:val="4"/>
            <w:vMerge w:val="restart"/>
          </w:tcPr>
          <w:p>
            <w:pPr>
              <w:jc w:val="right"/>
              <w:ind w:right="706"/>
              <w:spacing w:after="0"/>
              <w:rPr>
                <w:sz w:val="20"/>
                <w:szCs w:val="20"/>
                <w:color w:val="auto"/>
              </w:rPr>
            </w:pPr>
            <w:r>
              <w:rPr>
                <w:rFonts w:ascii="Arial" w:cs="Arial" w:eastAsia="Arial" w:hAnsi="Arial"/>
                <w:sz w:val="20"/>
                <w:szCs w:val="20"/>
                <w:color w:val="auto"/>
              </w:rPr>
              <w:t>S&amp;P 500</w:t>
            </w:r>
          </w:p>
        </w:tc>
        <w:tc>
          <w:tcPr>
            <w:tcW w:w="60" w:type="dxa"/>
            <w:vAlign w:val="bottom"/>
            <w:tcBorders>
              <w:top w:val="single" w:sz="8" w:color="auto"/>
              <w:bottom w:val="single" w:sz="8" w:color="auto"/>
            </w:tcBorders>
            <w:vMerge w:val="restart"/>
          </w:tcPr>
          <w:p>
            <w:pPr>
              <w:spacing w:after="0"/>
              <w:rPr>
                <w:sz w:val="17"/>
                <w:szCs w:val="17"/>
                <w:color w:val="auto"/>
              </w:rPr>
            </w:pPr>
          </w:p>
        </w:tc>
        <w:tc>
          <w:tcPr>
            <w:tcW w:w="820" w:type="dxa"/>
            <w:vAlign w:val="bottom"/>
            <w:tcBorders>
              <w:top w:val="single" w:sz="8" w:color="auto"/>
              <w:bottom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20"/>
                <w:szCs w:val="20"/>
                <w:color w:val="auto"/>
              </w:rPr>
              <w:t>AMNA</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40" w:type="dxa"/>
            <w:vAlign w:val="bottom"/>
            <w:tcBorders>
              <w:left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60" w:type="dxa"/>
            <w:vAlign w:val="bottom"/>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20" w:type="dxa"/>
            <w:vAlign w:val="bottom"/>
            <w:tcBorders>
              <w:right w:val="single" w:sz="8" w:color="auto"/>
            </w:tcBorders>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740" w:type="dxa"/>
            <w:vAlign w:val="bottom"/>
            <w:tcBorders>
              <w:left w:val="single" w:sz="8" w:color="auto"/>
            </w:tcBorders>
          </w:tcPr>
          <w:p>
            <w:pPr>
              <w:spacing w:after="0"/>
              <w:rPr>
                <w:sz w:val="5"/>
                <w:szCs w:val="5"/>
                <w:color w:val="auto"/>
              </w:rPr>
            </w:pPr>
          </w:p>
        </w:tc>
        <w:tc>
          <w:tcPr>
            <w:tcW w:w="152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740" w:type="dxa"/>
            <w:vAlign w:val="bottom"/>
            <w:tcBorders>
              <w:left w:val="single" w:sz="8" w:color="auto"/>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6"/>
                <w:szCs w:val="16"/>
                <w:b w:val="1"/>
                <w:bCs w:val="1"/>
                <w:color w:val="auto"/>
                <w:w w:val="92"/>
              </w:rPr>
              <w:t>12/31/2019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89"/>
              </w:rPr>
              <w:t>12/31/2020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w w:val="89"/>
              </w:rPr>
              <w:t>12/31/2021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2"/>
              </w:rPr>
              <w:t>12/31/2022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w w:val="87"/>
              </w:rPr>
              <w:t>12/31/2023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12/31/2024</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gridSpan w:val="2"/>
          </w:tcPr>
          <w:p>
            <w:pPr>
              <w:ind w:left="20"/>
              <w:spacing w:after="0"/>
              <w:rPr>
                <w:sz w:val="20"/>
                <w:szCs w:val="20"/>
                <w:color w:val="auto"/>
              </w:rPr>
            </w:pPr>
            <w:r>
              <w:rPr>
                <w:rFonts w:ascii="Arial" w:cs="Arial" w:eastAsia="Arial" w:hAnsi="Arial"/>
                <w:sz w:val="20"/>
                <w:szCs w:val="20"/>
                <w:color w:val="auto"/>
              </w:rPr>
              <w:t>PAGP</w:t>
            </w:r>
          </w:p>
        </w:tc>
        <w:tc>
          <w:tcPr>
            <w:tcW w:w="820" w:type="dxa"/>
            <w:vAlign w:val="bottom"/>
            <w:gridSpan w:val="4"/>
          </w:tcPr>
          <w:p>
            <w:pPr>
              <w:jc w:val="center"/>
              <w:ind w:left="582"/>
              <w:spacing w:after="0"/>
              <w:rPr>
                <w:sz w:val="20"/>
                <w:szCs w:val="20"/>
                <w:color w:val="auto"/>
              </w:rPr>
            </w:pPr>
            <w:r>
              <w:rPr>
                <w:rFonts w:ascii="Arial" w:cs="Arial" w:eastAsia="Arial" w:hAnsi="Arial"/>
                <w:sz w:val="20"/>
                <w:szCs w:val="20"/>
                <w:color w:val="auto"/>
                <w:w w:val="89"/>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100.00</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48.96</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63.11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20"/>
                <w:szCs w:val="20"/>
                <w:color w:val="auto"/>
              </w:rPr>
              <w:t>83.11</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114.79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142.02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260" w:type="dxa"/>
            <w:vAlign w:val="bottom"/>
            <w:gridSpan w:val="2"/>
          </w:tcPr>
          <w:p>
            <w:pPr>
              <w:ind w:left="20"/>
              <w:spacing w:after="0"/>
              <w:rPr>
                <w:sz w:val="20"/>
                <w:szCs w:val="20"/>
                <w:color w:val="auto"/>
              </w:rPr>
            </w:pPr>
            <w:r>
              <w:rPr>
                <w:rFonts w:ascii="Arial" w:cs="Arial" w:eastAsia="Arial" w:hAnsi="Arial"/>
                <w:sz w:val="20"/>
                <w:szCs w:val="20"/>
                <w:color w:val="auto"/>
              </w:rPr>
              <w:t>S&amp;P 500</w:t>
            </w:r>
          </w:p>
        </w:tc>
        <w:tc>
          <w:tcPr>
            <w:tcW w:w="820" w:type="dxa"/>
            <w:vAlign w:val="bottom"/>
            <w:gridSpan w:val="4"/>
          </w:tcPr>
          <w:p>
            <w:pPr>
              <w:jc w:val="center"/>
              <w:ind w:left="582"/>
              <w:spacing w:after="0"/>
              <w:rPr>
                <w:sz w:val="20"/>
                <w:szCs w:val="20"/>
                <w:color w:val="auto"/>
              </w:rPr>
            </w:pPr>
            <w:r>
              <w:rPr>
                <w:rFonts w:ascii="Arial" w:cs="Arial" w:eastAsia="Arial" w:hAnsi="Arial"/>
                <w:sz w:val="20"/>
                <w:szCs w:val="20"/>
                <w:color w:val="auto"/>
                <w:w w:val="89"/>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100.00</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155.68</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200.37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20"/>
                <w:szCs w:val="20"/>
                <w:color w:val="auto"/>
              </w:rPr>
              <w:t>164.08</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207.21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259.05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260" w:type="dxa"/>
            <w:vAlign w:val="bottom"/>
            <w:gridSpan w:val="2"/>
          </w:tcPr>
          <w:p>
            <w:pPr>
              <w:ind w:left="20"/>
              <w:spacing w:after="0"/>
              <w:rPr>
                <w:sz w:val="20"/>
                <w:szCs w:val="20"/>
                <w:color w:val="auto"/>
              </w:rPr>
            </w:pPr>
            <w:r>
              <w:rPr>
                <w:rFonts w:ascii="Arial" w:cs="Arial" w:eastAsia="Arial" w:hAnsi="Arial"/>
                <w:sz w:val="20"/>
                <w:szCs w:val="20"/>
                <w:color w:val="auto"/>
              </w:rPr>
              <w:t>AMNA</w:t>
            </w:r>
          </w:p>
        </w:tc>
        <w:tc>
          <w:tcPr>
            <w:tcW w:w="820" w:type="dxa"/>
            <w:vAlign w:val="bottom"/>
            <w:gridSpan w:val="4"/>
          </w:tcPr>
          <w:p>
            <w:pPr>
              <w:jc w:val="center"/>
              <w:ind w:left="582"/>
              <w:spacing w:after="0"/>
              <w:rPr>
                <w:sz w:val="20"/>
                <w:szCs w:val="20"/>
                <w:color w:val="auto"/>
              </w:rPr>
            </w:pPr>
            <w:r>
              <w:rPr>
                <w:rFonts w:ascii="Arial" w:cs="Arial" w:eastAsia="Arial" w:hAnsi="Arial"/>
                <w:sz w:val="20"/>
                <w:szCs w:val="20"/>
                <w:color w:val="auto"/>
                <w:w w:val="89"/>
              </w:rPr>
              <w:t>$</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100.00</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95.06</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131.58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20"/>
                <w:szCs w:val="20"/>
                <w:color w:val="auto"/>
              </w:rPr>
              <w:t>159.92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182.34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263.52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-3669030</wp:posOffset>
            </wp:positionV>
            <wp:extent cx="4996180" cy="1873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4996180" cy="187388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-1073785</wp:posOffset>
            </wp:positionV>
            <wp:extent cx="146685" cy="146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146685" cy="14668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-1073785</wp:posOffset>
            </wp:positionV>
            <wp:extent cx="374015" cy="146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374015" cy="146685"/>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-1073785</wp:posOffset>
            </wp:positionV>
            <wp:extent cx="374015" cy="146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374015" cy="14668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-563245</wp:posOffset>
            </wp:positionV>
            <wp:extent cx="6438265" cy="585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6438265" cy="585470"/>
                    </a:xfrm>
                    <a:prstGeom prst="rect">
                      <a:avLst/>
                    </a:prstGeom>
                    <a:noFill/>
                  </pic:spPr>
                </pic:pic>
              </a:graphicData>
            </a:graphic>
          </wp:anchor>
        </w:drawing>
      </w:r>
    </w:p>
    <w:p>
      <w:pPr>
        <w:sectPr>
          <w:pgSz w:w="11880" w:h="15480" w:orient="portrait"/>
          <w:cols w:equalWidth="0" w:num="1">
            <w:col w:w="10067"/>
          </w:cols>
          <w:pgMar w:left="913" w:top="5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0067"/>
          </w:cols>
          <w:pgMar w:left="913" w:top="575" w:right="900" w:bottom="0" w:gutter="0" w:footer="0" w:header="0"/>
          <w:type w:val="continuous"/>
        </w:sectPr>
      </w:pPr>
    </w:p>
    <w:bookmarkStart w:id="69" w:name="page70"/>
    <w:bookmarkEnd w:id="69"/>
    <w:p>
      <w:pPr>
        <w:ind w:right="40" w:firstLine="706"/>
        <w:spacing w:after="0" w:line="306" w:lineRule="auto"/>
        <w:rPr>
          <w:sz w:val="20"/>
          <w:szCs w:val="20"/>
          <w:color w:val="auto"/>
        </w:rPr>
      </w:pPr>
      <w:r>
        <w:rPr>
          <w:rFonts w:ascii="Arial" w:cs="Arial" w:eastAsia="Arial" w:hAnsi="Arial"/>
          <w:sz w:val="17"/>
          <w:szCs w:val="17"/>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Distribution Policy</w:t>
      </w:r>
    </w:p>
    <w:p>
      <w:pPr>
        <w:spacing w:after="0" w:line="248" w:lineRule="exact"/>
        <w:rPr>
          <w:sz w:val="20"/>
          <w:szCs w:val="20"/>
          <w:color w:val="auto"/>
        </w:rPr>
      </w:pPr>
    </w:p>
    <w:p>
      <w:pPr>
        <w:ind w:firstLine="706"/>
        <w:spacing w:after="0" w:line="251" w:lineRule="auto"/>
        <w:rPr>
          <w:sz w:val="20"/>
          <w:szCs w:val="20"/>
          <w:color w:val="auto"/>
        </w:rPr>
      </w:pPr>
      <w:r>
        <w:rPr>
          <w:rFonts w:ascii="Arial" w:cs="Arial" w:eastAsia="Arial" w:hAnsi="Arial"/>
          <w:sz w:val="20"/>
          <w:szCs w:val="20"/>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spacing w:after="0" w:line="169" w:lineRule="exact"/>
        <w:rPr>
          <w:sz w:val="20"/>
          <w:szCs w:val="20"/>
          <w:color w:val="auto"/>
        </w:rPr>
      </w:pPr>
    </w:p>
    <w:p>
      <w:pPr>
        <w:ind w:left="1060" w:right="540" w:hanging="362"/>
        <w:spacing w:after="0" w:line="271" w:lineRule="auto"/>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comply with applicable law or any agreement binding upon us or our subsidiaries (exclusive of PAA and its subsidiaries);</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provide funds for future distributions to shareholders;</w:t>
      </w:r>
    </w:p>
    <w:p>
      <w:pPr>
        <w:spacing w:after="0" w:line="122" w:lineRule="exact"/>
        <w:rPr>
          <w:rFonts w:ascii="Arial" w:cs="Arial" w:eastAsia="Arial" w:hAnsi="Arial"/>
          <w:sz w:val="20"/>
          <w:szCs w:val="20"/>
          <w:color w:val="auto"/>
        </w:rPr>
      </w:pPr>
    </w:p>
    <w:p>
      <w:pPr>
        <w:ind w:left="1060" w:right="80" w:hanging="362"/>
        <w:spacing w:after="0" w:line="271" w:lineRule="auto"/>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provide for future capital expenditures, debt service and other credit needs as well as any federal, state, provincial or other income tax that may affect us in the future;</w:t>
      </w:r>
    </w:p>
    <w:p>
      <w:pPr>
        <w:spacing w:after="0" w:line="68" w:lineRule="exact"/>
        <w:rPr>
          <w:rFonts w:ascii="Arial" w:cs="Arial" w:eastAsia="Arial" w:hAnsi="Arial"/>
          <w:sz w:val="20"/>
          <w:szCs w:val="20"/>
          <w:color w:val="auto"/>
        </w:rPr>
      </w:pPr>
    </w:p>
    <w:p>
      <w:pPr>
        <w:ind w:left="1060" w:hanging="362"/>
        <w:spacing w:after="0"/>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provide for our general, administrative or other expenses; or</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provide for the proper conduct of our business.</w:t>
      </w:r>
    </w:p>
    <w:p>
      <w:pPr>
        <w:spacing w:after="0" w:line="240" w:lineRule="exact"/>
        <w:rPr>
          <w:sz w:val="20"/>
          <w:szCs w:val="20"/>
          <w:color w:val="auto"/>
        </w:rPr>
      </w:pPr>
    </w:p>
    <w:p>
      <w:pPr>
        <w:ind w:right="20" w:firstLine="706"/>
        <w:spacing w:after="0" w:line="296" w:lineRule="auto"/>
        <w:rPr>
          <w:sz w:val="20"/>
          <w:szCs w:val="20"/>
          <w:color w:val="auto"/>
        </w:rPr>
      </w:pPr>
      <w:r>
        <w:rPr>
          <w:rFonts w:ascii="Arial" w:cs="Arial" w:eastAsia="Arial" w:hAnsi="Arial"/>
          <w:sz w:val="17"/>
          <w:szCs w:val="17"/>
          <w:color w:val="auto"/>
        </w:rPr>
        <w:t>Our principal source of cash flow is derived from our indirect investment in PAA. As of December 31, 2024, we owned approximately 197.5 million AAP units, which represented an approximate 85%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2024, AAP owned approximately 232.9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 Liquidity and Capital Resources—Credit Agreements, Commercial Paper Program and Indentures.”</w:t>
      </w:r>
    </w:p>
    <w:p>
      <w:pPr>
        <w:spacing w:after="0" w:line="176" w:lineRule="exact"/>
        <w:rPr>
          <w:sz w:val="20"/>
          <w:szCs w:val="20"/>
          <w:color w:val="auto"/>
        </w:rPr>
      </w:pPr>
    </w:p>
    <w:p>
      <w:pPr>
        <w:ind w:right="580" w:firstLine="706"/>
        <w:spacing w:after="0" w:line="271" w:lineRule="auto"/>
        <w:rPr>
          <w:sz w:val="20"/>
          <w:szCs w:val="20"/>
          <w:color w:val="auto"/>
        </w:rPr>
      </w:pPr>
      <w:r>
        <w:rPr>
          <w:rFonts w:ascii="Arial" w:cs="Arial" w:eastAsia="Arial" w:hAnsi="Arial"/>
          <w:sz w:val="20"/>
          <w:szCs w:val="20"/>
          <w:color w:val="auto"/>
        </w:rPr>
        <w:t>Our general partner owns a non-economic general partner interest in us, which does not entitle it to receive cash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0"/>
          <w:szCs w:val="20"/>
          <w:b w:val="1"/>
          <w:bCs w:val="1"/>
          <w:i w:val="1"/>
          <w:iCs w:val="1"/>
          <w:color w:val="auto"/>
        </w:rPr>
        <w:t>Reserved</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48" w:lineRule="exact"/>
        <w:rPr>
          <w:sz w:val="20"/>
          <w:szCs w:val="20"/>
          <w:color w:val="auto"/>
        </w:rPr>
      </w:pPr>
    </w:p>
    <w:p>
      <w:pPr>
        <w:ind w:right="120" w:firstLine="706"/>
        <w:spacing w:after="0" w:line="254" w:lineRule="auto"/>
        <w:rPr>
          <w:sz w:val="20"/>
          <w:szCs w:val="20"/>
          <w:color w:val="auto"/>
        </w:rPr>
      </w:pPr>
      <w:r>
        <w:rPr>
          <w:rFonts w:ascii="Arial" w:cs="Arial" w:eastAsia="Arial" w:hAnsi="Arial"/>
          <w:sz w:val="20"/>
          <w:szCs w:val="20"/>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Our discussion and analysis includes the following:</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040"/>
          </w:cols>
          <w:pgMar w:left="920" w:top="582" w:right="920" w:bottom="0" w:gutter="0" w:footer="0" w:header="0"/>
          <w:type w:val="continuous"/>
        </w:sectPr>
      </w:pPr>
    </w:p>
    <w:bookmarkStart w:id="70" w:name="page71"/>
    <w:bookmarkEnd w:id="70"/>
    <w:p>
      <w:pPr>
        <w:ind w:left="1060" w:hanging="362"/>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Executive Summary</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Results of Operations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Liquidity and Capital Resources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Critical Accounting Policies and Estimates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40" w:lineRule="exact"/>
        <w:rPr>
          <w:sz w:val="20"/>
          <w:szCs w:val="20"/>
          <w:color w:val="auto"/>
        </w:rPr>
      </w:pPr>
    </w:p>
    <w:p>
      <w:pPr>
        <w:ind w:firstLine="706"/>
        <w:spacing w:after="0" w:line="325" w:lineRule="auto"/>
        <w:rPr>
          <w:sz w:val="20"/>
          <w:szCs w:val="20"/>
          <w:color w:val="auto"/>
        </w:rPr>
      </w:pPr>
      <w:r>
        <w:rPr>
          <w:rFonts w:ascii="Arial" w:cs="Arial" w:eastAsia="Arial" w:hAnsi="Arial"/>
          <w:sz w:val="17"/>
          <w:szCs w:val="17"/>
          <w:color w:val="auto"/>
        </w:rPr>
        <w:t>A comparative discussion of our 2023 to 2022 operating results and performance measures can be found in Item 7. “Management’s Discussion and Analysis of Financial Condition and Results of Operations—Results of Operations” included in our Annual Report on Form 10-K for the year ended December 31, 2023 filed with the SEC on February 29, 2024.</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Company Overview</w:t>
      </w:r>
    </w:p>
    <w:p>
      <w:pPr>
        <w:spacing w:after="0" w:line="248" w:lineRule="exact"/>
        <w:rPr>
          <w:sz w:val="20"/>
          <w:szCs w:val="20"/>
          <w:color w:val="auto"/>
        </w:rPr>
      </w:pPr>
    </w:p>
    <w:p>
      <w:pPr>
        <w:ind w:right="60" w:firstLine="706"/>
        <w:spacing w:after="0" w:line="299" w:lineRule="auto"/>
        <w:rPr>
          <w:sz w:val="20"/>
          <w:szCs w:val="20"/>
          <w:color w:val="auto"/>
        </w:rPr>
      </w:pPr>
      <w:r>
        <w:rPr>
          <w:rFonts w:ascii="Arial" w:cs="Arial" w:eastAsia="Arial" w:hAnsi="Arial"/>
          <w:sz w:val="17"/>
          <w:szCs w:val="17"/>
          <w:color w:val="auto"/>
        </w:rPr>
        <w:t>We are a Delaware limited partnership formed in 2013 that has elected to be taxed as a corporation for United States federal income tax purposes. As of December 31, 2024, our sole cash-generating assets consisted of an approximate 85% limited partner interest in AAP through our ownership of approximately 197.5 million AAP units. We also own a 100% managing member interest in GP LLC. GP LLC is a Delaware limited liability company that holds the non-economic general partner interest in AAP. AAP is a Delaware limited partnership that, as of December 31, 2024, directly owned a limited partner interest in PAA through its ownership of approximately 232.9 million PAA common units (approximately 30% of PAA’s total outstanding common units and Series A preferred units combined). AAP is the sole member of PAA GP, a Delaware limited liability company that directly holds the non-economic general partner interest in PAA.</w:t>
      </w:r>
    </w:p>
    <w:p>
      <w:pPr>
        <w:spacing w:after="0" w:line="169" w:lineRule="exact"/>
        <w:rPr>
          <w:sz w:val="20"/>
          <w:szCs w:val="20"/>
          <w:color w:val="auto"/>
        </w:rPr>
      </w:pPr>
    </w:p>
    <w:p>
      <w:pPr>
        <w:ind w:right="80" w:firstLine="706"/>
        <w:spacing w:after="0" w:line="266" w:lineRule="auto"/>
        <w:rPr>
          <w:sz w:val="20"/>
          <w:szCs w:val="20"/>
          <w:color w:val="auto"/>
        </w:rPr>
      </w:pPr>
      <w:r>
        <w:rPr>
          <w:rFonts w:ascii="Arial" w:cs="Arial" w:eastAsia="Arial" w:hAnsi="Arial"/>
          <w:sz w:val="19"/>
          <w:szCs w:val="19"/>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Overview and Outlook</w:t>
      </w:r>
    </w:p>
    <w:p>
      <w:pPr>
        <w:spacing w:after="0" w:line="248" w:lineRule="exact"/>
        <w:rPr>
          <w:sz w:val="20"/>
          <w:szCs w:val="20"/>
          <w:color w:val="auto"/>
        </w:rPr>
      </w:pPr>
    </w:p>
    <w:p>
      <w:pPr>
        <w:ind w:right="220" w:firstLine="706"/>
        <w:spacing w:after="0" w:line="251" w:lineRule="auto"/>
        <w:rPr>
          <w:sz w:val="20"/>
          <w:szCs w:val="20"/>
          <w:color w:val="auto"/>
        </w:rPr>
      </w:pPr>
      <w:r>
        <w:rPr>
          <w:rFonts w:ascii="Arial" w:cs="Arial" w:eastAsia="Arial" w:hAnsi="Arial"/>
          <w:sz w:val="20"/>
          <w:szCs w:val="20"/>
          <w:color w:val="auto"/>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2020 and the U.S. Energy Information Administration’s (“EIA”) Short-Term Energy Outlook as of January 2025:</w:t>
      </w:r>
    </w:p>
    <w:p>
      <w:pPr>
        <w:sectPr>
          <w:pgSz w:w="11880" w:h="15480" w:orient="portrait"/>
          <w:cols w:equalWidth="0" w:num="1">
            <w:col w:w="10020"/>
          </w:cols>
          <w:pgMar w:left="920" w:top="58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020"/>
          </w:cols>
          <w:pgMar w:left="920" w:top="582" w:right="940" w:bottom="0" w:gutter="0" w:footer="0" w:header="0"/>
          <w:type w:val="continuous"/>
        </w:sectPr>
      </w:pPr>
    </w:p>
    <w:bookmarkStart w:id="71" w:name="page72"/>
    <w:bookmarkEnd w:id="71"/>
    <w:p>
      <w:pPr>
        <w:jc w:val="center"/>
        <w:ind w:right="-6"/>
        <w:spacing w:after="0"/>
        <w:rPr>
          <w:sz w:val="20"/>
          <w:szCs w:val="20"/>
          <w:color w:val="auto"/>
        </w:rPr>
      </w:pPr>
      <w:r>
        <w:rPr>
          <w:rFonts w:ascii="Arial" w:cs="Arial" w:eastAsia="Arial" w:hAnsi="Arial"/>
          <w:sz w:val="20"/>
          <w:szCs w:val="20"/>
          <w:b w:val="1"/>
          <w:bCs w:val="1"/>
          <w:color w:val="auto"/>
        </w:rPr>
        <w:t xml:space="preserve">World Liquid Fuels Production and Consumption Balance </w:t>
      </w:r>
      <w:r>
        <w:rPr>
          <w:rFonts w:ascii="Arial" w:cs="Arial" w:eastAsia="Arial" w:hAnsi="Arial"/>
          <w:sz w:val="25"/>
          <w:szCs w:val="25"/>
          <w:b w:val="1"/>
          <w:bCs w:val="1"/>
          <w:color w:val="auto"/>
          <w:vertAlign w:val="superscript"/>
        </w:rPr>
        <w:t>(1)</w:t>
      </w:r>
    </w:p>
    <w:p>
      <w:pPr>
        <w:jc w:val="center"/>
        <w:ind w:right="-6"/>
        <w:spacing w:after="0"/>
        <w:rPr>
          <w:sz w:val="20"/>
          <w:szCs w:val="20"/>
          <w:color w:val="auto"/>
        </w:rPr>
      </w:pPr>
      <w:r>
        <w:rPr>
          <w:rFonts w:ascii="Arial" w:cs="Arial" w:eastAsia="Arial" w:hAnsi="Arial"/>
          <w:sz w:val="20"/>
          <w:szCs w:val="20"/>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6384925" cy="3441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6384925" cy="344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07" w:hanging="707"/>
        <w:spacing w:after="0"/>
        <w:tabs>
          <w:tab w:leader="none" w:pos="707" w:val="left"/>
        </w:tabs>
        <w:numPr>
          <w:ilvl w:val="0"/>
          <w:numId w:val="40"/>
        </w:numPr>
        <w:rPr>
          <w:rFonts w:ascii="Arial" w:cs="Arial" w:eastAsia="Arial" w:hAnsi="Arial"/>
          <w:sz w:val="25"/>
          <w:szCs w:val="25"/>
          <w:color w:val="auto"/>
          <w:vertAlign w:val="superscript"/>
        </w:rPr>
      </w:pPr>
      <w:r>
        <w:rPr>
          <w:rFonts w:ascii="Arial" w:cs="Arial" w:eastAsia="Arial" w:hAnsi="Arial"/>
          <w:sz w:val="20"/>
          <w:szCs w:val="20"/>
          <w:color w:val="auto"/>
        </w:rPr>
        <w:t>Barrels produced and consumed per quarter.</w:t>
      </w:r>
    </w:p>
    <w:p>
      <w:pPr>
        <w:spacing w:after="0" w:line="216" w:lineRule="exact"/>
        <w:rPr>
          <w:sz w:val="20"/>
          <w:szCs w:val="20"/>
          <w:color w:val="auto"/>
        </w:rPr>
      </w:pPr>
    </w:p>
    <w:p>
      <w:pPr>
        <w:ind w:left="7" w:right="280" w:firstLine="706"/>
        <w:spacing w:after="0" w:line="312" w:lineRule="auto"/>
        <w:rPr>
          <w:sz w:val="20"/>
          <w:szCs w:val="20"/>
          <w:color w:val="auto"/>
        </w:rPr>
      </w:pPr>
      <w:r>
        <w:rPr>
          <w:rFonts w:ascii="Arial" w:cs="Arial" w:eastAsia="Arial" w:hAnsi="Arial"/>
          <w:sz w:val="17"/>
          <w:szCs w:val="17"/>
          <w:color w:val="auto"/>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spacing w:after="0" w:line="160" w:lineRule="exact"/>
        <w:rPr>
          <w:sz w:val="20"/>
          <w:szCs w:val="20"/>
          <w:color w:val="auto"/>
        </w:rPr>
      </w:pPr>
    </w:p>
    <w:p>
      <w:pPr>
        <w:ind w:left="7" w:right="60" w:firstLine="706"/>
        <w:spacing w:after="0" w:line="254" w:lineRule="auto"/>
        <w:rPr>
          <w:sz w:val="20"/>
          <w:szCs w:val="20"/>
          <w:color w:val="auto"/>
        </w:rPr>
      </w:pPr>
      <w:r>
        <w:rPr>
          <w:rFonts w:ascii="Arial" w:cs="Arial" w:eastAsia="Arial" w:hAnsi="Arial"/>
          <w:sz w:val="20"/>
          <w:szCs w:val="20"/>
          <w:color w:val="auto"/>
        </w:rPr>
        <w:t>Consistent with the forecast from the EIA’s Short-Term Energy Outlook (as depicted in the chart above), we expect crude oil demand to continue to increase, driven largely by our view that hydrocarbon-based fuels are the most efficient fuels for the transportation of people and goods, and hydrocarbon-based products provide the building blocks for modern civilization such as fertilizers, plastics and cement.</w:t>
      </w:r>
    </w:p>
    <w:p>
      <w:pPr>
        <w:spacing w:after="0" w:line="202" w:lineRule="exact"/>
        <w:rPr>
          <w:sz w:val="20"/>
          <w:szCs w:val="20"/>
          <w:color w:val="auto"/>
        </w:rPr>
      </w:pPr>
    </w:p>
    <w:p>
      <w:pPr>
        <w:jc w:val="both"/>
        <w:ind w:left="7" w:firstLine="706"/>
        <w:spacing w:after="0" w:line="325" w:lineRule="auto"/>
        <w:rPr>
          <w:sz w:val="20"/>
          <w:szCs w:val="20"/>
          <w:color w:val="auto"/>
        </w:rPr>
      </w:pPr>
      <w:r>
        <w:rPr>
          <w:rFonts w:ascii="Arial" w:cs="Arial" w:eastAsia="Arial" w:hAnsi="Arial"/>
          <w:sz w:val="17"/>
          <w:szCs w:val="17"/>
          <w:color w:val="auto"/>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spacing w:after="0" w:line="147" w:lineRule="exact"/>
        <w:rPr>
          <w:sz w:val="20"/>
          <w:szCs w:val="20"/>
          <w:color w:val="auto"/>
        </w:rPr>
      </w:pPr>
    </w:p>
    <w:p>
      <w:pPr>
        <w:ind w:left="7" w:right="40" w:firstLine="706"/>
        <w:spacing w:after="0" w:line="254" w:lineRule="auto"/>
        <w:rPr>
          <w:sz w:val="20"/>
          <w:szCs w:val="20"/>
          <w:color w:val="auto"/>
        </w:rPr>
      </w:pPr>
      <w:r>
        <w:rPr>
          <w:rFonts w:ascii="Arial" w:cs="Arial" w:eastAsia="Arial" w:hAnsi="Arial"/>
          <w:sz w:val="20"/>
          <w:szCs w:val="20"/>
          <w:color w:val="auto"/>
        </w:rPr>
        <w:t>The Permian Basin continues to be one of the most prolific basins in the world and was the predominant driver of U.S. production growth in 2024. We expect the Permian Basin to be a key contributor to global supply for years to come, based on strong economics and the recent wave of consolidation leading to more stable activity levels over a wide range of commodity price environments.</w:t>
      </w:r>
    </w:p>
    <w:p>
      <w:pPr>
        <w:spacing w:after="0" w:line="202" w:lineRule="exact"/>
        <w:rPr>
          <w:sz w:val="20"/>
          <w:szCs w:val="20"/>
          <w:color w:val="auto"/>
        </w:rPr>
      </w:pPr>
    </w:p>
    <w:p>
      <w:pPr>
        <w:ind w:left="7" w:right="80" w:firstLine="706"/>
        <w:spacing w:after="0" w:line="306" w:lineRule="auto"/>
        <w:rPr>
          <w:sz w:val="20"/>
          <w:szCs w:val="20"/>
          <w:color w:val="auto"/>
        </w:rPr>
      </w:pPr>
      <w:r>
        <w:rPr>
          <w:rFonts w:ascii="Arial" w:cs="Arial" w:eastAsia="Arial" w:hAnsi="Arial"/>
          <w:sz w:val="17"/>
          <w:szCs w:val="17"/>
          <w:color w:val="auto"/>
        </w:rPr>
        <w:t>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Overview of Operating Results</w:t>
      </w:r>
    </w:p>
    <w:p>
      <w:pPr>
        <w:spacing w:after="0" w:line="248" w:lineRule="exact"/>
        <w:rPr>
          <w:sz w:val="20"/>
          <w:szCs w:val="20"/>
          <w:color w:val="auto"/>
        </w:rPr>
      </w:pPr>
    </w:p>
    <w:p>
      <w:pPr>
        <w:ind w:left="7" w:right="100" w:firstLine="706"/>
        <w:spacing w:after="0" w:line="271" w:lineRule="auto"/>
        <w:rPr>
          <w:sz w:val="20"/>
          <w:szCs w:val="20"/>
          <w:color w:val="auto"/>
        </w:rPr>
      </w:pPr>
      <w:r>
        <w:rPr>
          <w:rFonts w:ascii="Arial" w:cs="Arial" w:eastAsia="Arial" w:hAnsi="Arial"/>
          <w:sz w:val="20"/>
          <w:szCs w:val="20"/>
          <w:color w:val="auto"/>
        </w:rPr>
        <w:t>We recognized net income of $1.070 billion for the year ended December 31, 2024 compared to net income of $1.425 billion for the year ended December 31, 2023.</w:t>
      </w:r>
    </w:p>
    <w:p>
      <w:pPr>
        <w:sectPr>
          <w:pgSz w:w="11880" w:h="15480" w:orient="portrait"/>
          <w:cols w:equalWidth="0" w:num="1">
            <w:col w:w="10047"/>
          </w:cols>
          <w:pgMar w:left="913" w:top="549" w:right="92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047"/>
          </w:cols>
          <w:pgMar w:left="913" w:top="549" w:right="920" w:bottom="0" w:gutter="0" w:footer="0" w:header="0"/>
          <w:type w:val="continuous"/>
        </w:sectPr>
      </w:pPr>
    </w:p>
    <w:bookmarkStart w:id="72" w:name="page73"/>
    <w:bookmarkEnd w:id="72"/>
    <w:p>
      <w:pPr>
        <w:ind w:left="7" w:firstLine="706"/>
        <w:spacing w:after="0" w:line="299" w:lineRule="auto"/>
        <w:rPr>
          <w:sz w:val="20"/>
          <w:szCs w:val="20"/>
          <w:color w:val="auto"/>
        </w:rPr>
      </w:pPr>
      <w:r>
        <w:rPr>
          <w:rFonts w:ascii="Arial" w:cs="Arial" w:eastAsia="Arial" w:hAnsi="Arial"/>
          <w:sz w:val="17"/>
          <w:szCs w:val="17"/>
          <w:color w:val="auto"/>
        </w:rPr>
        <w:t>The decrease in net income was largely driven by higher costs in the 2024 period associated with the Line 901 incident that occurred in May 2015 (including $225 million related to the write-off of a receivable for insurance proceeds in the fourth quarter of 2024 and $120 million related to settlements in the third quarter of 2024), losses on asset sales, asset impairments and other related items (as compared to gains from such items in the 2023 period), and higher income tax expense largely associated with Canadian withholding tax. In addition, net income for the 2023 period included the favorable impact of gains from the mark-to-market adjustment of the Preferred Distribution Rate Reset Option. However, our Segment Adjusted EBITDA increased in 2024 compared to 2023 due to more favorable results from our Crude Oil segment, partially offset by lower contributions from our NGL segment. See the “—Results of Operations” section below for further discussion.</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Results of Operations</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Consolidated Results</w:t>
      </w:r>
    </w:p>
    <w:p>
      <w:pPr>
        <w:spacing w:after="0" w:line="248" w:lineRule="exact"/>
        <w:rPr>
          <w:sz w:val="20"/>
          <w:szCs w:val="20"/>
          <w:color w:val="auto"/>
        </w:rPr>
      </w:pPr>
    </w:p>
    <w:p>
      <w:pPr>
        <w:ind w:left="7" w:right="200" w:firstLine="706"/>
        <w:spacing w:after="0" w:line="271" w:lineRule="auto"/>
        <w:rPr>
          <w:sz w:val="20"/>
          <w:szCs w:val="20"/>
          <w:color w:val="auto"/>
        </w:rPr>
      </w:pPr>
      <w:r>
        <w:rPr>
          <w:rFonts w:ascii="Arial" w:cs="Arial" w:eastAsia="Arial" w:hAnsi="Arial"/>
          <w:sz w:val="20"/>
          <w:szCs w:val="20"/>
          <w:color w:val="auto"/>
        </w:rPr>
        <w:t>The following table sets forth an overview of our consolidated financial results calculated in accordance with GAAP (in millions, except per share data):</w:t>
      </w:r>
    </w:p>
    <w:p>
      <w:pPr>
        <w:spacing w:after="0" w:line="274" w:lineRule="exact"/>
        <w:rPr>
          <w:sz w:val="20"/>
          <w:szCs w:val="20"/>
          <w:color w:val="auto"/>
        </w:rPr>
      </w:pPr>
    </w:p>
    <w:tbl>
      <w:tblPr>
        <w:tblLayout w:type="fixed"/>
        <w:tblInd w:w="87"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ind w:left="500"/>
              <w:spacing w:after="0"/>
              <w:rPr>
                <w:sz w:val="20"/>
                <w:szCs w:val="20"/>
                <w:color w:val="auto"/>
              </w:rPr>
            </w:pPr>
            <w:r>
              <w:rPr>
                <w:rFonts w:ascii="Arial" w:cs="Arial" w:eastAsia="Arial" w:hAnsi="Arial"/>
                <w:sz w:val="16"/>
                <w:szCs w:val="16"/>
                <w:b w:val="1"/>
                <w:bCs w:val="1"/>
                <w:color w:val="auto"/>
              </w:rPr>
              <w:t>Variance</w:t>
            </w:r>
          </w:p>
        </w:tc>
        <w:tc>
          <w:tcPr>
            <w:tcW w:w="720" w:type="dxa"/>
            <w:vAlign w:val="bottom"/>
          </w:tcPr>
          <w:p>
            <w:pPr>
              <w:spacing w:after="0"/>
              <w:rPr>
                <w:sz w:val="18"/>
                <w:szCs w:val="18"/>
                <w:color w:val="auto"/>
              </w:rPr>
            </w:pPr>
          </w:p>
        </w:tc>
      </w:tr>
      <w:tr>
        <w:trPr>
          <w:trHeight w:val="230"/>
        </w:trPr>
        <w:tc>
          <w:tcPr>
            <w:tcW w:w="5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w:t>
            </w:r>
          </w:p>
        </w:tc>
      </w:tr>
      <w:tr>
        <w:trPr>
          <w:trHeight w:val="270"/>
        </w:trPr>
        <w:tc>
          <w:tcPr>
            <w:tcW w:w="5340" w:type="dxa"/>
            <w:vAlign w:val="bottom"/>
          </w:tcPr>
          <w:p>
            <w:pPr>
              <w:spacing w:after="0"/>
              <w:rPr>
                <w:sz w:val="20"/>
                <w:szCs w:val="20"/>
                <w:color w:val="auto"/>
              </w:rPr>
            </w:pPr>
            <w:r>
              <w:rPr>
                <w:rFonts w:ascii="Arial" w:cs="Arial" w:eastAsia="Arial" w:hAnsi="Arial"/>
                <w:sz w:val="20"/>
                <w:szCs w:val="20"/>
                <w:color w:val="auto"/>
              </w:rPr>
              <w:t>Product sales revenues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48,254</w:t>
            </w:r>
          </w:p>
        </w:tc>
        <w:tc>
          <w:tcPr>
            <w:tcW w:w="34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46,974</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1,280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3 %</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Services revenues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1,738</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5 %</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Purchases and related costs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(45,560)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(44,531)</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(1,029)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Field operating costs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(1,425)</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(343)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General and administrative expenses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(356)</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(1,051)</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2 %</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w w:val="94"/>
              </w:rPr>
              <w:t>Gains/(losses) on asset sales, asset impairments and other,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152</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(205)%</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Equity earnings in unconsolidated entities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369</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22 %</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Gain on investments in unconsolidated entities,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28</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Interest expense,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(386)</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1 %</w:t>
            </w:r>
          </w:p>
        </w:tc>
      </w:tr>
      <w:tr>
        <w:trPr>
          <w:trHeight w:val="294"/>
        </w:trPr>
        <w:tc>
          <w:tcPr>
            <w:tcW w:w="5340" w:type="dxa"/>
            <w:vAlign w:val="bottom"/>
          </w:tcPr>
          <w:p>
            <w:pPr>
              <w:spacing w:after="0"/>
              <w:rPr>
                <w:sz w:val="20"/>
                <w:szCs w:val="20"/>
                <w:color w:val="auto"/>
              </w:rPr>
            </w:pPr>
            <w:r>
              <w:rPr>
                <w:rFonts w:ascii="Arial" w:cs="Arial" w:eastAsia="Arial" w:hAnsi="Arial"/>
                <w:sz w:val="20"/>
                <w:szCs w:val="20"/>
                <w:color w:val="auto"/>
              </w:rPr>
              <w:t>Other income, net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102</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98"/>
        </w:trPr>
        <w:tc>
          <w:tcPr>
            <w:tcW w:w="5340" w:type="dxa"/>
            <w:vAlign w:val="bottom"/>
          </w:tcPr>
          <w:p>
            <w:pPr>
              <w:spacing w:after="0"/>
              <w:rPr>
                <w:sz w:val="20"/>
                <w:szCs w:val="20"/>
                <w:color w:val="auto"/>
              </w:rPr>
            </w:pPr>
            <w:r>
              <w:rPr>
                <w:rFonts w:ascii="Arial" w:cs="Arial" w:eastAsia="Arial" w:hAnsi="Arial"/>
                <w:sz w:val="20"/>
                <w:szCs w:val="20"/>
                <w:color w:val="auto"/>
              </w:rPr>
              <w:t>Income tax expense</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r>
      <w:tr>
        <w:trPr>
          <w:trHeight w:val="270"/>
        </w:trPr>
        <w:tc>
          <w:tcPr>
            <w:tcW w:w="5340" w:type="dxa"/>
            <w:vAlign w:val="bottom"/>
          </w:tcPr>
          <w:p>
            <w:pPr>
              <w:spacing w:after="0"/>
              <w:rPr>
                <w:sz w:val="20"/>
                <w:szCs w:val="20"/>
                <w:color w:val="auto"/>
              </w:rPr>
            </w:pPr>
            <w:r>
              <w:rPr>
                <w:rFonts w:ascii="Arial" w:cs="Arial" w:eastAsia="Arial" w:hAnsi="Arial"/>
                <w:sz w:val="20"/>
                <w:szCs w:val="20"/>
                <w:color w:val="auto"/>
              </w:rPr>
              <w:t>Net income</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1,070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1,425</w:t>
            </w:r>
          </w:p>
        </w:tc>
        <w:tc>
          <w:tcPr>
            <w:tcW w:w="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(355)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98"/>
        </w:trPr>
        <w:tc>
          <w:tcPr>
            <w:tcW w:w="5340" w:type="dxa"/>
            <w:vAlign w:val="bottom"/>
          </w:tcPr>
          <w:p>
            <w:pPr>
              <w:ind w:left="120"/>
              <w:spacing w:after="0"/>
              <w:rPr>
                <w:sz w:val="20"/>
                <w:szCs w:val="20"/>
                <w:color w:val="auto"/>
              </w:rPr>
            </w:pPr>
            <w:r>
              <w:rPr>
                <w:rFonts w:ascii="Arial" w:cs="Arial" w:eastAsia="Arial" w:hAnsi="Arial"/>
                <w:sz w:val="20"/>
                <w:szCs w:val="20"/>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(1,227)</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21 %</w:t>
            </w:r>
          </w:p>
        </w:tc>
      </w:tr>
      <w:tr>
        <w:trPr>
          <w:trHeight w:val="254"/>
        </w:trPr>
        <w:tc>
          <w:tcPr>
            <w:tcW w:w="5340" w:type="dxa"/>
            <w:vAlign w:val="bottom"/>
          </w:tcPr>
          <w:p>
            <w:pPr>
              <w:spacing w:after="0"/>
              <w:rPr>
                <w:sz w:val="20"/>
                <w:szCs w:val="20"/>
                <w:color w:val="auto"/>
              </w:rPr>
            </w:pPr>
            <w:r>
              <w:rPr>
                <w:rFonts w:ascii="Arial" w:cs="Arial" w:eastAsia="Arial" w:hAnsi="Arial"/>
                <w:sz w:val="20"/>
                <w:szCs w:val="20"/>
                <w:color w:val="auto"/>
              </w:rPr>
              <w:t>Net income attributable to PAGP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w:t>
            </w:r>
          </w:p>
        </w:tc>
        <w:tc>
          <w:tcPr>
            <w:tcW w:w="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w:t>
            </w: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44"/>
        </w:trPr>
        <w:tc>
          <w:tcPr>
            <w:tcW w:w="5340" w:type="dxa"/>
            <w:vAlign w:val="bottom"/>
          </w:tcPr>
          <w:p>
            <w:pPr>
              <w:spacing w:after="0"/>
              <w:rPr>
                <w:sz w:val="20"/>
                <w:szCs w:val="20"/>
                <w:color w:val="auto"/>
              </w:rPr>
            </w:pPr>
            <w:r>
              <w:rPr>
                <w:rFonts w:ascii="Arial" w:cs="Arial" w:eastAsia="Arial" w:hAnsi="Arial"/>
                <w:sz w:val="20"/>
                <w:szCs w:val="20"/>
                <w:color w:val="auto"/>
              </w:rPr>
              <w:t>Basic and diluted net income per Class A share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0.52</w:t>
            </w:r>
          </w:p>
        </w:tc>
        <w:tc>
          <w:tcPr>
            <w:tcW w:w="34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1.01</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(0.49)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8"/>
        </w:trPr>
        <w:tc>
          <w:tcPr>
            <w:tcW w:w="5340" w:type="dxa"/>
            <w:vAlign w:val="bottom"/>
          </w:tcPr>
          <w:p>
            <w:pPr>
              <w:spacing w:after="0"/>
              <w:rPr>
                <w:sz w:val="20"/>
                <w:szCs w:val="20"/>
                <w:color w:val="auto"/>
              </w:rPr>
            </w:pPr>
            <w:r>
              <w:rPr>
                <w:rFonts w:ascii="Arial" w:cs="Arial" w:eastAsia="Arial" w:hAnsi="Arial"/>
                <w:sz w:val="20"/>
                <w:szCs w:val="20"/>
                <w:color w:val="auto"/>
                <w:w w:val="94"/>
              </w:rPr>
              <w:t>Basic and diluted weighted average Class A shares outstanding</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195</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4904740</wp:posOffset>
                </wp:positionH>
                <wp:positionV relativeFrom="paragraph">
                  <wp:posOffset>-3359785</wp:posOffset>
                </wp:positionV>
                <wp:extent cx="0" cy="335978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59785"/>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2pt,-264.5499pt" to="386.2pt,0pt" o:allowincell="f" strokecolor="#000000" strokeweight="0pt"/>
            </w:pict>
          </mc:Fallback>
        </mc:AlternateContent>
        <w:drawing>
          <wp:anchor simplePos="0" relativeHeight="251657728" behindDoc="1" locked="0" layoutInCell="0" allowOverlap="1">
            <wp:simplePos x="0" y="0"/>
            <wp:positionH relativeFrom="column">
              <wp:posOffset>0</wp:posOffset>
            </wp:positionH>
            <wp:positionV relativeFrom="paragraph">
              <wp:posOffset>-3372485</wp:posOffset>
            </wp:positionV>
            <wp:extent cx="6374130" cy="3488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6374130" cy="3488055"/>
                    </a:xfrm>
                    <a:prstGeom prst="rect">
                      <a:avLst/>
                    </a:prstGeom>
                    <a:noFill/>
                  </pic:spPr>
                </pic:pic>
              </a:graphicData>
            </a:graphic>
          </wp:anchor>
        </w:drawing>
      </w:r>
    </w:p>
    <w:p>
      <w:pPr>
        <w:spacing w:after="0" w:line="189" w:lineRule="exact"/>
        <w:rPr>
          <w:sz w:val="20"/>
          <w:szCs w:val="20"/>
          <w:color w:val="auto"/>
        </w:rPr>
      </w:pPr>
    </w:p>
    <w:p>
      <w:pPr>
        <w:ind w:left="707" w:hanging="707"/>
        <w:spacing w:after="0"/>
        <w:tabs>
          <w:tab w:leader="none" w:pos="70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Indicates that variance as a percentage is not meaningful.</w:t>
      </w:r>
    </w:p>
    <w:p>
      <w:pPr>
        <w:spacing w:after="0" w:line="233" w:lineRule="exact"/>
        <w:rPr>
          <w:rFonts w:ascii="Arial" w:cs="Arial" w:eastAsia="Arial" w:hAnsi="Arial"/>
          <w:sz w:val="20"/>
          <w:szCs w:val="20"/>
          <w:color w:val="auto"/>
        </w:rPr>
      </w:pPr>
    </w:p>
    <w:p>
      <w:pPr>
        <w:ind w:left="707"/>
        <w:spacing w:after="0"/>
        <w:rPr>
          <w:rFonts w:ascii="Arial" w:cs="Arial" w:eastAsia="Arial" w:hAnsi="Arial"/>
          <w:sz w:val="20"/>
          <w:szCs w:val="20"/>
          <w:color w:val="auto"/>
        </w:rPr>
      </w:pPr>
      <w:r>
        <w:rPr>
          <w:rFonts w:ascii="Arial" w:cs="Arial" w:eastAsia="Arial" w:hAnsi="Arial"/>
          <w:sz w:val="20"/>
          <w:szCs w:val="20"/>
          <w:b w:val="1"/>
          <w:bCs w:val="1"/>
          <w:color w:val="auto"/>
        </w:rPr>
        <w:t>Revenues and Purchases</w:t>
      </w:r>
    </w:p>
    <w:p>
      <w:pPr>
        <w:spacing w:after="0" w:line="232" w:lineRule="exact"/>
        <w:rPr>
          <w:sz w:val="20"/>
          <w:szCs w:val="20"/>
          <w:color w:val="auto"/>
        </w:rPr>
      </w:pPr>
    </w:p>
    <w:p>
      <w:pPr>
        <w:ind w:left="7" w:right="160" w:firstLine="706"/>
        <w:spacing w:after="0" w:line="268" w:lineRule="auto"/>
        <w:rPr>
          <w:sz w:val="20"/>
          <w:szCs w:val="20"/>
          <w:color w:val="auto"/>
        </w:rPr>
      </w:pPr>
      <w:r>
        <w:rPr>
          <w:rFonts w:ascii="Arial" w:cs="Arial" w:eastAsia="Arial" w:hAnsi="Arial"/>
          <w:sz w:val="19"/>
          <w:szCs w:val="19"/>
          <w:color w:val="auto"/>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ectPr>
          <w:pgSz w:w="11880" w:h="15480" w:orient="portrait"/>
          <w:cols w:equalWidth="0" w:num="1">
            <w:col w:w="10047"/>
          </w:cols>
          <w:pgMar w:left="913"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047"/>
          </w:cols>
          <w:pgMar w:left="913" w:top="582" w:right="920" w:bottom="0" w:gutter="0" w:footer="0" w:header="0"/>
          <w:type w:val="continuous"/>
        </w:sectPr>
      </w:pPr>
    </w:p>
    <w:bookmarkStart w:id="73" w:name="page74"/>
    <w:bookmarkEnd w:id="73"/>
    <w:p>
      <w:pPr>
        <w:ind w:right="280" w:firstLine="706"/>
        <w:spacing w:after="0" w:line="278" w:lineRule="auto"/>
        <w:rPr>
          <w:sz w:val="20"/>
          <w:szCs w:val="20"/>
          <w:color w:val="auto"/>
        </w:rPr>
      </w:pPr>
      <w:r>
        <w:rPr>
          <w:rFonts w:ascii="Arial" w:cs="Arial" w:eastAsia="Arial" w:hAnsi="Arial"/>
          <w:sz w:val="19"/>
          <w:szCs w:val="19"/>
          <w:color w:val="auto"/>
        </w:rPr>
        <w:t>A majority of our crude oil sales and purchases are indexed to the prompt month price of the NYMEX Light, Sweet crude oil futures contract (“NYMEX Price”) and our NGL sales are indexed to Mont Belvieu prices. The following table presents the range of the NYMEX Price over the last two years (in dollars per barrel):</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NYMEX Price</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30"/>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During the Year Ended December 31,</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High</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w w:val="91"/>
              </w:rPr>
              <w:t>Average</w:t>
            </w:r>
          </w:p>
        </w:tc>
      </w:tr>
      <w:tr>
        <w:trPr>
          <w:trHeight w:val="270"/>
        </w:trPr>
        <w:tc>
          <w:tcPr>
            <w:tcW w:w="6620" w:type="dxa"/>
            <w:vAlign w:val="bottom"/>
          </w:tcPr>
          <w:p>
            <w:pPr>
              <w:ind w:left="40"/>
              <w:spacing w:after="0"/>
              <w:rPr>
                <w:sz w:val="20"/>
                <w:szCs w:val="20"/>
                <w:color w:val="auto"/>
              </w:rPr>
            </w:pPr>
            <w:r>
              <w:rPr>
                <w:rFonts w:ascii="Arial" w:cs="Arial" w:eastAsia="Arial" w:hAnsi="Arial"/>
                <w:sz w:val="20"/>
                <w:szCs w:val="20"/>
                <w:color w:val="auto"/>
              </w:rPr>
              <w:t>2024</w:t>
            </w:r>
          </w:p>
        </w:tc>
        <w:tc>
          <w:tcPr>
            <w:tcW w:w="80" w:type="dxa"/>
            <w:vAlign w:val="bottom"/>
          </w:tcPr>
          <w:p>
            <w:pPr>
              <w:spacing w:after="0"/>
              <w:rPr>
                <w:sz w:val="23"/>
                <w:szCs w:val="23"/>
                <w:color w:val="auto"/>
              </w:rPr>
            </w:pPr>
          </w:p>
        </w:tc>
        <w:tc>
          <w:tcPr>
            <w:tcW w:w="740" w:type="dxa"/>
            <w:vAlign w:val="bottom"/>
          </w:tcPr>
          <w:p>
            <w:pPr>
              <w:jc w:val="right"/>
              <w:ind w:right="509"/>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66</w:t>
            </w:r>
          </w:p>
        </w:tc>
        <w:tc>
          <w:tcPr>
            <w:tcW w:w="34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87</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94"/>
        </w:trPr>
        <w:tc>
          <w:tcPr>
            <w:tcW w:w="6620" w:type="dxa"/>
            <w:vAlign w:val="bottom"/>
          </w:tcPr>
          <w:p>
            <w:pPr>
              <w:ind w:left="40"/>
              <w:spacing w:after="0"/>
              <w:rPr>
                <w:sz w:val="20"/>
                <w:szCs w:val="20"/>
                <w:color w:val="auto"/>
              </w:rPr>
            </w:pPr>
            <w:r>
              <w:rPr>
                <w:rFonts w:ascii="Arial" w:cs="Arial" w:eastAsia="Arial" w:hAnsi="Arial"/>
                <w:sz w:val="20"/>
                <w:szCs w:val="20"/>
                <w:color w:val="auto"/>
              </w:rPr>
              <w:t>2023</w:t>
            </w:r>
          </w:p>
        </w:tc>
        <w:tc>
          <w:tcPr>
            <w:tcW w:w="80" w:type="dxa"/>
            <w:vAlign w:val="bottom"/>
          </w:tcPr>
          <w:p>
            <w:pPr>
              <w:spacing w:after="0"/>
              <w:rPr>
                <w:sz w:val="24"/>
                <w:szCs w:val="24"/>
                <w:color w:val="auto"/>
              </w:rPr>
            </w:pPr>
          </w:p>
        </w:tc>
        <w:tc>
          <w:tcPr>
            <w:tcW w:w="740" w:type="dxa"/>
            <w:vAlign w:val="bottom"/>
          </w:tcPr>
          <w:p>
            <w:pPr>
              <w:jc w:val="right"/>
              <w:ind w:right="509"/>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67</w:t>
            </w:r>
          </w:p>
        </w:tc>
        <w:tc>
          <w:tcPr>
            <w:tcW w:w="34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94</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-376555</wp:posOffset>
            </wp:positionV>
            <wp:extent cx="6410325" cy="398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6410325" cy="398780"/>
                    </a:xfrm>
                    <a:prstGeom prst="rect">
                      <a:avLst/>
                    </a:prstGeom>
                    <a:noFill/>
                  </pic:spPr>
                </pic:pic>
              </a:graphicData>
            </a:graphic>
          </wp:anchor>
        </w:drawing>
      </w:r>
    </w:p>
    <w:p>
      <w:pPr>
        <w:spacing w:after="0" w:line="266" w:lineRule="exact"/>
        <w:rPr>
          <w:sz w:val="20"/>
          <w:szCs w:val="20"/>
          <w:color w:val="auto"/>
        </w:rPr>
      </w:pPr>
    </w:p>
    <w:p>
      <w:pPr>
        <w:ind w:right="340" w:firstLine="706"/>
        <w:spacing w:after="0" w:line="254" w:lineRule="auto"/>
        <w:rPr>
          <w:sz w:val="20"/>
          <w:szCs w:val="20"/>
          <w:color w:val="auto"/>
        </w:rPr>
      </w:pPr>
      <w:r>
        <w:rPr>
          <w:rFonts w:ascii="Arial" w:cs="Arial" w:eastAsia="Arial" w:hAnsi="Arial"/>
          <w:sz w:val="20"/>
          <w:szCs w:val="20"/>
          <w:color w:val="auto"/>
        </w:rPr>
        <w:t>Product sales revenues and purchases increased for the year ended December 31, 2024 compared to the year ended December 31, 2023 primarily due to higher crude oil sales volumes.</w:t>
      </w:r>
    </w:p>
    <w:p>
      <w:pPr>
        <w:spacing w:after="0" w:line="172" w:lineRule="exact"/>
        <w:rPr>
          <w:sz w:val="20"/>
          <w:szCs w:val="20"/>
          <w:color w:val="auto"/>
        </w:rPr>
      </w:pPr>
    </w:p>
    <w:p>
      <w:pPr>
        <w:ind w:right="260" w:firstLine="706"/>
        <w:spacing w:after="0" w:line="342" w:lineRule="auto"/>
        <w:rPr>
          <w:sz w:val="20"/>
          <w:szCs w:val="20"/>
          <w:color w:val="auto"/>
        </w:rPr>
      </w:pPr>
      <w:r>
        <w:rPr>
          <w:rFonts w:ascii="Arial" w:cs="Arial" w:eastAsia="Arial" w:hAnsi="Arial"/>
          <w:sz w:val="17"/>
          <w:szCs w:val="17"/>
          <w:color w:val="auto"/>
        </w:rPr>
        <w:t>Revenues from services increased for the year ended December 31, 2024 compared to the year ended December 31, 2023 primarily due to higher pipeline volumes and tariff escalations, as well as the impact of acquisitions.</w:t>
      </w:r>
    </w:p>
    <w:p>
      <w:pPr>
        <w:spacing w:after="0" w:line="117" w:lineRule="exact"/>
        <w:rPr>
          <w:sz w:val="20"/>
          <w:szCs w:val="20"/>
          <w:color w:val="auto"/>
        </w:rPr>
      </w:pPr>
    </w:p>
    <w:p>
      <w:pPr>
        <w:ind w:right="420" w:firstLine="706"/>
        <w:spacing w:after="0" w:line="271" w:lineRule="auto"/>
        <w:rPr>
          <w:sz w:val="20"/>
          <w:szCs w:val="20"/>
          <w:color w:val="auto"/>
        </w:rPr>
      </w:pPr>
      <w:r>
        <w:rPr>
          <w:rFonts w:ascii="Arial" w:cs="Arial" w:eastAsia="Arial" w:hAnsi="Arial"/>
          <w:sz w:val="20"/>
          <w:szCs w:val="20"/>
          <w:color w:val="auto"/>
        </w:rPr>
        <w:t>See further discussion of net revenues (revenues less purchases and related costs) in the “—Analysis of Operating Segments” section below.</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Field Operating Costs</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See discussion of field operating costs in the “—Analysis of Operating Segments” section below.</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General and Administrative Expenses</w:t>
      </w:r>
    </w:p>
    <w:p>
      <w:pPr>
        <w:spacing w:after="0" w:line="248" w:lineRule="exact"/>
        <w:rPr>
          <w:sz w:val="20"/>
          <w:szCs w:val="20"/>
          <w:color w:val="auto"/>
        </w:rPr>
      </w:pPr>
    </w:p>
    <w:p>
      <w:pPr>
        <w:jc w:val="both"/>
        <w:ind w:firstLine="706"/>
        <w:spacing w:after="0" w:line="325" w:lineRule="auto"/>
        <w:rPr>
          <w:sz w:val="20"/>
          <w:szCs w:val="20"/>
          <w:color w:val="auto"/>
        </w:rPr>
      </w:pPr>
      <w:r>
        <w:rPr>
          <w:rFonts w:ascii="Arial" w:cs="Arial" w:eastAsia="Arial" w:hAnsi="Arial"/>
          <w:sz w:val="17"/>
          <w:szCs w:val="17"/>
          <w:color w:val="auto"/>
        </w:rPr>
        <w:t>The increase in general and administrative expenses for the year ended December 31, 2024 compared to the year ended December 31, 2023 was primarily due to (i) higher employee-related costs, (ii) higher information systems costs due to ongoing systems integration work and (iii) higher office rent due to an operating cost abatement in the prior year.</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Gains/(Losses) on Asset Sales, Asset Impairments and Other, Net</w:t>
      </w:r>
    </w:p>
    <w:p>
      <w:pPr>
        <w:spacing w:after="0" w:line="248" w:lineRule="exact"/>
        <w:rPr>
          <w:sz w:val="20"/>
          <w:szCs w:val="20"/>
          <w:color w:val="auto"/>
        </w:rPr>
      </w:pPr>
    </w:p>
    <w:p>
      <w:pPr>
        <w:ind w:right="20" w:firstLine="706"/>
        <w:spacing w:after="0" w:line="258" w:lineRule="auto"/>
        <w:rPr>
          <w:sz w:val="20"/>
          <w:szCs w:val="20"/>
          <w:color w:val="auto"/>
        </w:rPr>
      </w:pPr>
      <w:r>
        <w:rPr>
          <w:rFonts w:ascii="Arial" w:cs="Arial" w:eastAsia="Arial" w:hAnsi="Arial"/>
          <w:sz w:val="20"/>
          <w:szCs w:val="20"/>
          <w:color w:val="auto"/>
        </w:rPr>
        <w:t>The net loss on asset sales and asset impairments for the year ended December 31, 2024 was primarily due to non-cash charges related to the write-down of certain of our long-lived U.S. terminal assets included in our NGL segment due to asset impairments and accelerated depreciation in the fourth quarter of 2024.</w:t>
      </w:r>
    </w:p>
    <w:p>
      <w:pPr>
        <w:spacing w:after="0" w:line="199" w:lineRule="exact"/>
        <w:rPr>
          <w:sz w:val="20"/>
          <w:szCs w:val="20"/>
          <w:color w:val="auto"/>
        </w:rPr>
      </w:pPr>
    </w:p>
    <w:p>
      <w:pPr>
        <w:ind w:right="220" w:firstLine="706"/>
        <w:spacing w:after="0" w:line="298" w:lineRule="auto"/>
        <w:rPr>
          <w:sz w:val="20"/>
          <w:szCs w:val="20"/>
          <w:color w:val="auto"/>
        </w:rPr>
      </w:pPr>
      <w:r>
        <w:rPr>
          <w:rFonts w:ascii="Arial" w:cs="Arial" w:eastAsia="Arial" w:hAnsi="Arial"/>
          <w:sz w:val="19"/>
          <w:szCs w:val="19"/>
          <w:color w:val="auto"/>
        </w:rPr>
        <w:t>The net gain on asset sales and asset impairments for the year ended December 31, 2023 was primarily related to the sale of our ownership interest in the Keyera Fort Saskatchewan facility in the first quarter of 2023.</w:t>
      </w:r>
    </w:p>
    <w:p>
      <w:pPr>
        <w:spacing w:after="0" w:line="163" w:lineRule="exact"/>
        <w:rPr>
          <w:sz w:val="20"/>
          <w:szCs w:val="20"/>
          <w:color w:val="auto"/>
        </w:rPr>
      </w:pPr>
    </w:p>
    <w:p>
      <w:pPr>
        <w:ind w:right="100" w:firstLine="706"/>
        <w:spacing w:after="0" w:line="271" w:lineRule="auto"/>
        <w:rPr>
          <w:sz w:val="20"/>
          <w:szCs w:val="20"/>
          <w:color w:val="auto"/>
        </w:rPr>
      </w:pPr>
      <w:r>
        <w:rPr>
          <w:rFonts w:ascii="Arial" w:cs="Arial" w:eastAsia="Arial" w:hAnsi="Arial"/>
          <w:sz w:val="20"/>
          <w:szCs w:val="20"/>
          <w:color w:val="auto"/>
        </w:rPr>
        <w:t>See Note 6 and Note 7 to our Consolidated Financial Statements for additional information regarding these asset sales and asset impairments.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Equity Earnings in Unconsolidated Entities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discussion of equity earnings in unconsolidated entities in the “—Analysis of Operating Segments” section below.</w:t>
      </w:r>
    </w:p>
    <w:p>
      <w:pPr>
        <w:spacing w:after="0" w:line="268"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Gain on Investments in Unconsolidated Entities, Net</w:t>
      </w:r>
    </w:p>
    <w:p>
      <w:pPr>
        <w:spacing w:after="0" w:line="248" w:lineRule="exact"/>
        <w:rPr>
          <w:sz w:val="20"/>
          <w:szCs w:val="20"/>
          <w:color w:val="auto"/>
        </w:rPr>
      </w:pPr>
    </w:p>
    <w:p>
      <w:pPr>
        <w:ind w:right="420" w:firstLine="706"/>
        <w:spacing w:after="0" w:line="271" w:lineRule="auto"/>
        <w:rPr>
          <w:sz w:val="20"/>
          <w:szCs w:val="20"/>
          <w:color w:val="auto"/>
        </w:rPr>
      </w:pPr>
      <w:r>
        <w:rPr>
          <w:rFonts w:ascii="Arial" w:cs="Arial" w:eastAsia="Arial" w:hAnsi="Arial"/>
          <w:sz w:val="20"/>
          <w:szCs w:val="20"/>
          <w:color w:val="auto"/>
        </w:rPr>
        <w:t>In the fourth quarter of 2024, we recognized a gain of $15 million related to our acquisition of the remaining 50% interest in Midway Pipeline LLC.</w:t>
      </w:r>
    </w:p>
    <w:p>
      <w:pPr>
        <w:spacing w:after="0" w:line="186" w:lineRule="exact"/>
        <w:rPr>
          <w:sz w:val="20"/>
          <w:szCs w:val="20"/>
          <w:color w:val="auto"/>
        </w:rPr>
      </w:pPr>
    </w:p>
    <w:p>
      <w:pPr>
        <w:ind w:right="700" w:firstLine="706"/>
        <w:spacing w:after="0" w:line="271" w:lineRule="auto"/>
        <w:rPr>
          <w:sz w:val="20"/>
          <w:szCs w:val="20"/>
          <w:color w:val="auto"/>
        </w:rPr>
      </w:pPr>
      <w:r>
        <w:rPr>
          <w:rFonts w:ascii="Arial" w:cs="Arial" w:eastAsia="Arial" w:hAnsi="Arial"/>
          <w:sz w:val="20"/>
          <w:szCs w:val="20"/>
          <w:color w:val="auto"/>
        </w:rPr>
        <w:t>In the third quarter of 2023, we recognized a gain of $29 million related to the Permian JV’s acquisition of the remaining 43% interest in OMOG JV Holdings LLC.</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See Note 7 to our Consolidated Financial Statements for additional information regarding these transactions.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040"/>
          </w:cols>
          <w:pgMar w:left="920" w:top="582" w:right="920" w:bottom="0" w:gutter="0" w:footer="0" w:header="0"/>
          <w:type w:val="continuous"/>
        </w:sectPr>
      </w:pPr>
    </w:p>
    <w:bookmarkStart w:id="74" w:name="page75"/>
    <w:bookmarkEnd w:id="74"/>
    <w:p>
      <w:pPr>
        <w:ind w:left="800"/>
        <w:spacing w:after="0"/>
        <w:rPr>
          <w:sz w:val="20"/>
          <w:szCs w:val="20"/>
          <w:color w:val="auto"/>
        </w:rPr>
      </w:pPr>
      <w:r>
        <w:rPr>
          <w:rFonts w:ascii="Arial" w:cs="Arial" w:eastAsia="Arial" w:hAnsi="Arial"/>
          <w:sz w:val="20"/>
          <w:szCs w:val="20"/>
          <w:b w:val="1"/>
          <w:bCs w:val="1"/>
          <w:color w:val="auto"/>
        </w:rPr>
        <w:t>Other Income/(Expense), Net</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following table summarizes the components impacting Other income/(expense), net (in millions):</w:t>
      </w:r>
    </w:p>
    <w:p>
      <w:pPr>
        <w:spacing w:after="0" w:line="328"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0"/>
        </w:trPr>
        <w:tc>
          <w:tcPr>
            <w:tcW w:w="7820" w:type="dxa"/>
            <w:vAlign w:val="bottom"/>
            <w:gridSpan w:val="2"/>
          </w:tcPr>
          <w:p>
            <w:pPr>
              <w:ind w:left="60"/>
              <w:spacing w:after="0"/>
              <w:rPr>
                <w:sz w:val="20"/>
                <w:szCs w:val="20"/>
                <w:color w:val="auto"/>
              </w:rPr>
            </w:pPr>
            <w:r>
              <w:rPr>
                <w:rFonts w:ascii="Arial" w:cs="Arial" w:eastAsia="Arial" w:hAnsi="Arial"/>
                <w:sz w:val="20"/>
                <w:szCs w:val="20"/>
                <w:color w:val="auto"/>
              </w:rPr>
              <w:t>Interest income</w:t>
            </w:r>
          </w:p>
        </w:tc>
        <w:tc>
          <w:tcPr>
            <w:tcW w:w="720" w:type="dxa"/>
            <w:vAlign w:val="bottom"/>
          </w:tcPr>
          <w:p>
            <w:pPr>
              <w:jc w:val="right"/>
              <w:ind w:right="492"/>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rPr>
              <w:t>22</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328"/>
        </w:trPr>
        <w:tc>
          <w:tcPr>
            <w:tcW w:w="7820" w:type="dxa"/>
            <w:vAlign w:val="bottom"/>
            <w:gridSpan w:val="2"/>
          </w:tcPr>
          <w:p>
            <w:pPr>
              <w:ind w:left="60"/>
              <w:spacing w:after="0"/>
              <w:rPr>
                <w:sz w:val="20"/>
                <w:szCs w:val="20"/>
                <w:color w:val="auto"/>
              </w:rPr>
            </w:pPr>
            <w:r>
              <w:rPr>
                <w:rFonts w:ascii="Arial" w:cs="Arial" w:eastAsia="Arial" w:hAnsi="Arial"/>
                <w:sz w:val="20"/>
                <w:szCs w:val="20"/>
                <w:color w:val="auto"/>
              </w:rPr>
              <w:t xml:space="preserve">Net gain/(loss) on foreign currency revaluation </w:t>
            </w:r>
            <w:r>
              <w:rPr>
                <w:rFonts w:ascii="Arial" w:cs="Arial" w:eastAsia="Arial" w:hAnsi="Arial"/>
                <w:sz w:val="25"/>
                <w:szCs w:val="25"/>
                <w:color w:val="auto"/>
                <w:vertAlign w:val="superscript"/>
              </w:rPr>
              <w:t>(1)</w:t>
            </w:r>
          </w:p>
        </w:tc>
        <w:tc>
          <w:tcPr>
            <w:tcW w:w="7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9"/>
              </w:rPr>
              <w:t>(10)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197"/>
        </w:trPr>
        <w:tc>
          <w:tcPr>
            <w:tcW w:w="7820" w:type="dxa"/>
            <w:vAlign w:val="bottom"/>
            <w:gridSpan w:val="2"/>
          </w:tcPr>
          <w:p>
            <w:pPr>
              <w:ind w:left="60"/>
              <w:spacing w:after="0" w:line="197" w:lineRule="exact"/>
              <w:rPr>
                <w:sz w:val="20"/>
                <w:szCs w:val="20"/>
                <w:color w:val="auto"/>
              </w:rPr>
            </w:pPr>
            <w:r>
              <w:rPr>
                <w:rFonts w:ascii="Arial" w:cs="Arial" w:eastAsia="Arial" w:hAnsi="Arial"/>
                <w:sz w:val="20"/>
                <w:szCs w:val="20"/>
                <w:color w:val="auto"/>
                <w:w w:val="96"/>
              </w:rPr>
              <w:t>Gain on mark-to-market adjustment of Preferred Distribution Rate Reset Option embedded</w:t>
            </w:r>
          </w:p>
        </w:tc>
        <w:tc>
          <w:tcPr>
            <w:tcW w:w="72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93"/>
        </w:trPr>
        <w:tc>
          <w:tcPr>
            <w:tcW w:w="7820" w:type="dxa"/>
            <w:vAlign w:val="bottom"/>
            <w:gridSpan w:val="2"/>
          </w:tcPr>
          <w:p>
            <w:pPr>
              <w:ind w:left="240"/>
              <w:spacing w:after="0"/>
              <w:rPr>
                <w:sz w:val="20"/>
                <w:szCs w:val="20"/>
                <w:color w:val="auto"/>
              </w:rPr>
            </w:pPr>
            <w:r>
              <w:rPr>
                <w:rFonts w:ascii="Arial" w:cs="Arial" w:eastAsia="Arial" w:hAnsi="Arial"/>
                <w:sz w:val="20"/>
                <w:szCs w:val="20"/>
                <w:color w:val="auto"/>
              </w:rPr>
              <w:t xml:space="preserve">derivative </w:t>
            </w:r>
            <w:r>
              <w:rPr>
                <w:rFonts w:ascii="Arial" w:cs="Arial" w:eastAsia="Arial" w:hAnsi="Arial"/>
                <w:sz w:val="25"/>
                <w:szCs w:val="25"/>
                <w:color w:val="auto"/>
                <w:vertAlign w:val="superscript"/>
              </w:rPr>
              <w:t>(2)</w:t>
            </w:r>
          </w:p>
        </w:tc>
        <w:tc>
          <w:tcPr>
            <w:tcW w:w="7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820" w:type="dxa"/>
            <w:vAlign w:val="bottom"/>
            <w:gridSpan w:val="2"/>
          </w:tcPr>
          <w:p>
            <w:pPr>
              <w:ind w:left="60"/>
              <w:spacing w:after="0"/>
              <w:rPr>
                <w:sz w:val="20"/>
                <w:szCs w:val="20"/>
                <w:color w:val="auto"/>
              </w:rPr>
            </w:pPr>
            <w:r>
              <w:rPr>
                <w:rFonts w:ascii="Arial" w:cs="Arial" w:eastAsia="Arial" w:hAnsi="Arial"/>
                <w:sz w:val="20"/>
                <w:szCs w:val="20"/>
                <w:color w:val="auto"/>
              </w:rPr>
              <w:t>Other</w:t>
            </w:r>
          </w:p>
        </w:tc>
        <w:tc>
          <w:tcPr>
            <w:tcW w:w="7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4"/>
        </w:trPr>
        <w:tc>
          <w:tcPr>
            <w:tcW w:w="346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720" w:type="dxa"/>
            <w:vAlign w:val="bottom"/>
          </w:tcPr>
          <w:p>
            <w:pPr>
              <w:jc w:val="right"/>
              <w:ind w:right="492"/>
              <w:spacing w:after="0"/>
              <w:rPr>
                <w:sz w:val="20"/>
                <w:szCs w:val="20"/>
                <w:color w:val="auto"/>
              </w:rPr>
            </w:pPr>
            <w:r>
              <w:rPr>
                <w:rFonts w:ascii="Arial" w:cs="Arial" w:eastAsia="Arial" w:hAnsi="Arial"/>
                <w:sz w:val="20"/>
                <w:szCs w:val="20"/>
                <w:color w:val="auto"/>
              </w:rPr>
              <w:t>$</w:t>
            </w:r>
          </w:p>
        </w:tc>
        <w:tc>
          <w:tcPr>
            <w:tcW w:w="360" w:type="dxa"/>
            <w:vAlign w:val="bottom"/>
          </w:tcPr>
          <w:p>
            <w:pPr>
              <w:jc w:val="right"/>
              <w:spacing w:after="0"/>
              <w:rPr>
                <w:sz w:val="20"/>
                <w:szCs w:val="20"/>
                <w:color w:val="auto"/>
              </w:rPr>
            </w:pPr>
            <w:r>
              <w:rPr>
                <w:rFonts w:ascii="Arial" w:cs="Arial" w:eastAsia="Arial" w:hAnsi="Arial"/>
                <w:sz w:val="20"/>
                <w:szCs w:val="20"/>
                <w:color w:val="auto"/>
              </w:rPr>
              <w:t>17</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-1182370</wp:posOffset>
            </wp:positionV>
            <wp:extent cx="6382385" cy="1092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6382385" cy="1092835"/>
                    </a:xfrm>
                    <a:prstGeom prst="rect">
                      <a:avLst/>
                    </a:prstGeom>
                    <a:noFill/>
                  </pic:spPr>
                </pic:pic>
              </a:graphicData>
            </a:graphic>
          </wp:anchor>
        </w:drawing>
      </w:r>
    </w:p>
    <w:p>
      <w:pPr>
        <w:sectPr>
          <w:pgSz w:w="11880" w:h="15480" w:orient="portrait"/>
          <w:cols w:equalWidth="0" w:num="1">
            <w:col w:w="10120"/>
          </w:cols>
          <w:pgMar w:left="820" w:top="575" w:right="940" w:bottom="0" w:gutter="0" w:footer="0" w:header="0"/>
        </w:sectPr>
      </w:pPr>
    </w:p>
    <w:p>
      <w:pPr>
        <w:spacing w:after="0" w:line="12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(1)</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See Note 12 to our Consolidated Financial Statements for additional information.</w:t>
      </w:r>
    </w:p>
    <w:p>
      <w:pPr>
        <w:spacing w:after="0" w:line="123" w:lineRule="exact"/>
        <w:rPr>
          <w:sz w:val="20"/>
          <w:szCs w:val="20"/>
          <w:color w:val="auto"/>
        </w:rPr>
      </w:pPr>
    </w:p>
    <w:p>
      <w:pPr>
        <w:jc w:val="both"/>
        <w:ind w:right="360"/>
        <w:spacing w:after="0" w:line="258" w:lineRule="auto"/>
        <w:rPr>
          <w:sz w:val="20"/>
          <w:szCs w:val="20"/>
          <w:color w:val="auto"/>
        </w:rPr>
      </w:pPr>
      <w:r>
        <w:rPr>
          <w:rFonts w:ascii="Arial" w:cs="Arial" w:eastAsia="Arial" w:hAnsi="Arial"/>
          <w:sz w:val="20"/>
          <w:szCs w:val="20"/>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(Expense)/Benefit</w:t>
      </w:r>
    </w:p>
    <w:p>
      <w:pPr>
        <w:spacing w:after="0" w:line="200" w:lineRule="exact"/>
        <w:rPr>
          <w:sz w:val="20"/>
          <w:szCs w:val="20"/>
          <w:color w:val="auto"/>
        </w:rPr>
      </w:pPr>
    </w:p>
    <w:p>
      <w:pPr>
        <w:sectPr>
          <w:pgSz w:w="11880" w:h="15480" w:orient="portrait"/>
          <w:cols w:equalWidth="0" w:num="2">
            <w:col w:w="240" w:space="560"/>
            <w:col w:w="9320"/>
          </w:cols>
          <w:pgMar w:left="820" w:top="575" w:right="940" w:bottom="0" w:gutter="0" w:footer="0" w:header="0"/>
          <w:type w:val="continuous"/>
        </w:sectPr>
      </w:pPr>
    </w:p>
    <w:p>
      <w:pPr>
        <w:spacing w:after="0" w:line="48" w:lineRule="exact"/>
        <w:rPr>
          <w:sz w:val="20"/>
          <w:szCs w:val="20"/>
          <w:color w:val="auto"/>
        </w:rPr>
      </w:pPr>
    </w:p>
    <w:p>
      <w:pPr>
        <w:jc w:val="both"/>
        <w:ind w:left="100" w:firstLine="706"/>
        <w:spacing w:after="0" w:line="312" w:lineRule="auto"/>
        <w:rPr>
          <w:sz w:val="20"/>
          <w:szCs w:val="20"/>
          <w:color w:val="auto"/>
        </w:rPr>
      </w:pPr>
      <w:r>
        <w:rPr>
          <w:rFonts w:ascii="Arial" w:cs="Arial" w:eastAsia="Arial" w:hAnsi="Arial"/>
          <w:sz w:val="17"/>
          <w:szCs w:val="17"/>
          <w:color w:val="auto"/>
        </w:rPr>
        <w:t>The net unfavorable income tax variance for the year ended December 31, 2024 compared to the year ended December 31, 2023 was primarily due to higher income tax expense in 2024 associated with Canadian withholding tax on dividends from our Canadian entities to other Plains entities driven by timing of dividend payments, including proceeds from asset divestitures, partially offset by the impact of lower earnings at PAA on income tax attributable to PAGP.</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Non-GAAP Financial Measures</w:t>
      </w:r>
    </w:p>
    <w:p>
      <w:pPr>
        <w:spacing w:after="0" w:line="248" w:lineRule="exact"/>
        <w:rPr>
          <w:sz w:val="20"/>
          <w:szCs w:val="20"/>
          <w:color w:val="auto"/>
        </w:rPr>
      </w:pPr>
    </w:p>
    <w:p>
      <w:pPr>
        <w:ind w:left="100" w:right="140" w:firstLine="706"/>
        <w:spacing w:after="0" w:line="325"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147" w:lineRule="exact"/>
        <w:rPr>
          <w:sz w:val="20"/>
          <w:szCs w:val="20"/>
          <w:color w:val="auto"/>
        </w:rPr>
      </w:pPr>
    </w:p>
    <w:p>
      <w:pPr>
        <w:ind w:left="100" w:right="80" w:firstLine="706"/>
        <w:spacing w:after="0" w:line="271" w:lineRule="auto"/>
        <w:rPr>
          <w:sz w:val="20"/>
          <w:szCs w:val="20"/>
          <w:color w:val="auto"/>
        </w:rPr>
      </w:pPr>
      <w:r>
        <w:rPr>
          <w:rFonts w:ascii="Arial" w:cs="Arial" w:eastAsia="Arial" w:hAnsi="Arial"/>
          <w:sz w:val="19"/>
          <w:szCs w:val="19"/>
          <w:color w:val="auto"/>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Consolidated Financial Statements and accompanying notes.</w:t>
      </w:r>
    </w:p>
    <w:p>
      <w:pPr>
        <w:sectPr>
          <w:pgSz w:w="11880" w:h="15480" w:orient="portrait"/>
          <w:cols w:equalWidth="0" w:num="1">
            <w:col w:w="10120"/>
          </w:cols>
          <w:pgMar w:left="820" w:top="575"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120"/>
          </w:cols>
          <w:pgMar w:left="820" w:top="575" w:right="940" w:bottom="0" w:gutter="0" w:footer="0" w:header="0"/>
          <w:type w:val="continuous"/>
        </w:sectPr>
      </w:pPr>
    </w:p>
    <w:bookmarkStart w:id="75" w:name="page76"/>
    <w:bookmarkEnd w:id="75"/>
    <w:p>
      <w:pPr>
        <w:ind w:left="707"/>
        <w:spacing w:after="0"/>
        <w:rPr>
          <w:sz w:val="20"/>
          <w:szCs w:val="20"/>
          <w:color w:val="auto"/>
        </w:rPr>
      </w:pPr>
      <w:r>
        <w:rPr>
          <w:rFonts w:ascii="Arial" w:cs="Arial" w:eastAsia="Arial" w:hAnsi="Arial"/>
          <w:sz w:val="20"/>
          <w:szCs w:val="20"/>
          <w:b w:val="1"/>
          <w:bCs w:val="1"/>
          <w:color w:val="auto"/>
        </w:rPr>
        <w:t>Non-GAAP Financial Performance Measures</w:t>
      </w:r>
    </w:p>
    <w:p>
      <w:pPr>
        <w:spacing w:after="0" w:line="248" w:lineRule="exact"/>
        <w:rPr>
          <w:sz w:val="20"/>
          <w:szCs w:val="20"/>
          <w:color w:val="auto"/>
        </w:rPr>
      </w:pPr>
    </w:p>
    <w:p>
      <w:pPr>
        <w:ind w:left="7" w:right="20" w:firstLine="706"/>
        <w:spacing w:after="0" w:line="266" w:lineRule="auto"/>
        <w:rPr>
          <w:sz w:val="20"/>
          <w:szCs w:val="20"/>
          <w:color w:val="auto"/>
        </w:rPr>
      </w:pPr>
      <w:r>
        <w:rPr>
          <w:rFonts w:ascii="Arial" w:cs="Arial" w:eastAsia="Arial" w:hAnsi="Arial"/>
          <w:sz w:val="19"/>
          <w:szCs w:val="19"/>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and (v) gains on investments in unconsolidated entities, net, and adjusted for (vi) certain selected items impacting comparability. Adjusted EBITDA attributable to PAA excludes the portion of Adjusted EBITDA that is attributable to noncontrolling interests in consolidated joint venture entities.</w:t>
      </w:r>
    </w:p>
    <w:p>
      <w:pPr>
        <w:spacing w:after="0" w:line="193" w:lineRule="exact"/>
        <w:rPr>
          <w:sz w:val="20"/>
          <w:szCs w:val="20"/>
          <w:color w:val="auto"/>
        </w:rPr>
      </w:pPr>
    </w:p>
    <w:p>
      <w:pPr>
        <w:ind w:left="7" w:right="80" w:firstLine="706"/>
        <w:spacing w:after="0" w:line="292"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 budgeting decisions and (iii) present measures that investors, rating agencies and debt holders have indicated are useful in assessing us and our results of operations. These non-GAAP financial performance measures may exclude, for example,</w:t>
      </w:r>
    </w:p>
    <w:p>
      <w:pPr>
        <w:spacing w:after="0" w:line="4" w:lineRule="exact"/>
        <w:rPr>
          <w:sz w:val="20"/>
          <w:szCs w:val="20"/>
          <w:color w:val="auto"/>
        </w:rPr>
      </w:pPr>
    </w:p>
    <w:p>
      <w:pPr>
        <w:ind w:left="7" w:hanging="7"/>
        <w:spacing w:after="0" w:line="293" w:lineRule="auto"/>
        <w:tabs>
          <w:tab w:leader="none" w:pos="241"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0" w:lineRule="exact"/>
        <w:rPr>
          <w:sz w:val="20"/>
          <w:szCs w:val="20"/>
          <w:color w:val="auto"/>
        </w:rPr>
      </w:pPr>
    </w:p>
    <w:p>
      <w:pPr>
        <w:spacing w:after="0" w:line="210" w:lineRule="exact"/>
        <w:rPr>
          <w:sz w:val="20"/>
          <w:szCs w:val="20"/>
          <w:color w:val="auto"/>
        </w:rPr>
      </w:pPr>
    </w:p>
    <w:p>
      <w:pPr>
        <w:ind w:left="7" w:right="20" w:firstLine="706"/>
        <w:spacing w:after="0" w:line="251" w:lineRule="auto"/>
        <w:rPr>
          <w:sz w:val="20"/>
          <w:szCs w:val="20"/>
          <w:color w:val="auto"/>
        </w:rPr>
      </w:pPr>
      <w:r>
        <w:rPr>
          <w:rFonts w:ascii="Arial" w:cs="Arial" w:eastAsia="Arial" w:hAnsi="Arial"/>
          <w:sz w:val="20"/>
          <w:szCs w:val="20"/>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ectPr>
          <w:pgSz w:w="11880" w:h="15480" w:orient="portrait"/>
          <w:cols w:equalWidth="0" w:num="1">
            <w:col w:w="10047"/>
          </w:cols>
          <w:pgMar w:left="913"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047"/>
          </w:cols>
          <w:pgMar w:left="913" w:top="575" w:right="920" w:bottom="0" w:gutter="0" w:footer="0" w:header="0"/>
          <w:type w:val="continuous"/>
        </w:sectPr>
      </w:pPr>
    </w:p>
    <w:bookmarkStart w:id="76" w:name="page77"/>
    <w:bookmarkEnd w:id="76"/>
    <w:p>
      <w:pPr>
        <w:ind w:right="80" w:firstLine="706"/>
        <w:spacing w:after="0" w:line="271" w:lineRule="auto"/>
        <w:rPr>
          <w:sz w:val="20"/>
          <w:szCs w:val="20"/>
          <w:color w:val="auto"/>
        </w:rPr>
      </w:pPr>
      <w:r>
        <w:rPr>
          <w:rFonts w:ascii="Arial" w:cs="Arial" w:eastAsia="Arial" w:hAnsi="Arial"/>
          <w:sz w:val="20"/>
          <w:szCs w:val="20"/>
          <w:color w:val="auto"/>
        </w:rPr>
        <w:t>The following table sets forth the reconciliation of the non-GAAP financial performance measures Adjusted EBITDA and Adjusted EBITDA attributable to PAA from Net Income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6"/>
                <w:szCs w:val="16"/>
                <w:b w:val="1"/>
                <w:bCs w:val="1"/>
                <w:color w:val="auto"/>
                <w:w w:val="90"/>
              </w:rPr>
              <w:t>Year Ended December 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0"/>
        </w:trPr>
        <w:tc>
          <w:tcPr>
            <w:tcW w:w="5440" w:type="dxa"/>
            <w:vAlign w:val="bottom"/>
            <w:gridSpan w:val="3"/>
          </w:tcPr>
          <w:p>
            <w:pPr>
              <w:ind w:left="80"/>
              <w:spacing w:after="0"/>
              <w:rPr>
                <w:sz w:val="20"/>
                <w:szCs w:val="20"/>
                <w:color w:val="auto"/>
              </w:rPr>
            </w:pPr>
            <w:r>
              <w:rPr>
                <w:rFonts w:ascii="Arial" w:cs="Arial" w:eastAsia="Arial" w:hAnsi="Arial"/>
                <w:sz w:val="20"/>
                <w:szCs w:val="20"/>
                <w:color w:val="auto"/>
              </w:rPr>
              <w:t>Net income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1,070</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1,425</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(355)</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333"/>
        </w:trPr>
        <w:tc>
          <w:tcPr>
            <w:tcW w:w="5440" w:type="dxa"/>
            <w:vAlign w:val="bottom"/>
            <w:gridSpan w:val="3"/>
          </w:tcPr>
          <w:p>
            <w:pPr>
              <w:ind w:left="140"/>
              <w:spacing w:after="0"/>
              <w:rPr>
                <w:sz w:val="20"/>
                <w:szCs w:val="20"/>
                <w:color w:val="auto"/>
              </w:rPr>
            </w:pPr>
            <w:r>
              <w:rPr>
                <w:rFonts w:ascii="Arial" w:cs="Arial" w:eastAsia="Arial" w:hAnsi="Arial"/>
                <w:sz w:val="20"/>
                <w:szCs w:val="20"/>
                <w:color w:val="auto"/>
              </w:rPr>
              <w:t xml:space="preserve">Interest expense, net of certain items </w:t>
            </w:r>
            <w:r>
              <w:rPr>
                <w:rFonts w:ascii="Arial" w:cs="Arial" w:eastAsia="Arial" w:hAnsi="Arial"/>
                <w:sz w:val="25"/>
                <w:szCs w:val="25"/>
                <w:color w:val="auto"/>
                <w:vertAlign w:val="superscript"/>
              </w:rPr>
              <w:t>(1)</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386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5"/>
        </w:trPr>
        <w:tc>
          <w:tcPr>
            <w:tcW w:w="5440" w:type="dxa"/>
            <w:vAlign w:val="bottom"/>
            <w:gridSpan w:val="3"/>
          </w:tcPr>
          <w:p>
            <w:pPr>
              <w:ind w:left="140"/>
              <w:spacing w:after="0"/>
              <w:rPr>
                <w:sz w:val="20"/>
                <w:szCs w:val="20"/>
                <w:color w:val="auto"/>
              </w:rPr>
            </w:pPr>
            <w:r>
              <w:rPr>
                <w:rFonts w:ascii="Arial" w:cs="Arial" w:eastAsia="Arial" w:hAnsi="Arial"/>
                <w:sz w:val="20"/>
                <w:szCs w:val="20"/>
                <w:color w:val="auto"/>
              </w:rPr>
              <w:t>Income tax expense</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189</w:t>
            </w: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8 %</w:t>
            </w:r>
          </w:p>
        </w:tc>
        <w:tc>
          <w:tcPr>
            <w:tcW w:w="0" w:type="dxa"/>
            <w:vAlign w:val="bottom"/>
          </w:tcPr>
          <w:p>
            <w:pPr>
              <w:spacing w:after="0"/>
              <w:rPr>
                <w:sz w:val="1"/>
                <w:szCs w:val="1"/>
                <w:color w:val="auto"/>
              </w:rPr>
            </w:pPr>
          </w:p>
        </w:tc>
      </w:tr>
      <w:tr>
        <w:trPr>
          <w:trHeight w:val="294"/>
        </w:trPr>
        <w:tc>
          <w:tcPr>
            <w:tcW w:w="5440" w:type="dxa"/>
            <w:vAlign w:val="bottom"/>
            <w:gridSpan w:val="3"/>
          </w:tcPr>
          <w:p>
            <w:pPr>
              <w:ind w:left="140"/>
              <w:spacing w:after="0"/>
              <w:rPr>
                <w:sz w:val="20"/>
                <w:szCs w:val="20"/>
                <w:color w:val="auto"/>
              </w:rPr>
            </w:pPr>
            <w:r>
              <w:rPr>
                <w:rFonts w:ascii="Arial" w:cs="Arial" w:eastAsia="Arial" w:hAnsi="Arial"/>
                <w:sz w:val="20"/>
                <w:szCs w:val="20"/>
                <w:color w:val="auto"/>
              </w:rPr>
              <w:t>Depreciation and amortization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1,051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94"/>
        </w:trPr>
        <w:tc>
          <w:tcPr>
            <w:tcW w:w="5440" w:type="dxa"/>
            <w:vAlign w:val="bottom"/>
            <w:gridSpan w:val="3"/>
          </w:tcPr>
          <w:p>
            <w:pPr>
              <w:ind w:left="140"/>
              <w:spacing w:after="0"/>
              <w:rPr>
                <w:sz w:val="20"/>
                <w:szCs w:val="20"/>
                <w:color w:val="auto"/>
              </w:rPr>
            </w:pPr>
            <w:r>
              <w:rPr>
                <w:rFonts w:ascii="Arial" w:cs="Arial" w:eastAsia="Arial" w:hAnsi="Arial"/>
                <w:sz w:val="20"/>
                <w:szCs w:val="20"/>
                <w:color w:val="auto"/>
                <w:w w:val="93"/>
              </w:rPr>
              <w:t>(Gains)/losses on asset sales, asset impairments and other,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312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205 %</w:t>
            </w:r>
          </w:p>
        </w:tc>
        <w:tc>
          <w:tcPr>
            <w:tcW w:w="0" w:type="dxa"/>
            <w:vAlign w:val="bottom"/>
          </w:tcPr>
          <w:p>
            <w:pPr>
              <w:spacing w:after="0"/>
              <w:rPr>
                <w:sz w:val="1"/>
                <w:szCs w:val="1"/>
                <w:color w:val="auto"/>
              </w:rPr>
            </w:pPr>
          </w:p>
        </w:tc>
      </w:tr>
      <w:tr>
        <w:trPr>
          <w:trHeight w:val="294"/>
        </w:trPr>
        <w:tc>
          <w:tcPr>
            <w:tcW w:w="5440" w:type="dxa"/>
            <w:vAlign w:val="bottom"/>
            <w:gridSpan w:val="3"/>
          </w:tcPr>
          <w:p>
            <w:pPr>
              <w:ind w:left="140"/>
              <w:spacing w:after="0"/>
              <w:rPr>
                <w:sz w:val="20"/>
                <w:szCs w:val="20"/>
                <w:color w:val="auto"/>
              </w:rPr>
            </w:pPr>
            <w:r>
              <w:rPr>
                <w:rFonts w:ascii="Arial" w:cs="Arial" w:eastAsia="Arial" w:hAnsi="Arial"/>
                <w:sz w:val="20"/>
                <w:szCs w:val="20"/>
                <w:color w:val="auto"/>
              </w:rPr>
              <w:t>Gain on investments in unconsolidated entities,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(28)</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46 %</w:t>
            </w:r>
          </w:p>
        </w:tc>
        <w:tc>
          <w:tcPr>
            <w:tcW w:w="0" w:type="dxa"/>
            <w:vAlign w:val="bottom"/>
          </w:tcPr>
          <w:p>
            <w:pPr>
              <w:spacing w:after="0"/>
              <w:rPr>
                <w:sz w:val="1"/>
                <w:szCs w:val="1"/>
                <w:color w:val="auto"/>
              </w:rPr>
            </w:pPr>
          </w:p>
        </w:tc>
      </w:tr>
      <w:tr>
        <w:trPr>
          <w:trHeight w:val="315"/>
        </w:trPr>
        <w:tc>
          <w:tcPr>
            <w:tcW w:w="5440" w:type="dxa"/>
            <w:vAlign w:val="bottom"/>
            <w:gridSpan w:val="3"/>
          </w:tcPr>
          <w:p>
            <w:pPr>
              <w:ind w:left="140"/>
              <w:spacing w:after="0"/>
              <w:rPr>
                <w:sz w:val="20"/>
                <w:szCs w:val="20"/>
                <w:color w:val="auto"/>
              </w:rPr>
            </w:pPr>
            <w:r>
              <w:rPr>
                <w:rFonts w:ascii="Arial" w:cs="Arial" w:eastAsia="Arial" w:hAnsi="Arial"/>
                <w:sz w:val="20"/>
                <w:szCs w:val="20"/>
                <w:color w:val="auto"/>
              </w:rPr>
              <w:t xml:space="preserve">Depreciation and amortization of unconsolidated entities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12"/>
        </w:trPr>
        <w:tc>
          <w:tcPr>
            <w:tcW w:w="5440" w:type="dxa"/>
            <w:vAlign w:val="bottom"/>
            <w:gridSpan w:val="3"/>
          </w:tcPr>
          <w:p>
            <w:pPr>
              <w:ind w:left="140"/>
              <w:spacing w:after="0"/>
              <w:rPr>
                <w:sz w:val="20"/>
                <w:szCs w:val="20"/>
                <w:color w:val="auto"/>
              </w:rPr>
            </w:pPr>
            <w:r>
              <w:rPr>
                <w:rFonts w:ascii="Arial" w:cs="Arial" w:eastAsia="Arial" w:hAnsi="Arial"/>
                <w:sz w:val="20"/>
                <w:szCs w:val="20"/>
                <w:color w:val="auto"/>
              </w:rPr>
              <w:t xml:space="preserve">Unallocated general and administrative expenses </w:t>
            </w:r>
            <w:r>
              <w:rPr>
                <w:rFonts w:ascii="Arial" w:cs="Arial" w:eastAsia="Arial" w:hAnsi="Arial"/>
                <w:sz w:val="25"/>
                <w:szCs w:val="25"/>
                <w:color w:val="auto"/>
                <w:vertAlign w:val="superscript"/>
              </w:rPr>
              <w:t>(3)</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55"/>
        </w:trPr>
        <w:tc>
          <w:tcPr>
            <w:tcW w:w="5440" w:type="dxa"/>
            <w:vAlign w:val="bottom"/>
            <w:gridSpan w:val="3"/>
          </w:tcPr>
          <w:p>
            <w:pPr>
              <w:ind w:left="140"/>
              <w:spacing w:after="0"/>
              <w:rPr>
                <w:sz w:val="20"/>
                <w:szCs w:val="20"/>
                <w:color w:val="auto"/>
              </w:rPr>
            </w:pPr>
            <w:r>
              <w:rPr>
                <w:rFonts w:ascii="Arial" w:cs="Arial" w:eastAsia="Arial" w:hAnsi="Arial"/>
                <w:sz w:val="20"/>
                <w:szCs w:val="20"/>
                <w:color w:val="auto"/>
              </w:rPr>
              <w:t>Selected Items Impacting Comparability:</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0"/>
                <w:szCs w:val="20"/>
                <w:color w:val="auto"/>
              </w:rPr>
              <w:t>Derivative activities and inventory valuation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0"/>
                <w:szCs w:val="20"/>
                <w:color w:val="auto"/>
              </w:rPr>
              <w:t>Long-term inventory costing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35</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0"/>
                <w:szCs w:val="20"/>
                <w:color w:val="auto"/>
              </w:rPr>
              <w:t>Deficiencies under minimum volume commitments, net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0"/>
                <w:szCs w:val="20"/>
                <w:color w:val="auto"/>
              </w:rPr>
              <w:t>Equity-indexed compensation expense</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0"/>
                <w:szCs w:val="20"/>
                <w:color w:val="auto"/>
              </w:rPr>
              <w:t>Foreign currency revaluation</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0"/>
                <w:szCs w:val="20"/>
                <w:color w:val="auto"/>
              </w:rPr>
              <w:t>Line 901 incident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345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335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2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20"/>
                <w:szCs w:val="20"/>
                <w:color w:val="auto"/>
              </w:rPr>
              <w:t>Transaction-related expenses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8"/>
        </w:trPr>
        <w:tc>
          <w:tcPr>
            <w:tcW w:w="5440" w:type="dxa"/>
            <w:vAlign w:val="bottom"/>
            <w:gridSpan w:val="3"/>
          </w:tcPr>
          <w:p>
            <w:pPr>
              <w:ind w:left="80"/>
              <w:spacing w:after="0" w:line="207" w:lineRule="exact"/>
              <w:rPr>
                <w:sz w:val="20"/>
                <w:szCs w:val="20"/>
                <w:color w:val="auto"/>
              </w:rPr>
            </w:pPr>
            <w:r>
              <w:rPr>
                <w:rFonts w:ascii="Arial" w:cs="Arial" w:eastAsia="Arial" w:hAnsi="Arial"/>
                <w:sz w:val="20"/>
                <w:szCs w:val="20"/>
                <w:color w:val="auto"/>
              </w:rPr>
              <w:t>Selected Items Impacting Comparability - Segment Adjusted</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277</w:t>
            </w: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122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200" w:type="dxa"/>
            <w:vAlign w:val="bottom"/>
          </w:tcPr>
          <w:p>
            <w:pPr>
              <w:spacing w:after="0"/>
              <w:rPr>
                <w:sz w:val="24"/>
                <w:szCs w:val="24"/>
                <w:color w:val="auto"/>
              </w:rPr>
            </w:pPr>
          </w:p>
        </w:tc>
        <w:tc>
          <w:tcPr>
            <w:tcW w:w="5240" w:type="dxa"/>
            <w:vAlign w:val="bottom"/>
            <w:gridSpan w:val="2"/>
          </w:tcPr>
          <w:p>
            <w:pPr>
              <w:ind w:left="60"/>
              <w:spacing w:after="0"/>
              <w:rPr>
                <w:sz w:val="20"/>
                <w:szCs w:val="20"/>
                <w:color w:val="auto"/>
              </w:rPr>
            </w:pPr>
            <w:r>
              <w:rPr>
                <w:rFonts w:ascii="Arial" w:cs="Arial" w:eastAsia="Arial" w:hAnsi="Arial"/>
                <w:sz w:val="20"/>
                <w:szCs w:val="20"/>
                <w:color w:val="auto"/>
              </w:rPr>
              <w:t xml:space="preserve">EBITDA </w:t>
            </w:r>
            <w:r>
              <w:rPr>
                <w:rFonts w:ascii="Arial" w:cs="Arial" w:eastAsia="Arial" w:hAnsi="Arial"/>
                <w:sz w:val="25"/>
                <w:szCs w:val="25"/>
                <w:color w:val="auto"/>
                <w:vertAlign w:val="superscript"/>
              </w:rPr>
              <w:t>(4)</w:t>
            </w:r>
          </w:p>
        </w:tc>
        <w:tc>
          <w:tcPr>
            <w:tcW w:w="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5240" w:type="dxa"/>
            <w:vAlign w:val="bottom"/>
            <w:gridSpan w:val="2"/>
          </w:tcPr>
          <w:p>
            <w:pPr>
              <w:spacing w:after="0" w:line="197" w:lineRule="exact"/>
              <w:rPr>
                <w:sz w:val="20"/>
                <w:szCs w:val="20"/>
                <w:color w:val="auto"/>
              </w:rPr>
            </w:pPr>
            <w:r>
              <w:rPr>
                <w:rFonts w:ascii="Arial" w:cs="Arial" w:eastAsia="Arial" w:hAnsi="Arial"/>
                <w:sz w:val="20"/>
                <w:szCs w:val="20"/>
                <w:color w:val="auto"/>
                <w:w w:val="92"/>
              </w:rPr>
              <w:t>Mark-to-market adjustment of Preferred Distribution Rate Reset</w:t>
            </w: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(58)</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58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8"/>
        </w:trPr>
        <w:tc>
          <w:tcPr>
            <w:tcW w:w="200" w:type="dxa"/>
            <w:vAlign w:val="bottom"/>
          </w:tcPr>
          <w:p>
            <w:pPr>
              <w:spacing w:after="0"/>
              <w:rPr>
                <w:sz w:val="23"/>
                <w:szCs w:val="23"/>
                <w:color w:val="auto"/>
              </w:rPr>
            </w:pPr>
          </w:p>
        </w:tc>
        <w:tc>
          <w:tcPr>
            <w:tcW w:w="5240" w:type="dxa"/>
            <w:vAlign w:val="bottom"/>
            <w:gridSpan w:val="2"/>
          </w:tcPr>
          <w:p>
            <w:pPr>
              <w:ind w:left="180"/>
              <w:spacing w:after="0" w:line="269" w:lineRule="exact"/>
              <w:rPr>
                <w:sz w:val="20"/>
                <w:szCs w:val="20"/>
                <w:color w:val="auto"/>
              </w:rPr>
            </w:pPr>
            <w:r>
              <w:rPr>
                <w:rFonts w:ascii="Arial" w:cs="Arial" w:eastAsia="Arial" w:hAnsi="Arial"/>
                <w:sz w:val="20"/>
                <w:szCs w:val="20"/>
                <w:color w:val="auto"/>
              </w:rPr>
              <w:t xml:space="preserve">Option embedded derivative </w:t>
            </w:r>
            <w:r>
              <w:rPr>
                <w:rFonts w:ascii="Arial" w:cs="Arial" w:eastAsia="Arial" w:hAnsi="Arial"/>
                <w:sz w:val="25"/>
                <w:szCs w:val="25"/>
                <w:color w:val="auto"/>
                <w:vertAlign w:val="superscript"/>
              </w:rPr>
              <w:t>(5)</w:t>
            </w:r>
          </w:p>
        </w:tc>
        <w:tc>
          <w:tcPr>
            <w:tcW w:w="18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5240" w:type="dxa"/>
            <w:vAlign w:val="bottom"/>
            <w:gridSpan w:val="2"/>
          </w:tcPr>
          <w:p>
            <w:pPr>
              <w:spacing w:after="0" w:line="283" w:lineRule="exact"/>
              <w:rPr>
                <w:sz w:val="20"/>
                <w:szCs w:val="20"/>
                <w:color w:val="auto"/>
              </w:rPr>
            </w:pPr>
            <w:r>
              <w:rPr>
                <w:rFonts w:ascii="Arial" w:cs="Arial" w:eastAsia="Arial" w:hAnsi="Arial"/>
                <w:sz w:val="20"/>
                <w:szCs w:val="20"/>
                <w:color w:val="auto"/>
              </w:rPr>
              <w:t xml:space="preserve">Foreign currency revaluation </w:t>
            </w:r>
            <w:r>
              <w:rPr>
                <w:rFonts w:ascii="Arial" w:cs="Arial" w:eastAsia="Arial" w:hAnsi="Arial"/>
                <w:sz w:val="25"/>
                <w:szCs w:val="25"/>
                <w:color w:val="auto"/>
                <w:vertAlign w:val="superscript"/>
              </w:rPr>
              <w:t>(6)</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4"/>
        </w:trPr>
        <w:tc>
          <w:tcPr>
            <w:tcW w:w="5440" w:type="dxa"/>
            <w:vAlign w:val="bottom"/>
            <w:gridSpan w:val="3"/>
          </w:tcPr>
          <w:p>
            <w:pPr>
              <w:ind w:left="80"/>
              <w:spacing w:after="0" w:line="274" w:lineRule="exact"/>
              <w:rPr>
                <w:sz w:val="20"/>
                <w:szCs w:val="20"/>
                <w:color w:val="auto"/>
              </w:rPr>
            </w:pPr>
            <w:r>
              <w:rPr>
                <w:rFonts w:ascii="Arial" w:cs="Arial" w:eastAsia="Arial" w:hAnsi="Arial"/>
                <w:sz w:val="20"/>
                <w:szCs w:val="20"/>
                <w:color w:val="auto"/>
                <w:w w:val="96"/>
              </w:rPr>
              <w:t xml:space="preserve">Selected Items Impacting Comparability - Adjusted EBITDA </w:t>
            </w:r>
            <w:r>
              <w:rPr>
                <w:rFonts w:ascii="Arial" w:cs="Arial" w:eastAsia="Arial" w:hAnsi="Arial"/>
                <w:sz w:val="25"/>
                <w:szCs w:val="25"/>
                <w:color w:val="auto"/>
                <w:w w:val="96"/>
                <w:vertAlign w:val="superscript"/>
              </w:rPr>
              <w:t>(6)</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w:t>
            </w: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5"/>
        </w:trPr>
        <w:tc>
          <w:tcPr>
            <w:tcW w:w="5440" w:type="dxa"/>
            <w:vAlign w:val="bottom"/>
            <w:gridSpan w:val="3"/>
          </w:tcPr>
          <w:p>
            <w:pPr>
              <w:ind w:left="80"/>
              <w:spacing w:after="0"/>
              <w:rPr>
                <w:sz w:val="20"/>
                <w:szCs w:val="20"/>
                <w:color w:val="auto"/>
              </w:rPr>
            </w:pPr>
            <w:r>
              <w:rPr>
                <w:rFonts w:ascii="Arial" w:cs="Arial" w:eastAsia="Arial" w:hAnsi="Arial"/>
                <w:sz w:val="20"/>
                <w:szCs w:val="20"/>
                <w:color w:val="auto"/>
              </w:rPr>
              <w:t xml:space="preserve">Adjusted EBITDA </w:t>
            </w:r>
            <w:r>
              <w:rPr>
                <w:rFonts w:ascii="Arial" w:cs="Arial" w:eastAsia="Arial" w:hAnsi="Arial"/>
                <w:sz w:val="25"/>
                <w:szCs w:val="25"/>
                <w:color w:val="auto"/>
                <w:vertAlign w:val="superscript"/>
              </w:rPr>
              <w:t>(7)</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3,326</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3,167</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159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5240" w:type="dxa"/>
            <w:vAlign w:val="bottom"/>
            <w:gridSpan w:val="2"/>
          </w:tcPr>
          <w:p>
            <w:pPr>
              <w:spacing w:after="0" w:line="197" w:lineRule="exact"/>
              <w:rPr>
                <w:sz w:val="20"/>
                <w:szCs w:val="20"/>
                <w:color w:val="auto"/>
              </w:rPr>
            </w:pPr>
            <w:r>
              <w:rPr>
                <w:rFonts w:ascii="Arial" w:cs="Arial" w:eastAsia="Arial" w:hAnsi="Arial"/>
                <w:sz w:val="20"/>
                <w:szCs w:val="20"/>
                <w:color w:val="auto"/>
              </w:rPr>
              <w:t>Adjusted EBITDA attributable to noncontrolling interests in</w:t>
            </w: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(547)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(456)</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(91)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5240" w:type="dxa"/>
            <w:vAlign w:val="bottom"/>
            <w:gridSpan w:val="2"/>
          </w:tcPr>
          <w:p>
            <w:pPr>
              <w:ind w:left="180"/>
              <w:spacing w:after="0" w:line="258" w:lineRule="exact"/>
              <w:rPr>
                <w:sz w:val="20"/>
                <w:szCs w:val="20"/>
                <w:color w:val="auto"/>
              </w:rPr>
            </w:pPr>
            <w:r>
              <w:rPr>
                <w:rFonts w:ascii="Arial" w:cs="Arial" w:eastAsia="Arial" w:hAnsi="Arial"/>
                <w:sz w:val="20"/>
                <w:szCs w:val="20"/>
                <w:color w:val="auto"/>
              </w:rPr>
              <w:t xml:space="preserve">consolidated joint ventures </w:t>
            </w:r>
            <w:r>
              <w:rPr>
                <w:rFonts w:ascii="Arial" w:cs="Arial" w:eastAsia="Arial" w:hAnsi="Arial"/>
                <w:sz w:val="25"/>
                <w:szCs w:val="25"/>
                <w:color w:val="auto"/>
                <w:vertAlign w:val="superscript"/>
              </w:rPr>
              <w:t>(8)</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440" w:type="dxa"/>
            <w:vAlign w:val="bottom"/>
            <w:gridSpan w:val="3"/>
          </w:tcPr>
          <w:p>
            <w:pPr>
              <w:ind w:left="80"/>
              <w:spacing w:after="0"/>
              <w:rPr>
                <w:sz w:val="20"/>
                <w:szCs w:val="20"/>
                <w:color w:val="auto"/>
              </w:rPr>
            </w:pPr>
            <w:r>
              <w:rPr>
                <w:rFonts w:ascii="Arial" w:cs="Arial" w:eastAsia="Arial" w:hAnsi="Arial"/>
                <w:sz w:val="20"/>
                <w:szCs w:val="20"/>
                <w:color w:val="auto"/>
              </w:rPr>
              <w:t>Adjusted EBITDA attributable to PAA</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2,779</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2,711</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68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3 %</w:t>
            </w:r>
          </w:p>
        </w:tc>
        <w:tc>
          <w:tcPr>
            <w:tcW w:w="0" w:type="dxa"/>
            <w:vAlign w:val="bottom"/>
          </w:tcPr>
          <w:p>
            <w:pPr>
              <w:spacing w:after="0"/>
              <w:rPr>
                <w:sz w:val="1"/>
                <w:szCs w:val="1"/>
                <w:color w:val="auto"/>
              </w:rPr>
            </w:pPr>
          </w:p>
        </w:tc>
      </w:tr>
      <w:tr>
        <w:trPr>
          <w:trHeight w:val="132"/>
        </w:trPr>
        <w:tc>
          <w:tcPr>
            <w:tcW w:w="20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5240" w:type="dxa"/>
            <w:vAlign w:val="bottom"/>
            <w:gridSpan w:val="2"/>
          </w:tcPr>
          <w:p>
            <w:pPr>
              <w:ind w:left="500"/>
              <w:spacing w:after="0"/>
              <w:rPr>
                <w:sz w:val="20"/>
                <w:szCs w:val="20"/>
                <w:color w:val="auto"/>
              </w:rPr>
            </w:pPr>
            <w:r>
              <w:rPr>
                <w:rFonts w:ascii="Arial" w:cs="Arial" w:eastAsia="Arial" w:hAnsi="Arial"/>
                <w:sz w:val="20"/>
                <w:szCs w:val="20"/>
                <w:color w:val="auto"/>
                <w:w w:val="92"/>
              </w:rPr>
              <w:t>Indicates that variance as a percentage is not meaningful.</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-4964430</wp:posOffset>
            </wp:positionV>
            <wp:extent cx="6372860" cy="4695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6372860" cy="4695825"/>
                    </a:xfrm>
                    <a:prstGeom prst="rect">
                      <a:avLst/>
                    </a:prstGeom>
                    <a:noFill/>
                  </pic:spPr>
                </pic:pic>
              </a:graphicData>
            </a:graphic>
          </wp:anchor>
        </w:drawing>
      </w:r>
    </w:p>
    <w:p>
      <w:pPr>
        <w:sectPr>
          <w:pgSz w:w="11880" w:h="15480" w:orient="portrait"/>
          <w:cols w:equalWidth="0" w:num="1">
            <w:col w:w="10020"/>
          </w:cols>
          <w:pgMar w:left="920" w:top="582" w:right="940" w:bottom="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Represents “Interest expense, net” as reported on our Consolidated Statements of Operations.</w:t>
      </w:r>
    </w:p>
    <w:p>
      <w:pPr>
        <w:spacing w:after="0" w:line="123"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63" w:lineRule="exact"/>
        <w:rPr>
          <w:sz w:val="20"/>
          <w:szCs w:val="20"/>
          <w:color w:val="auto"/>
        </w:rPr>
      </w:pPr>
    </w:p>
    <w:p>
      <w:pPr>
        <w:sectPr>
          <w:pgSz w:w="11880" w:h="15480" w:orient="portrait"/>
          <w:cols w:equalWidth="0" w:num="2">
            <w:col w:w="140" w:space="560"/>
            <w:col w:w="9320"/>
          </w:cols>
          <w:pgMar w:left="920" w:top="582" w:right="940" w:bottom="0" w:gutter="0" w:footer="0" w:header="0"/>
          <w:type w:val="continuous"/>
        </w:sect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Arial" w:cs="Arial" w:eastAsia="Arial" w:hAnsi="Arial"/>
          <w:sz w:val="20"/>
          <w:szCs w:val="20"/>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82" w:lineRule="exact"/>
        <w:rPr>
          <w:sz w:val="20"/>
          <w:szCs w:val="20"/>
          <w:color w:val="auto"/>
        </w:rPr>
      </w:pPr>
    </w:p>
    <w:p>
      <w:pPr>
        <w:ind w:right="500"/>
        <w:spacing w:after="0" w:line="298" w:lineRule="auto"/>
        <w:rPr>
          <w:sz w:val="20"/>
          <w:szCs w:val="20"/>
          <w:color w:val="auto"/>
        </w:rPr>
      </w:pPr>
      <w:r>
        <w:rPr>
          <w:rFonts w:ascii="Arial" w:cs="Arial" w:eastAsia="Arial" w:hAnsi="Arial"/>
          <w:sz w:val="19"/>
          <w:szCs w:val="19"/>
          <w:color w:val="auto"/>
        </w:rPr>
        <w:t>For a more detailed discussion of these selected items impacting comparability, see the footnotes to the Segment Adjusted EBITDA Reconciliation table in Note 19 to our Consolidated Financial Statements.</w:t>
      </w:r>
    </w:p>
    <w:p>
      <w:pPr>
        <w:spacing w:after="0" w:line="27" w:lineRule="exact"/>
        <w:rPr>
          <w:sz w:val="20"/>
          <w:szCs w:val="20"/>
          <w:color w:val="auto"/>
        </w:rPr>
      </w:pPr>
    </w:p>
    <w:p>
      <w:pPr>
        <w:sectPr>
          <w:pgSz w:w="11880" w:h="15480" w:orient="portrait"/>
          <w:cols w:equalWidth="0" w:num="2">
            <w:col w:w="140" w:space="560"/>
            <w:col w:w="9320"/>
          </w:cols>
          <w:pgMar w:left="920" w:top="582" w:right="940" w:bottom="0" w:gutter="0" w:footer="0" w:header="0"/>
          <w:type w:val="continuous"/>
        </w:sect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ind w:right="60"/>
        <w:spacing w:after="0" w:line="312" w:lineRule="auto"/>
        <w:rPr>
          <w:sz w:val="20"/>
          <w:szCs w:val="20"/>
          <w:color w:val="auto"/>
        </w:rPr>
      </w:pPr>
      <w:r>
        <w:rPr>
          <w:rFonts w:ascii="Arial" w:cs="Arial" w:eastAsia="Arial" w:hAnsi="Arial"/>
          <w:sz w:val="17"/>
          <w:szCs w:val="17"/>
          <w:color w:val="auto"/>
        </w:rPr>
        <w:t>The Preferred Distribution Rate Reset Option of PAA’s Series A preferred units was accounted for as an embedded derivative and recorded at fair value in our Consolidated Financial Statements. The associated gains and losses are not integral to our results and were thus classified as a selected item impacting comparability. See Note 12 to our Consolidated Financial Statements for additional information regarding the Preferred Distribution Rate Reset Option.</w:t>
      </w:r>
    </w:p>
    <w:p>
      <w:pPr>
        <w:spacing w:after="0" w:line="42"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200" w:lineRule="exact"/>
        <w:rPr>
          <w:sz w:val="20"/>
          <w:szCs w:val="20"/>
          <w:color w:val="auto"/>
        </w:rPr>
      </w:pPr>
    </w:p>
    <w:p>
      <w:pPr>
        <w:sectPr>
          <w:pgSz w:w="11880" w:h="15480" w:orient="portrait"/>
          <w:cols w:equalWidth="0" w:num="2">
            <w:col w:w="140" w:space="560"/>
            <w:col w:w="9320"/>
          </w:cols>
          <w:pgMar w:left="920" w:top="582" w:right="940" w:bottom="0" w:gutter="0" w:footer="0" w:header="0"/>
          <w:type w:val="continuous"/>
        </w:sect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020"/>
          </w:cols>
          <w:pgMar w:left="920" w:top="582" w:right="940" w:bottom="0" w:gutter="0" w:footer="0" w:header="0"/>
          <w:type w:val="continuous"/>
        </w:sectPr>
      </w:pPr>
    </w:p>
    <w:bookmarkStart w:id="77" w:name="page78"/>
    <w:bookmarkEnd w:id="77"/>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Arial" w:cs="Arial" w:eastAsia="Arial" w:hAnsi="Arial"/>
          <w:sz w:val="20"/>
          <w:szCs w:val="20"/>
          <w:color w:val="auto"/>
        </w:rPr>
        <w:t>“Other income/(expense), net” on our Consolidated Statements of Operations, adjusted for selected items impacting comparability (“Adjusted other income/(expense), net”) is included in Adjusted EBITDA and excluded from Segment Adjusted EBITDA.</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Reflects amounts attributable to noncontrolling interests in the Permian JV, Cactus II and Red River.</w:t>
      </w:r>
    </w:p>
    <w:p>
      <w:pPr>
        <w:spacing w:after="0" w:line="200" w:lineRule="exact"/>
        <w:rPr>
          <w:sz w:val="20"/>
          <w:szCs w:val="20"/>
          <w:color w:val="auto"/>
        </w:rPr>
      </w:pPr>
    </w:p>
    <w:p>
      <w:pPr>
        <w:sectPr>
          <w:pgSz w:w="11880" w:h="15480" w:orient="portrait"/>
          <w:cols w:equalWidth="0" w:num="2">
            <w:col w:w="140" w:space="560"/>
            <w:col w:w="9340"/>
          </w:cols>
          <w:pgMar w:left="920" w:top="564" w:right="920" w:bottom="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Analysis of Operating Segments</w:t>
      </w:r>
    </w:p>
    <w:p>
      <w:pPr>
        <w:spacing w:after="0" w:line="248" w:lineRule="exact"/>
        <w:rPr>
          <w:sz w:val="20"/>
          <w:szCs w:val="20"/>
          <w:color w:val="auto"/>
        </w:rPr>
      </w:pPr>
    </w:p>
    <w:p>
      <w:pPr>
        <w:jc w:val="both"/>
        <w:ind w:right="460" w:firstLine="706"/>
        <w:spacing w:after="0" w:line="278" w:lineRule="auto"/>
        <w:rPr>
          <w:sz w:val="20"/>
          <w:szCs w:val="20"/>
          <w:color w:val="auto"/>
        </w:rPr>
      </w:pPr>
      <w:r>
        <w:rPr>
          <w:rFonts w:ascii="Arial" w:cs="Arial" w:eastAsia="Arial" w:hAnsi="Arial"/>
          <w:sz w:val="19"/>
          <w:szCs w:val="19"/>
          <w:color w:val="auto"/>
        </w:rPr>
        <w:t>We manage our operations through two operating segments: Crude Oil and NGL. Our Chief Operating Decision Maker (“CODM”) (our Chief Executive Officer) evaluates segment performance based on a variety of measures including Segment Adjusted EBITDA, segment volumes and maintenance capital investment.</w:t>
      </w:r>
    </w:p>
    <w:p>
      <w:pPr>
        <w:spacing w:after="0" w:line="182" w:lineRule="exact"/>
        <w:rPr>
          <w:sz w:val="20"/>
          <w:szCs w:val="20"/>
          <w:color w:val="auto"/>
        </w:rPr>
      </w:pPr>
    </w:p>
    <w:p>
      <w:pPr>
        <w:ind w:right="40" w:firstLine="706"/>
        <w:spacing w:after="0" w:line="294"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 See Note 19 to our Consolidated Financial Statements for a reconciliation of Segment Adjusted EBITDA to Net income attributable to PAGP.</w:t>
      </w:r>
    </w:p>
    <w:p>
      <w:pPr>
        <w:spacing w:after="0" w:line="200" w:lineRule="exact"/>
        <w:rPr>
          <w:sz w:val="20"/>
          <w:szCs w:val="20"/>
          <w:color w:val="auto"/>
        </w:rPr>
      </w:pPr>
    </w:p>
    <w:p>
      <w:pPr>
        <w:spacing w:after="0" w:line="215" w:lineRule="exact"/>
        <w:rPr>
          <w:sz w:val="20"/>
          <w:szCs w:val="20"/>
          <w:color w:val="auto"/>
        </w:rPr>
      </w:pPr>
    </w:p>
    <w:p>
      <w:pPr>
        <w:ind w:right="60" w:firstLine="706"/>
        <w:spacing w:after="0" w:line="297" w:lineRule="auto"/>
        <w:rPr>
          <w:sz w:val="20"/>
          <w:szCs w:val="20"/>
          <w:color w:val="auto"/>
        </w:rPr>
      </w:pPr>
      <w:r>
        <w:rPr>
          <w:rFonts w:ascii="Arial" w:cs="Arial" w:eastAsia="Arial" w:hAnsi="Arial"/>
          <w:sz w:val="17"/>
          <w:szCs w:val="17"/>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75" w:lineRule="exact"/>
        <w:rPr>
          <w:sz w:val="20"/>
          <w:szCs w:val="20"/>
          <w:color w:val="auto"/>
        </w:rPr>
      </w:pPr>
    </w:p>
    <w:p>
      <w:pPr>
        <w:ind w:right="620" w:firstLine="706"/>
        <w:spacing w:after="0" w:line="271" w:lineRule="auto"/>
        <w:rPr>
          <w:sz w:val="20"/>
          <w:szCs w:val="20"/>
          <w:color w:val="auto"/>
        </w:rPr>
      </w:pPr>
      <w:r>
        <w:rPr>
          <w:rFonts w:ascii="Arial" w:cs="Arial" w:eastAsia="Arial" w:hAnsi="Arial"/>
          <w:sz w:val="20"/>
          <w:szCs w:val="20"/>
          <w:color w:val="auto"/>
        </w:rPr>
        <w:t>Revenues and expenses from our Canadian based subsidiaries, which use CAD as their functional currency, are translated at the prevailing average exchange rates for the month.</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Crude Oil Segment</w:t>
      </w:r>
    </w:p>
    <w:p>
      <w:pPr>
        <w:spacing w:after="0" w:line="248" w:lineRule="exact"/>
        <w:rPr>
          <w:sz w:val="20"/>
          <w:szCs w:val="20"/>
          <w:color w:val="auto"/>
        </w:rPr>
      </w:pPr>
    </w:p>
    <w:p>
      <w:pPr>
        <w:ind w:right="60" w:firstLine="706"/>
        <w:spacing w:after="0" w:line="303" w:lineRule="auto"/>
        <w:rPr>
          <w:sz w:val="20"/>
          <w:szCs w:val="20"/>
          <w:color w:val="auto"/>
        </w:rPr>
      </w:pPr>
      <w:r>
        <w:rPr>
          <w:rFonts w:ascii="Arial" w:cs="Arial" w:eastAsia="Arial" w:hAnsi="Arial"/>
          <w:sz w:val="17"/>
          <w:szCs w:val="17"/>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166" w:lineRule="exact"/>
        <w:rPr>
          <w:sz w:val="20"/>
          <w:szCs w:val="20"/>
          <w:color w:val="auto"/>
        </w:rPr>
      </w:pPr>
    </w:p>
    <w:p>
      <w:pPr>
        <w:ind w:firstLine="706"/>
        <w:spacing w:after="0" w:line="264" w:lineRule="auto"/>
        <w:rPr>
          <w:sz w:val="20"/>
          <w:szCs w:val="20"/>
          <w:color w:val="auto"/>
        </w:rPr>
      </w:pPr>
      <w:r>
        <w:rPr>
          <w:rFonts w:ascii="Arial" w:cs="Arial" w:eastAsia="Arial" w:hAnsi="Arial"/>
          <w:sz w:val="19"/>
          <w:szCs w:val="19"/>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w:t>
      </w:r>
    </w:p>
    <w:p>
      <w:pPr>
        <w:sectPr>
          <w:pgSz w:w="11880" w:h="15480" w:orient="portrait"/>
          <w:cols w:equalWidth="0" w:num="1">
            <w:col w:w="10040"/>
          </w:cols>
          <w:pgMar w:left="920" w:top="56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040"/>
          </w:cols>
          <w:pgMar w:left="920" w:top="564" w:right="920" w:bottom="0" w:gutter="0" w:footer="0" w:header="0"/>
          <w:type w:val="continuous"/>
        </w:sectPr>
      </w:pPr>
    </w:p>
    <w:bookmarkStart w:id="78" w:name="page79"/>
    <w:bookmarkEnd w:id="78"/>
    <w:p>
      <w:pPr>
        <w:ind w:left="707"/>
        <w:spacing w:after="0"/>
        <w:rPr>
          <w:sz w:val="20"/>
          <w:szCs w:val="20"/>
          <w:color w:val="auto"/>
        </w:rPr>
      </w:pPr>
      <w:r>
        <w:rPr>
          <w:rFonts w:ascii="Arial" w:cs="Arial" w:eastAsia="Arial" w:hAnsi="Arial"/>
          <w:sz w:val="20"/>
          <w:szCs w:val="20"/>
          <w:color w:val="auto"/>
        </w:rPr>
        <w:t>The following tables set forth our operating results from our Crude Oil segment:</w:t>
      </w:r>
    </w:p>
    <w:p>
      <w:pPr>
        <w:spacing w:after="0" w:line="311"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5380" w:type="dxa"/>
            <w:vAlign w:val="bottom"/>
            <w:gridSpan w:val="5"/>
          </w:tcPr>
          <w:p>
            <w:pPr>
              <w:spacing w:after="0"/>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20"/>
                <w:szCs w:val="20"/>
                <w:b w:val="1"/>
                <w:bCs w:val="1"/>
                <w:color w:val="auto"/>
                <w:vertAlign w:val="superscript"/>
              </w:rPr>
              <w:t>(1)</w:t>
            </w:r>
          </w:p>
        </w:tc>
        <w:tc>
          <w:tcPr>
            <w:tcW w:w="180" w:type="dxa"/>
            <w:vAlign w:val="bottom"/>
          </w:tcPr>
          <w:p>
            <w:pPr>
              <w:spacing w:after="0"/>
              <w:rPr>
                <w:sz w:val="19"/>
                <w:szCs w:val="19"/>
                <w:color w:val="auto"/>
              </w:rPr>
            </w:pPr>
          </w:p>
        </w:tc>
        <w:tc>
          <w:tcPr>
            <w:tcW w:w="2120" w:type="dxa"/>
            <w:vAlign w:val="bottom"/>
            <w:gridSpan w:val="9"/>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5"/>
          </w:tcPr>
          <w:p>
            <w:pPr>
              <w:ind w:left="640"/>
              <w:spacing w:after="0"/>
              <w:rPr>
                <w:sz w:val="20"/>
                <w:szCs w:val="20"/>
                <w:color w:val="auto"/>
              </w:rPr>
            </w:pPr>
            <w:r>
              <w:rPr>
                <w:rFonts w:ascii="Arial" w:cs="Arial" w:eastAsia="Arial" w:hAnsi="Arial"/>
                <w:sz w:val="16"/>
                <w:szCs w:val="16"/>
                <w:b w:val="1"/>
                <w:bCs w:val="1"/>
                <w:color w:val="auto"/>
                <w:w w:val="98"/>
              </w:rPr>
              <w:t>Variance</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(in millions)</w:t>
            </w:r>
          </w:p>
        </w:tc>
        <w:tc>
          <w:tcPr>
            <w:tcW w:w="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380" w:type="dxa"/>
            <w:vAlign w:val="bottom"/>
            <w:gridSpan w:val="5"/>
          </w:tcPr>
          <w:p>
            <w:pPr>
              <w:spacing w:after="0"/>
              <w:rPr>
                <w:sz w:val="20"/>
                <w:szCs w:val="20"/>
                <w:color w:val="auto"/>
              </w:rPr>
            </w:pPr>
            <w:r>
              <w:rPr>
                <w:rFonts w:ascii="Arial" w:cs="Arial" w:eastAsia="Arial" w:hAnsi="Arial"/>
                <w:sz w:val="20"/>
                <w:szCs w:val="20"/>
                <w:color w:val="auto"/>
              </w:rPr>
              <w:t>Revenues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48,720</w:t>
            </w:r>
          </w:p>
        </w:tc>
        <w:tc>
          <w:tcPr>
            <w:tcW w:w="40" w:type="dxa"/>
            <w:vAlign w:val="bottom"/>
          </w:tcPr>
          <w:p>
            <w:pPr>
              <w:spacing w:after="0"/>
              <w:rPr>
                <w:sz w:val="23"/>
                <w:szCs w:val="23"/>
                <w:color w:val="auto"/>
              </w:rPr>
            </w:pPr>
          </w:p>
        </w:tc>
        <w:tc>
          <w:tcPr>
            <w:tcW w:w="320" w:type="dxa"/>
            <w:vAlign w:val="bottom"/>
            <w:gridSpan w:val="3"/>
          </w:tcPr>
          <w:p>
            <w:pPr>
              <w:jc w:val="right"/>
              <w:ind w:right="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47,174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2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1,546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3 %</w:t>
            </w:r>
          </w:p>
        </w:tc>
        <w:tc>
          <w:tcPr>
            <w:tcW w:w="0" w:type="dxa"/>
            <w:vAlign w:val="bottom"/>
          </w:tcPr>
          <w:p>
            <w:pPr>
              <w:spacing w:after="0"/>
              <w:rPr>
                <w:sz w:val="1"/>
                <w:szCs w:val="1"/>
                <w:color w:val="auto"/>
              </w:rPr>
            </w:pPr>
          </w:p>
        </w:tc>
      </w:tr>
      <w:tr>
        <w:trPr>
          <w:trHeight w:val="315"/>
        </w:trPr>
        <w:tc>
          <w:tcPr>
            <w:tcW w:w="60" w:type="dxa"/>
            <w:vAlign w:val="bottom"/>
          </w:tcPr>
          <w:p>
            <w:pPr>
              <w:spacing w:after="0"/>
              <w:rPr>
                <w:sz w:val="24"/>
                <w:szCs w:val="24"/>
                <w:color w:val="auto"/>
              </w:rPr>
            </w:pPr>
          </w:p>
        </w:tc>
        <w:tc>
          <w:tcPr>
            <w:tcW w:w="5380" w:type="dxa"/>
            <w:vAlign w:val="bottom"/>
            <w:gridSpan w:val="5"/>
          </w:tcPr>
          <w:p>
            <w:pPr>
              <w:spacing w:after="0"/>
              <w:rPr>
                <w:sz w:val="20"/>
                <w:szCs w:val="20"/>
                <w:color w:val="auto"/>
              </w:rPr>
            </w:pPr>
            <w:r>
              <w:rPr>
                <w:rFonts w:ascii="Arial" w:cs="Arial" w:eastAsia="Arial" w:hAnsi="Arial"/>
                <w:sz w:val="20"/>
                <w:szCs w:val="20"/>
                <w:color w:val="auto"/>
              </w:rPr>
              <w:t xml:space="preserve">Purchases and related costs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(45,033)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(43,805)</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(1,228)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spacing w:after="0"/>
              <w:rPr>
                <w:sz w:val="20"/>
                <w:szCs w:val="20"/>
                <w:color w:val="auto"/>
              </w:rPr>
            </w:pPr>
            <w:r>
              <w:rPr>
                <w:rFonts w:ascii="Arial" w:cs="Arial" w:eastAsia="Arial" w:hAnsi="Arial"/>
                <w:sz w:val="20"/>
                <w:szCs w:val="20"/>
                <w:color w:val="auto"/>
              </w:rPr>
              <w:t xml:space="preserve">Field operating costs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(1,440)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(1,053)</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(387)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312"/>
        </w:trPr>
        <w:tc>
          <w:tcPr>
            <w:tcW w:w="60" w:type="dxa"/>
            <w:vAlign w:val="bottom"/>
          </w:tcPr>
          <w:p>
            <w:pPr>
              <w:spacing w:after="0"/>
              <w:rPr>
                <w:sz w:val="24"/>
                <w:szCs w:val="24"/>
                <w:color w:val="auto"/>
              </w:rPr>
            </w:pPr>
          </w:p>
        </w:tc>
        <w:tc>
          <w:tcPr>
            <w:tcW w:w="5380" w:type="dxa"/>
            <w:vAlign w:val="bottom"/>
            <w:gridSpan w:val="5"/>
          </w:tcPr>
          <w:p>
            <w:pPr>
              <w:spacing w:after="0"/>
              <w:rPr>
                <w:sz w:val="20"/>
                <w:szCs w:val="20"/>
                <w:color w:val="auto"/>
              </w:rPr>
            </w:pPr>
            <w:r>
              <w:rPr>
                <w:rFonts w:ascii="Arial" w:cs="Arial" w:eastAsia="Arial" w:hAnsi="Arial"/>
                <w:sz w:val="20"/>
                <w:szCs w:val="20"/>
                <w:color w:val="auto"/>
              </w:rPr>
              <w:t xml:space="preserve">Segment general and administrative expenses </w:t>
            </w:r>
            <w:r>
              <w:rPr>
                <w:rFonts w:ascii="Arial" w:cs="Arial" w:eastAsia="Arial" w:hAnsi="Arial"/>
                <w:sz w:val="25"/>
                <w:szCs w:val="25"/>
                <w:color w:val="auto"/>
                <w:vertAlign w:val="superscript"/>
              </w:rPr>
              <w:t>(2) (3)</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(298)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(271)</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5380" w:type="dxa"/>
            <w:vAlign w:val="bottom"/>
            <w:gridSpan w:val="5"/>
          </w:tcPr>
          <w:p>
            <w:pPr>
              <w:spacing w:after="0"/>
              <w:rPr>
                <w:sz w:val="20"/>
                <w:szCs w:val="20"/>
                <w:color w:val="auto"/>
              </w:rPr>
            </w:pPr>
            <w:r>
              <w:rPr>
                <w:rFonts w:ascii="Arial" w:cs="Arial" w:eastAsia="Arial" w:hAnsi="Arial"/>
                <w:sz w:val="20"/>
                <w:szCs w:val="20"/>
                <w:color w:val="auto"/>
              </w:rPr>
              <w:t>Equity earnings in unconsolidated entities</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452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369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22 %</w:t>
            </w:r>
          </w:p>
        </w:tc>
        <w:tc>
          <w:tcPr>
            <w:tcW w:w="0" w:type="dxa"/>
            <w:vAlign w:val="bottom"/>
          </w:tcPr>
          <w:p>
            <w:pPr>
              <w:spacing w:after="0"/>
              <w:rPr>
                <w:sz w:val="1"/>
                <w:szCs w:val="1"/>
                <w:color w:val="auto"/>
              </w:rPr>
            </w:pPr>
          </w:p>
        </w:tc>
      </w:tr>
      <w:tr>
        <w:trPr>
          <w:trHeight w:val="627"/>
        </w:trPr>
        <w:tc>
          <w:tcPr>
            <w:tcW w:w="60" w:type="dxa"/>
            <w:vAlign w:val="bottom"/>
          </w:tcPr>
          <w:p>
            <w:pPr>
              <w:spacing w:after="0"/>
              <w:rPr>
                <w:sz w:val="24"/>
                <w:szCs w:val="24"/>
                <w:color w:val="auto"/>
              </w:rPr>
            </w:pPr>
          </w:p>
        </w:tc>
        <w:tc>
          <w:tcPr>
            <w:tcW w:w="5380" w:type="dxa"/>
            <w:vAlign w:val="bottom"/>
            <w:gridSpan w:val="5"/>
          </w:tcPr>
          <w:p>
            <w:pPr>
              <w:spacing w:after="0"/>
              <w:rPr>
                <w:sz w:val="20"/>
                <w:szCs w:val="20"/>
                <w:color w:val="auto"/>
              </w:rPr>
            </w:pPr>
            <w:r>
              <w:rPr>
                <w:rFonts w:ascii="Arial" w:cs="Arial" w:eastAsia="Arial" w:hAnsi="Arial"/>
                <w:sz w:val="20"/>
                <w:szCs w:val="20"/>
                <w:color w:val="auto"/>
              </w:rPr>
              <w:t xml:space="preserve">Other segment items </w:t>
            </w:r>
            <w:r>
              <w:rPr>
                <w:rFonts w:ascii="Arial" w:cs="Arial" w:eastAsia="Arial" w:hAnsi="Arial"/>
                <w:sz w:val="25"/>
                <w:szCs w:val="25"/>
                <w:color w:val="auto"/>
                <w:vertAlign w:val="superscript"/>
              </w:rPr>
              <w:t>(4)</w:t>
            </w: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Depreciation and amortization of unconsolidated entities</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Derivative activities and inventory valuation adjustments</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Long-term inventory costing adjustments</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Deficiencies under minimum volume commitments, net</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(43)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Equity-indexed compensation expense</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Foreign currency revaluation</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20"/>
                <w:szCs w:val="20"/>
                <w:color w:val="auto"/>
              </w:rPr>
              <w:t>(22)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(41)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Line 901 incident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Transaction-related expenses</w:t>
            </w:r>
          </w:p>
        </w:tc>
        <w:tc>
          <w:tcPr>
            <w:tcW w:w="18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380" w:type="dxa"/>
            <w:vAlign w:val="bottom"/>
            <w:gridSpan w:val="5"/>
          </w:tcPr>
          <w:p>
            <w:pPr>
              <w:ind w:left="180"/>
              <w:spacing w:after="0" w:line="197" w:lineRule="exact"/>
              <w:rPr>
                <w:sz w:val="20"/>
                <w:szCs w:val="20"/>
                <w:color w:val="auto"/>
              </w:rPr>
            </w:pPr>
            <w:r>
              <w:rPr>
                <w:rFonts w:ascii="Arial" w:cs="Arial" w:eastAsia="Arial" w:hAnsi="Arial"/>
                <w:sz w:val="20"/>
                <w:szCs w:val="20"/>
                <w:color w:val="auto"/>
                <w:w w:val="99"/>
              </w:rPr>
              <w:t>Segment amounts attributable to noncontrolling interests in</w:t>
            </w:r>
          </w:p>
        </w:tc>
        <w:tc>
          <w:tcPr>
            <w:tcW w:w="180" w:type="dxa"/>
            <w:vAlign w:val="bottom"/>
          </w:tcPr>
          <w:p>
            <w:pPr>
              <w:spacing w:after="0"/>
              <w:rPr>
                <w:sz w:val="17"/>
                <w:szCs w:val="17"/>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(543)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20"/>
                <w:szCs w:val="20"/>
                <w:color w:val="auto"/>
              </w:rPr>
              <w:t>(454)</w:t>
            </w: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20"/>
                <w:szCs w:val="20"/>
                <w:color w:val="auto"/>
              </w:rPr>
              <w:t>(89)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5380" w:type="dxa"/>
            <w:vAlign w:val="bottom"/>
            <w:gridSpan w:val="5"/>
          </w:tcPr>
          <w:p>
            <w:pPr>
              <w:ind w:left="260"/>
              <w:spacing w:after="0"/>
              <w:rPr>
                <w:sz w:val="20"/>
                <w:szCs w:val="20"/>
                <w:color w:val="auto"/>
              </w:rPr>
            </w:pPr>
            <w:r>
              <w:rPr>
                <w:rFonts w:ascii="Arial" w:cs="Arial" w:eastAsia="Arial" w:hAnsi="Arial"/>
                <w:sz w:val="20"/>
                <w:szCs w:val="20"/>
                <w:color w:val="auto"/>
              </w:rPr>
              <w:t>consolidated joint ventures</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5380" w:type="dxa"/>
            <w:vAlign w:val="bottom"/>
            <w:gridSpan w:val="5"/>
          </w:tcPr>
          <w:p>
            <w:pPr>
              <w:spacing w:after="0"/>
              <w:rPr>
                <w:sz w:val="20"/>
                <w:szCs w:val="20"/>
                <w:color w:val="auto"/>
              </w:rPr>
            </w:pPr>
            <w:r>
              <w:rPr>
                <w:rFonts w:ascii="Arial" w:cs="Arial" w:eastAsia="Arial" w:hAnsi="Arial"/>
                <w:sz w:val="20"/>
                <w:szCs w:val="20"/>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2,276</w:t>
            </w:r>
          </w:p>
        </w:tc>
        <w:tc>
          <w:tcPr>
            <w:tcW w:w="40" w:type="dxa"/>
            <w:vAlign w:val="bottom"/>
            <w:tcBorders>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2,163</w:t>
            </w:r>
          </w:p>
        </w:tc>
        <w:tc>
          <w:tcPr>
            <w:tcW w:w="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w:t>
            </w:r>
          </w:p>
        </w:tc>
        <w:tc>
          <w:tcPr>
            <w:tcW w:w="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60" w:type="dxa"/>
            <w:vAlign w:val="bottom"/>
          </w:tcPr>
          <w:p>
            <w:pPr>
              <w:spacing w:after="0"/>
              <w:rPr>
                <w:sz w:val="24"/>
                <w:szCs w:val="24"/>
                <w:color w:val="auto"/>
              </w:rPr>
            </w:pPr>
          </w:p>
        </w:tc>
        <w:tc>
          <w:tcPr>
            <w:tcW w:w="5380" w:type="dxa"/>
            <w:vAlign w:val="bottom"/>
            <w:gridSpan w:val="5"/>
          </w:tcPr>
          <w:p>
            <w:pPr>
              <w:spacing w:after="0"/>
              <w:rPr>
                <w:sz w:val="20"/>
                <w:szCs w:val="20"/>
                <w:color w:val="auto"/>
              </w:rPr>
            </w:pPr>
            <w:r>
              <w:rPr>
                <w:rFonts w:ascii="Arial" w:cs="Arial" w:eastAsia="Arial" w:hAnsi="Arial"/>
                <w:sz w:val="20"/>
                <w:szCs w:val="20"/>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w:t>
            </w:r>
          </w:p>
        </w:tc>
        <w:tc>
          <w:tcPr>
            <w:tcW w:w="4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26 %</w:t>
            </w:r>
          </w:p>
        </w:tc>
        <w:tc>
          <w:tcPr>
            <w:tcW w:w="0" w:type="dxa"/>
            <w:vAlign w:val="bottom"/>
          </w:tcPr>
          <w:p>
            <w:pPr>
              <w:spacing w:after="0"/>
              <w:rPr>
                <w:sz w:val="1"/>
                <w:szCs w:val="1"/>
                <w:color w:val="auto"/>
              </w:rPr>
            </w:pPr>
          </w:p>
        </w:tc>
      </w:tr>
      <w:tr>
        <w:trPr>
          <w:trHeight w:val="544"/>
        </w:trPr>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6"/>
                <w:szCs w:val="16"/>
                <w:b w:val="1"/>
                <w:bCs w:val="1"/>
                <w:color w:val="auto"/>
                <w:w w:val="89"/>
              </w:rPr>
              <w:t>Year Ended December 31,</w:t>
            </w:r>
          </w:p>
        </w:tc>
        <w:tc>
          <w:tcPr>
            <w:tcW w:w="1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Variance</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80" w:type="dxa"/>
            <w:vAlign w:val="bottom"/>
            <w:gridSpan w:val="5"/>
          </w:tcPr>
          <w:p>
            <w:pPr>
              <w:ind w:left="40"/>
              <w:spacing w:after="0"/>
              <w:rPr>
                <w:sz w:val="20"/>
                <w:szCs w:val="20"/>
                <w:color w:val="auto"/>
              </w:rPr>
            </w:pPr>
            <w:r>
              <w:rPr>
                <w:rFonts w:ascii="Arial" w:cs="Arial" w:eastAsia="Arial" w:hAnsi="Arial"/>
                <w:sz w:val="16"/>
                <w:szCs w:val="16"/>
                <w:b w:val="1"/>
                <w:bCs w:val="1"/>
                <w:color w:val="auto"/>
              </w:rPr>
              <w:t>Average Volumes</w:t>
            </w:r>
          </w:p>
        </w:tc>
        <w:tc>
          <w:tcPr>
            <w:tcW w:w="180" w:type="dxa"/>
            <w:vAlign w:val="bottom"/>
          </w:tcPr>
          <w:p>
            <w:pPr>
              <w:spacing w:after="0"/>
              <w:rPr>
                <w:sz w:val="19"/>
                <w:szCs w:val="19"/>
                <w:color w:val="auto"/>
              </w:rPr>
            </w:pPr>
          </w:p>
        </w:tc>
        <w:tc>
          <w:tcPr>
            <w:tcW w:w="860" w:type="dxa"/>
            <w:vAlign w:val="bottom"/>
          </w:tcPr>
          <w:p>
            <w:pPr>
              <w:jc w:val="right"/>
              <w:ind w:right="285"/>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5"/>
          </w:tcPr>
          <w:p>
            <w:pPr>
              <w:ind w:left="40"/>
              <w:spacing w:after="0"/>
              <w:rPr>
                <w:sz w:val="20"/>
                <w:szCs w:val="20"/>
                <w:color w:val="auto"/>
              </w:rPr>
            </w:pPr>
            <w:r>
              <w:rPr>
                <w:rFonts w:ascii="Arial" w:cs="Arial" w:eastAsia="Arial" w:hAnsi="Arial"/>
                <w:sz w:val="16"/>
                <w:szCs w:val="16"/>
                <w:b w:val="1"/>
                <w:bCs w:val="1"/>
                <w:color w:val="auto"/>
              </w:rPr>
              <w:t>Volumes</w:t>
            </w:r>
          </w:p>
        </w:tc>
        <w:tc>
          <w:tcPr>
            <w:tcW w:w="680" w:type="dxa"/>
            <w:vAlign w:val="bottom"/>
          </w:tcPr>
          <w:p>
            <w:pPr>
              <w:jc w:val="right"/>
              <w:ind w:right="34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5260" w:type="dxa"/>
            <w:vAlign w:val="bottom"/>
            <w:tcBorders>
              <w:top w:val="single" w:sz="8" w:color="auto"/>
            </w:tcBorders>
            <w:gridSpan w:val="2"/>
          </w:tcPr>
          <w:p>
            <w:pPr>
              <w:ind w:left="60"/>
              <w:spacing w:after="0"/>
              <w:rPr>
                <w:sz w:val="20"/>
                <w:szCs w:val="20"/>
                <w:color w:val="auto"/>
              </w:rPr>
            </w:pPr>
            <w:r>
              <w:rPr>
                <w:rFonts w:ascii="Arial" w:cs="Arial" w:eastAsia="Arial" w:hAnsi="Arial"/>
                <w:sz w:val="20"/>
                <w:szCs w:val="20"/>
                <w:color w:val="auto"/>
              </w:rPr>
              <w:t xml:space="preserve">Crude oil pipeline tariff (by region) </w:t>
            </w:r>
            <w:r>
              <w:rPr>
                <w:rFonts w:ascii="Arial" w:cs="Arial" w:eastAsia="Arial" w:hAnsi="Arial"/>
                <w:sz w:val="25"/>
                <w:szCs w:val="25"/>
                <w:color w:val="auto"/>
                <w:vertAlign w:val="superscript"/>
              </w:rPr>
              <w:t>(5)</w:t>
            </w:r>
          </w:p>
        </w:tc>
        <w:tc>
          <w:tcPr>
            <w:tcW w:w="80" w:type="dxa"/>
            <w:vAlign w:val="bottom"/>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ind w:left="160"/>
              <w:spacing w:after="0"/>
              <w:rPr>
                <w:sz w:val="20"/>
                <w:szCs w:val="20"/>
                <w:color w:val="auto"/>
              </w:rPr>
            </w:pPr>
            <w:r>
              <w:rPr>
                <w:rFonts w:ascii="Arial" w:cs="Arial" w:eastAsia="Arial" w:hAnsi="Arial"/>
                <w:sz w:val="20"/>
                <w:szCs w:val="20"/>
                <w:color w:val="auto"/>
              </w:rPr>
              <w:t xml:space="preserve">Permian Basin </w:t>
            </w:r>
            <w:r>
              <w:rPr>
                <w:rFonts w:ascii="Arial" w:cs="Arial" w:eastAsia="Arial" w:hAnsi="Arial"/>
                <w:sz w:val="25"/>
                <w:szCs w:val="25"/>
                <w:color w:val="auto"/>
                <w:vertAlign w:val="superscript"/>
              </w:rPr>
              <w:t>(6)</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6,731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6,356</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375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5380" w:type="dxa"/>
            <w:vAlign w:val="bottom"/>
            <w:gridSpan w:val="5"/>
          </w:tcPr>
          <w:p>
            <w:pPr>
              <w:ind w:left="160"/>
              <w:spacing w:after="0"/>
              <w:rPr>
                <w:sz w:val="20"/>
                <w:szCs w:val="20"/>
                <w:color w:val="auto"/>
              </w:rPr>
            </w:pPr>
            <w:r>
              <w:rPr>
                <w:rFonts w:ascii="Arial" w:cs="Arial" w:eastAsia="Arial" w:hAnsi="Arial"/>
                <w:sz w:val="20"/>
                <w:szCs w:val="20"/>
                <w:color w:val="auto"/>
              </w:rPr>
              <w:t xml:space="preserve">Rocky Mountain </w:t>
            </w:r>
            <w:r>
              <w:rPr>
                <w:rFonts w:ascii="Arial" w:cs="Arial" w:eastAsia="Arial" w:hAnsi="Arial"/>
                <w:sz w:val="25"/>
                <w:szCs w:val="25"/>
                <w:color w:val="auto"/>
                <w:vertAlign w:val="superscript"/>
              </w:rPr>
              <w:t>(6)</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474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372</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27 %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340" w:type="dxa"/>
            <w:vAlign w:val="bottom"/>
            <w:gridSpan w:val="4"/>
          </w:tcPr>
          <w:p>
            <w:pPr>
              <w:ind w:left="160"/>
              <w:spacing w:after="0" w:line="276" w:lineRule="exact"/>
              <w:rPr>
                <w:sz w:val="20"/>
                <w:szCs w:val="20"/>
                <w:color w:val="auto"/>
              </w:rPr>
            </w:pPr>
            <w:r>
              <w:rPr>
                <w:rFonts w:ascii="Arial" w:cs="Arial" w:eastAsia="Arial" w:hAnsi="Arial"/>
                <w:sz w:val="20"/>
                <w:szCs w:val="20"/>
                <w:color w:val="auto"/>
              </w:rPr>
              <w:t xml:space="preserve">Other </w:t>
            </w:r>
            <w:r>
              <w:rPr>
                <w:rFonts w:ascii="Arial" w:cs="Arial" w:eastAsia="Arial" w:hAnsi="Arial"/>
                <w:sz w:val="25"/>
                <w:szCs w:val="25"/>
                <w:color w:val="auto"/>
                <w:vertAlign w:val="superscript"/>
              </w:rPr>
              <w:t>(6)</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1,732</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380" w:type="dxa"/>
            <w:vAlign w:val="bottom"/>
            <w:gridSpan w:val="5"/>
          </w:tcPr>
          <w:p>
            <w:pPr>
              <w:ind w:left="180"/>
              <w:spacing w:after="0"/>
              <w:rPr>
                <w:sz w:val="20"/>
                <w:szCs w:val="20"/>
                <w:color w:val="auto"/>
              </w:rPr>
            </w:pPr>
            <w:r>
              <w:rPr>
                <w:rFonts w:ascii="Arial" w:cs="Arial" w:eastAsia="Arial" w:hAnsi="Arial"/>
                <w:sz w:val="20"/>
                <w:szCs w:val="20"/>
                <w:color w:val="auto"/>
              </w:rPr>
              <w:t>Total crude oil pipeline tariff</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8,934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8,460</w:t>
            </w:r>
          </w:p>
        </w:tc>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474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60" w:type="dxa"/>
            <w:vAlign w:val="bottom"/>
          </w:tcPr>
          <w:p>
            <w:pPr>
              <w:spacing w:after="0"/>
              <w:rPr>
                <w:sz w:val="24"/>
                <w:szCs w:val="24"/>
                <w:color w:val="auto"/>
              </w:rPr>
            </w:pPr>
          </w:p>
        </w:tc>
        <w:tc>
          <w:tcPr>
            <w:tcW w:w="5380" w:type="dxa"/>
            <w:vAlign w:val="bottom"/>
            <w:gridSpan w:val="5"/>
          </w:tcPr>
          <w:p>
            <w:pPr>
              <w:ind w:left="40"/>
              <w:spacing w:after="0"/>
              <w:rPr>
                <w:sz w:val="20"/>
                <w:szCs w:val="20"/>
                <w:color w:val="auto"/>
              </w:rPr>
            </w:pPr>
            <w:r>
              <w:rPr>
                <w:rFonts w:ascii="Arial" w:cs="Arial" w:eastAsia="Arial" w:hAnsi="Arial"/>
                <w:sz w:val="20"/>
                <w:szCs w:val="20"/>
                <w:color w:val="auto"/>
              </w:rPr>
              <w:t xml:space="preserve">Commercial crude oil storage capacity </w:t>
            </w:r>
            <w:r>
              <w:rPr>
                <w:rFonts w:ascii="Arial" w:cs="Arial" w:eastAsia="Arial" w:hAnsi="Arial"/>
                <w:sz w:val="25"/>
                <w:szCs w:val="25"/>
                <w:color w:val="auto"/>
                <w:vertAlign w:val="superscript"/>
              </w:rPr>
              <w:t>(6) (7)</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72</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5"/>
          </w:tcPr>
          <w:p>
            <w:pPr>
              <w:jc w:val="right"/>
              <w:ind w:right="540"/>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539"/>
        </w:trPr>
        <w:tc>
          <w:tcPr>
            <w:tcW w:w="60" w:type="dxa"/>
            <w:vAlign w:val="bottom"/>
          </w:tcPr>
          <w:p>
            <w:pPr>
              <w:spacing w:after="0"/>
              <w:rPr>
                <w:sz w:val="24"/>
                <w:szCs w:val="24"/>
                <w:color w:val="auto"/>
              </w:rPr>
            </w:pPr>
          </w:p>
        </w:tc>
        <w:tc>
          <w:tcPr>
            <w:tcW w:w="5380" w:type="dxa"/>
            <w:vAlign w:val="bottom"/>
            <w:gridSpan w:val="5"/>
          </w:tcPr>
          <w:p>
            <w:pPr>
              <w:ind w:left="40"/>
              <w:spacing w:after="0"/>
              <w:rPr>
                <w:sz w:val="20"/>
                <w:szCs w:val="20"/>
                <w:color w:val="auto"/>
              </w:rPr>
            </w:pPr>
            <w:r>
              <w:rPr>
                <w:rFonts w:ascii="Arial" w:cs="Arial" w:eastAsia="Arial" w:hAnsi="Arial"/>
                <w:sz w:val="20"/>
                <w:szCs w:val="20"/>
                <w:color w:val="auto"/>
              </w:rPr>
              <w:t xml:space="preserve">Crude oil lease gathering purchases </w:t>
            </w:r>
            <w:r>
              <w:rPr>
                <w:rFonts w:ascii="Arial" w:cs="Arial" w:eastAsia="Arial" w:hAnsi="Arial"/>
                <w:sz w:val="25"/>
                <w:szCs w:val="25"/>
                <w:color w:val="auto"/>
                <w:vertAlign w:val="superscript"/>
              </w:rPr>
              <w:t>(5) (8)</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1,452</w:t>
            </w:r>
          </w:p>
        </w:tc>
        <w:tc>
          <w:tcPr>
            <w:tcW w:w="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4918710</wp:posOffset>
                </wp:positionH>
                <wp:positionV relativeFrom="paragraph">
                  <wp:posOffset>-5955030</wp:posOffset>
                </wp:positionV>
                <wp:extent cx="0" cy="363093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30930"/>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3pt,-468.8999pt" to="387.3pt,-183pt" o:allowincell="f" strokecolor="#000000" strokeweight="0pt"/>
            </w:pict>
          </mc:Fallback>
        </mc:AlternateContent>
        <w:drawing>
          <wp:anchor simplePos="0" relativeHeight="251657728" behindDoc="1" locked="0" layoutInCell="0" allowOverlap="1">
            <wp:simplePos x="0" y="0"/>
            <wp:positionH relativeFrom="column">
              <wp:posOffset>-2540</wp:posOffset>
            </wp:positionH>
            <wp:positionV relativeFrom="paragraph">
              <wp:posOffset>-5967730</wp:posOffset>
            </wp:positionV>
            <wp:extent cx="6391275" cy="5865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391275" cy="58654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4890770</wp:posOffset>
                </wp:positionH>
                <wp:positionV relativeFrom="paragraph">
                  <wp:posOffset>-1795145</wp:posOffset>
                </wp:positionV>
                <wp:extent cx="0" cy="168021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80210"/>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1pt,-141.3499pt" to="385.1pt,-9.0499pt" o:allowincell="f" strokecolor="#000000" strokeweight="0pt"/>
            </w:pict>
          </mc:Fallback>
        </mc:AlternateContent>
      </w:r>
    </w:p>
    <w:p>
      <w:pPr>
        <w:spacing w:after="0" w:line="125" w:lineRule="exact"/>
        <w:rPr>
          <w:sz w:val="20"/>
          <w:szCs w:val="20"/>
          <w:color w:val="auto"/>
        </w:rPr>
      </w:pPr>
    </w:p>
    <w:p>
      <w:pPr>
        <w:ind w:left="707" w:hanging="707"/>
        <w:spacing w:after="0"/>
        <w:tabs>
          <w:tab w:leader="none" w:pos="707"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Indicates that variance as a percentage is not meaningful.</w:t>
      </w:r>
    </w:p>
    <w:p>
      <w:pPr>
        <w:sectPr>
          <w:pgSz w:w="11880" w:h="15480" w:orient="portrait"/>
          <w:cols w:equalWidth="0" w:num="1">
            <w:col w:w="10047"/>
          </w:cols>
          <w:pgMar w:left="913" w:top="582" w:right="920" w:bottom="0" w:gutter="0" w:footer="0" w:header="0"/>
        </w:sectPr>
      </w:pPr>
    </w:p>
    <w:p>
      <w:pPr>
        <w:spacing w:after="0" w:line="105" w:lineRule="exact"/>
        <w:rPr>
          <w:sz w:val="20"/>
          <w:szCs w:val="20"/>
          <w:color w:val="auto"/>
        </w:rPr>
      </w:pPr>
    </w:p>
    <w:p>
      <w:pPr>
        <w:ind w:left="7"/>
        <w:spacing w:after="0"/>
        <w:rPr>
          <w:sz w:val="20"/>
          <w:szCs w:val="20"/>
          <w:color w:val="auto"/>
        </w:rPr>
      </w:pPr>
      <w:r>
        <w:rPr>
          <w:rFonts w:ascii="Arial" w:cs="Arial" w:eastAsia="Arial" w:hAnsi="Arial"/>
          <w:sz w:val="11"/>
          <w:szCs w:val="11"/>
          <w:color w:val="auto"/>
        </w:rPr>
        <w:t>(1)</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(2)</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Revenues and costs and expenses include intersegment amounts.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Represents components of significant segment expenses.</w:t>
      </w:r>
    </w:p>
    <w:p>
      <w:pPr>
        <w:spacing w:after="0" w:line="123" w:lineRule="exact"/>
        <w:rPr>
          <w:sz w:val="20"/>
          <w:szCs w:val="20"/>
          <w:color w:val="auto"/>
        </w:rPr>
      </w:pPr>
    </w:p>
    <w:p>
      <w:pPr>
        <w:jc w:val="both"/>
        <w:ind w:right="340"/>
        <w:spacing w:after="0" w:line="258" w:lineRule="auto"/>
        <w:rPr>
          <w:sz w:val="20"/>
          <w:szCs w:val="20"/>
          <w:color w:val="auto"/>
        </w:rPr>
      </w:pPr>
      <w:r>
        <w:rPr>
          <w:rFonts w:ascii="Arial" w:cs="Arial" w:eastAsia="Arial" w:hAnsi="Arial"/>
          <w:sz w:val="20"/>
          <w:szCs w:val="20"/>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2" w:lineRule="exact"/>
        <w:rPr>
          <w:sz w:val="20"/>
          <w:szCs w:val="20"/>
          <w:color w:val="auto"/>
        </w:rPr>
      </w:pPr>
    </w:p>
    <w:p>
      <w:pPr>
        <w:ind w:right="460"/>
        <w:spacing w:after="0" w:line="361" w:lineRule="auto"/>
        <w:rPr>
          <w:sz w:val="20"/>
          <w:szCs w:val="20"/>
          <w:color w:val="auto"/>
        </w:rPr>
      </w:pPr>
      <w:r>
        <w:rPr>
          <w:rFonts w:ascii="Arial" w:cs="Arial" w:eastAsia="Arial" w:hAnsi="Arial"/>
          <w:sz w:val="17"/>
          <w:szCs w:val="17"/>
          <w:color w:val="auto"/>
        </w:rPr>
        <w:t>Represents adjustments included in the performance measure utilized by our CODM in the evaluation of segment results. See Note 19 to our Consolidated Financial Statements for additional discussion of such adjustments.</w:t>
      </w:r>
    </w:p>
    <w:p>
      <w:pPr>
        <w:spacing w:after="0" w:line="200" w:lineRule="exact"/>
        <w:rPr>
          <w:sz w:val="20"/>
          <w:szCs w:val="20"/>
          <w:color w:val="auto"/>
        </w:rPr>
      </w:pPr>
    </w:p>
    <w:p>
      <w:pPr>
        <w:sectPr>
          <w:pgSz w:w="11880" w:h="15480" w:orient="portrait"/>
          <w:cols w:equalWidth="0" w:num="2">
            <w:col w:w="147" w:space="560"/>
            <w:col w:w="9340"/>
          </w:cols>
          <w:pgMar w:left="913" w:top="582"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047"/>
          </w:cols>
          <w:pgMar w:left="913" w:top="582" w:right="920" w:bottom="0" w:gutter="0" w:footer="0" w:header="0"/>
          <w:type w:val="continuous"/>
        </w:sectPr>
      </w:pPr>
    </w:p>
    <w:bookmarkStart w:id="79" w:name="page80"/>
    <w:bookmarkEnd w:id="79"/>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ind w:right="180"/>
        <w:spacing w:after="0" w:line="254" w:lineRule="auto"/>
        <w:rPr>
          <w:sz w:val="20"/>
          <w:szCs w:val="20"/>
          <w:color w:val="auto"/>
        </w:rPr>
      </w:pPr>
      <w:r>
        <w:rPr>
          <w:rFonts w:ascii="Arial" w:cs="Arial" w:eastAsia="Arial" w:hAnsi="Arial"/>
          <w:sz w:val="20"/>
          <w:szCs w:val="20"/>
          <w:color w:val="auto"/>
        </w:rPr>
        <w:t>Average daily volumes in thousands of barrels per day calculated as the total volumes (attributable to our interest for assets owned by unconsolidated entities or through UJIs) for the year divided by the number of days in the year. Volumes associated with acquisitions represent total volumes for the number of days we actually owned the assets divided by the number of days in the period.</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Includes volumes (attributable to our interest) from assets owned by unconsolidated entities.</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Average monthly capacity in millions of barrels per day calculated as total volumes for the year divided by the number of months in the year.</w:t>
      </w:r>
    </w:p>
    <w:p>
      <w:pPr>
        <w:spacing w:after="0" w:line="69"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Of this amount, approximately 1,278 and 1,147 thousand barrels per day were purchased in the Permian Basin for the years ended December 31, 2024 and 2023,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 Adjusted EBITDA</w:t>
      </w:r>
    </w:p>
    <w:p>
      <w:pPr>
        <w:spacing w:after="0" w:line="200" w:lineRule="exact"/>
        <w:rPr>
          <w:sz w:val="20"/>
          <w:szCs w:val="20"/>
          <w:color w:val="auto"/>
        </w:rPr>
      </w:pPr>
    </w:p>
    <w:p>
      <w:pPr>
        <w:sectPr>
          <w:pgSz w:w="11880" w:h="15480" w:orient="portrait"/>
          <w:cols w:equalWidth="0" w:num="2">
            <w:col w:w="140" w:space="560"/>
            <w:col w:w="9320"/>
          </w:cols>
          <w:pgMar w:left="920" w:top="564" w:right="940" w:bottom="0" w:gutter="0" w:footer="0" w:header="0"/>
        </w:sectPr>
      </w:pPr>
    </w:p>
    <w:p>
      <w:pPr>
        <w:spacing w:after="0" w:line="32" w:lineRule="exact"/>
        <w:rPr>
          <w:sz w:val="20"/>
          <w:szCs w:val="20"/>
          <w:color w:val="auto"/>
        </w:rPr>
      </w:pPr>
    </w:p>
    <w:p>
      <w:pPr>
        <w:ind w:right="220" w:firstLine="706"/>
        <w:spacing w:after="0" w:line="258" w:lineRule="auto"/>
        <w:rPr>
          <w:sz w:val="20"/>
          <w:szCs w:val="20"/>
          <w:color w:val="auto"/>
        </w:rPr>
      </w:pPr>
      <w:r>
        <w:rPr>
          <w:rFonts w:ascii="Arial" w:cs="Arial" w:eastAsia="Arial" w:hAnsi="Arial"/>
          <w:sz w:val="20"/>
          <w:szCs w:val="20"/>
          <w:color w:val="auto"/>
        </w:rPr>
        <w:t>Crude Oil Segment Adjusted EBITDA increased for the year ended December 31, 2024 compared to the year ended December 31, 2023 primarily due to higher tariff volumes on our pipelines, tariff escalations and contributions from acquisitions, partially offset by fewer market-based opportunities.</w:t>
      </w:r>
    </w:p>
    <w:p>
      <w:pPr>
        <w:spacing w:after="0" w:line="199" w:lineRule="exact"/>
        <w:rPr>
          <w:sz w:val="20"/>
          <w:szCs w:val="20"/>
          <w:color w:val="auto"/>
        </w:rPr>
      </w:pPr>
    </w:p>
    <w:p>
      <w:pPr>
        <w:ind w:right="300" w:firstLine="706"/>
        <w:spacing w:after="0" w:line="271" w:lineRule="auto"/>
        <w:rPr>
          <w:sz w:val="20"/>
          <w:szCs w:val="20"/>
          <w:color w:val="auto"/>
        </w:rPr>
      </w:pPr>
      <w:r>
        <w:rPr>
          <w:rFonts w:ascii="Arial" w:cs="Arial" w:eastAsia="Arial" w:hAnsi="Arial"/>
          <w:sz w:val="20"/>
          <w:szCs w:val="20"/>
          <w:color w:val="auto"/>
        </w:rPr>
        <w:t>The following is a more detailed discussion of the significant factors impacting Segment Adjusted EBITDA for the year ended December 31, 2024 compared to the year ended December 31, 2023.</w:t>
      </w:r>
    </w:p>
    <w:p>
      <w:pPr>
        <w:spacing w:after="0" w:line="184" w:lineRule="exact"/>
        <w:rPr>
          <w:sz w:val="20"/>
          <w:szCs w:val="20"/>
          <w:color w:val="auto"/>
        </w:rPr>
      </w:pPr>
    </w:p>
    <w:p>
      <w:pPr>
        <w:ind w:firstLine="706"/>
        <w:spacing w:after="0" w:line="254" w:lineRule="auto"/>
        <w:rPr>
          <w:sz w:val="20"/>
          <w:szCs w:val="20"/>
          <w:color w:val="auto"/>
        </w:rPr>
      </w:pPr>
      <w:r>
        <w:rPr>
          <w:rFonts w:ascii="Arial" w:cs="Arial" w:eastAsia="Arial" w:hAnsi="Arial"/>
          <w:sz w:val="20"/>
          <w:szCs w:val="20"/>
          <w:b w:val="1"/>
          <w:bCs w:val="1"/>
          <w:i w:val="1"/>
          <w:iCs w:val="1"/>
          <w:color w:val="auto"/>
        </w:rPr>
        <w:t xml:space="preserve">Net Revenues and Equity Earnings. </w:t>
      </w:r>
      <w:r>
        <w:rPr>
          <w:rFonts w:ascii="Arial" w:cs="Arial" w:eastAsia="Arial" w:hAnsi="Arial"/>
          <w:sz w:val="20"/>
          <w:szCs w:val="20"/>
          <w:color w:val="auto"/>
        </w:rPr>
        <w:t>Our results were favorably impacted by (i) volume growth across our pipeline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systems driven by increased production in the Permian Basin region, as well as increased movements from the Rocky Mountain region to Cushing, Oklahoma, (ii) the benefit of tariff escalations and (iii) contributions from acquisitions, including increases in ownership of certain pipeline systems.</w:t>
      </w:r>
    </w:p>
    <w:p>
      <w:pPr>
        <w:spacing w:after="0" w:line="204" w:lineRule="exact"/>
        <w:rPr>
          <w:sz w:val="20"/>
          <w:szCs w:val="20"/>
          <w:color w:val="auto"/>
        </w:rPr>
      </w:pPr>
    </w:p>
    <w:p>
      <w:pPr>
        <w:ind w:firstLine="706"/>
        <w:spacing w:after="0" w:line="271" w:lineRule="auto"/>
        <w:rPr>
          <w:sz w:val="20"/>
          <w:szCs w:val="20"/>
          <w:color w:val="auto"/>
        </w:rPr>
      </w:pPr>
      <w:r>
        <w:rPr>
          <w:rFonts w:ascii="Arial" w:cs="Arial" w:eastAsia="Arial" w:hAnsi="Arial"/>
          <w:sz w:val="20"/>
          <w:szCs w:val="20"/>
          <w:color w:val="auto"/>
        </w:rPr>
        <w:t>Additionally, our results for the year ended December 31, 2024 compared to 2023 reflect fewer crude oil market-based opportunities.</w:t>
      </w:r>
    </w:p>
    <w:p>
      <w:pPr>
        <w:spacing w:after="0" w:line="184" w:lineRule="exact"/>
        <w:rPr>
          <w:sz w:val="20"/>
          <w:szCs w:val="20"/>
          <w:color w:val="auto"/>
        </w:rPr>
      </w:pPr>
    </w:p>
    <w:p>
      <w:pPr>
        <w:ind w:right="20" w:firstLine="706"/>
        <w:spacing w:after="0" w:line="263" w:lineRule="auto"/>
        <w:rPr>
          <w:sz w:val="20"/>
          <w:szCs w:val="20"/>
          <w:color w:val="auto"/>
        </w:rPr>
      </w:pPr>
      <w:r>
        <w:rPr>
          <w:rFonts w:ascii="Arial" w:cs="Arial" w:eastAsia="Arial" w:hAnsi="Arial"/>
          <w:sz w:val="19"/>
          <w:szCs w:val="19"/>
          <w:b w:val="1"/>
          <w:bCs w:val="1"/>
          <w:i w:val="1"/>
          <w:iCs w:val="1"/>
          <w:color w:val="auto"/>
        </w:rPr>
        <w:t xml:space="preserve">Field Operating Costs. </w:t>
      </w:r>
      <w:r>
        <w:rPr>
          <w:rFonts w:ascii="Arial" w:cs="Arial" w:eastAsia="Arial" w:hAnsi="Arial"/>
          <w:sz w:val="19"/>
          <w:szCs w:val="19"/>
          <w:color w:val="auto"/>
        </w:rPr>
        <w:t>For the year ended December 31, 2024 compared to the year ended December 31, 2023,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recognized higher expenses associated with (i) an increase in costs associated with settlements related to the Line 901 incident that occurred in May 2015 (which impact field operating costs, but are excluded from Segment Adjusted EBITDA, and thus are reflected as a component of “Other segment items” in the table above), (ii) an increase in estimated costs for long-term environmental remediation obligations, (iii) property taxes due to the impact of favorable adjustments in 2023 and (iv) incremental operating costs and employee-related costs associated with acquisitions, partially offset by (v) unrealized mark-to-market gains on power hedges (which impact our field operating costs but are excluded from Segment Adjusted EBITDA and thus are reflected as a component of “Other segment items” in the table above) and (vi) decreased costs resulting from lower third-party trucked volumes.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Maintenance Capital</w:t>
      </w:r>
    </w:p>
    <w:p>
      <w:pPr>
        <w:spacing w:after="0" w:line="242" w:lineRule="exact"/>
        <w:rPr>
          <w:sz w:val="20"/>
          <w:szCs w:val="20"/>
          <w:color w:val="auto"/>
        </w:rPr>
      </w:pPr>
    </w:p>
    <w:p>
      <w:pPr>
        <w:ind w:right="420" w:firstLine="706"/>
        <w:spacing w:after="0" w:line="251" w:lineRule="auto"/>
        <w:rPr>
          <w:sz w:val="20"/>
          <w:szCs w:val="20"/>
          <w:color w:val="auto"/>
        </w:rPr>
      </w:pPr>
      <w:r>
        <w:rPr>
          <w:rFonts w:ascii="Arial" w:cs="Arial" w:eastAsia="Arial" w:hAnsi="Arial"/>
          <w:sz w:val="20"/>
          <w:szCs w:val="20"/>
          <w:color w:val="auto"/>
        </w:rPr>
        <w:t>Maintenance capital consists of capital expenditures for the replacement and/or refurbishment of partially or fully depreciated assets in order to maintain the operating and/or earnings capacity of our existing assets. The increase in maintenance capital spending for the year ended December 31, 2024 compared to the year ended December 31, 2023 was primarily due to (i) an increase in integrity management, maintenance and repairs and replacement projects and (ii) more trucking lease buyouts.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NGL Segment</w:t>
      </w:r>
    </w:p>
    <w:p>
      <w:pPr>
        <w:spacing w:after="0" w:line="248" w:lineRule="exact"/>
        <w:rPr>
          <w:sz w:val="20"/>
          <w:szCs w:val="20"/>
          <w:color w:val="auto"/>
        </w:rPr>
      </w:pPr>
    </w:p>
    <w:p>
      <w:pPr>
        <w:ind w:right="60" w:firstLine="706"/>
        <w:spacing w:after="0" w:line="266" w:lineRule="auto"/>
        <w:rPr>
          <w:sz w:val="20"/>
          <w:szCs w:val="20"/>
          <w:color w:val="auto"/>
        </w:rPr>
      </w:pPr>
      <w:r>
        <w:rPr>
          <w:rFonts w:ascii="Arial" w:cs="Arial" w:eastAsia="Arial" w:hAnsi="Arial"/>
          <w:sz w:val="19"/>
          <w:szCs w:val="19"/>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sectPr>
          <w:pgSz w:w="11880" w:h="15480" w:orient="portrait"/>
          <w:cols w:equalWidth="0" w:num="1">
            <w:col w:w="10020"/>
          </w:cols>
          <w:pgMar w:left="920" w:top="564"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020"/>
          </w:cols>
          <w:pgMar w:left="920" w:top="564" w:right="940" w:bottom="0" w:gutter="0" w:footer="0" w:header="0"/>
          <w:type w:val="continuous"/>
        </w:sectPr>
      </w:pPr>
    </w:p>
    <w:bookmarkStart w:id="80" w:name="page81"/>
    <w:bookmarkEnd w:id="80"/>
    <w:p>
      <w:pPr>
        <w:ind w:left="7" w:right="40" w:firstLine="706"/>
        <w:spacing w:after="0" w:line="312" w:lineRule="auto"/>
        <w:rPr>
          <w:sz w:val="20"/>
          <w:szCs w:val="20"/>
          <w:color w:val="auto"/>
        </w:rPr>
      </w:pPr>
      <w:r>
        <w:rPr>
          <w:rFonts w:ascii="Arial" w:cs="Arial" w:eastAsia="Arial" w:hAnsi="Arial"/>
          <w:sz w:val="17"/>
          <w:szCs w:val="17"/>
          <w:color w:val="auto"/>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 received from a third-party straddle plant.</w:t>
      </w:r>
    </w:p>
    <w:p>
      <w:pPr>
        <w:spacing w:after="0" w:line="160" w:lineRule="exact"/>
        <w:rPr>
          <w:sz w:val="20"/>
          <w:szCs w:val="20"/>
          <w:color w:val="auto"/>
        </w:rPr>
      </w:pPr>
    </w:p>
    <w:p>
      <w:pPr>
        <w:ind w:left="7" w:right="240" w:firstLine="706"/>
        <w:spacing w:after="0" w:line="254" w:lineRule="auto"/>
        <w:rPr>
          <w:sz w:val="20"/>
          <w:szCs w:val="20"/>
          <w:color w:val="auto"/>
        </w:rPr>
      </w:pPr>
      <w:r>
        <w:rPr>
          <w:rFonts w:ascii="Arial" w:cs="Arial" w:eastAsia="Arial" w:hAnsi="Arial"/>
          <w:sz w:val="20"/>
          <w:szCs w:val="20"/>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spacing w:after="0" w:line="202" w:lineRule="exact"/>
        <w:rPr>
          <w:sz w:val="20"/>
          <w:szCs w:val="20"/>
          <w:color w:val="auto"/>
        </w:rPr>
      </w:pPr>
    </w:p>
    <w:p>
      <w:pPr>
        <w:ind w:left="707"/>
        <w:spacing w:after="0"/>
        <w:rPr>
          <w:sz w:val="20"/>
          <w:szCs w:val="20"/>
          <w:color w:val="auto"/>
        </w:rPr>
      </w:pPr>
      <w:r>
        <w:rPr>
          <w:rFonts w:ascii="Arial" w:cs="Arial" w:eastAsia="Arial" w:hAnsi="Arial"/>
          <w:sz w:val="20"/>
          <w:szCs w:val="20"/>
          <w:color w:val="auto"/>
        </w:rPr>
        <w:t>The following tables set forth our operating results from our NGL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178435</wp:posOffset>
            </wp:positionV>
            <wp:extent cx="6372860" cy="2838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6372860" cy="2838450"/>
                    </a:xfrm>
                    <a:prstGeom prst="rect">
                      <a:avLst/>
                    </a:prstGeom>
                    <a:noFill/>
                  </pic:spPr>
                </pic:pic>
              </a:graphicData>
            </a:graphic>
          </wp:anchor>
        </w:drawing>
      </w:r>
    </w:p>
    <w:p>
      <w:pPr>
        <w:spacing w:after="0" w:line="352"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42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20"/>
                <w:szCs w:val="20"/>
                <w:b w:val="1"/>
                <w:bCs w:val="1"/>
                <w:color w:val="auto"/>
                <w:vertAlign w:val="superscript"/>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8"/>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5"/>
          </w:tcPr>
          <w:p>
            <w:pPr>
              <w:ind w:left="60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420" w:type="dxa"/>
            <w:vAlign w:val="bottom"/>
            <w:gridSpan w:val="4"/>
            <w:vMerge w:val="continue"/>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ind w:right="287"/>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vMerge w:val="restart"/>
          </w:tcPr>
          <w:p>
            <w:pPr>
              <w:jc w:val="right"/>
              <w:ind w:right="285"/>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ind w:right="407"/>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00" w:type="dxa"/>
            <w:vAlign w:val="bottom"/>
            <w:tcBorders>
              <w:top w:val="single" w:sz="8" w:color="auto"/>
            </w:tcBorders>
            <w:vMerge w:val="restart"/>
          </w:tcPr>
          <w:p>
            <w:pPr>
              <w:jc w:val="right"/>
              <w:ind w:right="365"/>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ind w:left="60"/>
              <w:spacing w:after="0"/>
              <w:rPr>
                <w:sz w:val="20"/>
                <w:szCs w:val="20"/>
                <w:color w:val="auto"/>
              </w:rPr>
            </w:pPr>
            <w:r>
              <w:rPr>
                <w:rFonts w:ascii="Arial" w:cs="Arial" w:eastAsia="Arial" w:hAnsi="Arial"/>
                <w:sz w:val="20"/>
                <w:szCs w:val="20"/>
                <w:color w:val="auto"/>
              </w:rPr>
              <w:t>Revenues</w:t>
            </w:r>
          </w:p>
        </w:tc>
        <w:tc>
          <w:tcPr>
            <w:tcW w:w="1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1,724</w:t>
            </w:r>
          </w:p>
        </w:tc>
        <w:tc>
          <w:tcPr>
            <w:tcW w:w="340" w:type="dxa"/>
            <w:vAlign w:val="bottom"/>
            <w:gridSpan w:val="4"/>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1,935</w:t>
            </w:r>
          </w:p>
        </w:tc>
        <w:tc>
          <w:tcPr>
            <w:tcW w:w="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(211)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420" w:type="dxa"/>
            <w:vAlign w:val="bottom"/>
            <w:gridSpan w:val="4"/>
          </w:tcPr>
          <w:p>
            <w:pPr>
              <w:ind w:left="60"/>
              <w:spacing w:after="0"/>
              <w:rPr>
                <w:sz w:val="20"/>
                <w:szCs w:val="20"/>
                <w:color w:val="auto"/>
              </w:rPr>
            </w:pPr>
            <w:r>
              <w:rPr>
                <w:rFonts w:ascii="Arial" w:cs="Arial" w:eastAsia="Arial" w:hAnsi="Arial"/>
                <w:sz w:val="20"/>
                <w:szCs w:val="20"/>
                <w:color w:val="auto"/>
              </w:rPr>
              <w:t xml:space="preserve">Purchases and related costs </w:t>
            </w:r>
            <w:r>
              <w:rPr>
                <w:rFonts w:ascii="Arial" w:cs="Arial" w:eastAsia="Arial" w:hAnsi="Arial"/>
                <w:sz w:val="25"/>
                <w:szCs w:val="25"/>
                <w:color w:val="auto"/>
                <w:vertAlign w:val="superscript"/>
              </w:rPr>
              <w:t>(2)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(898)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(1,123)</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420" w:type="dxa"/>
            <w:vAlign w:val="bottom"/>
            <w:gridSpan w:val="4"/>
          </w:tcPr>
          <w:p>
            <w:pPr>
              <w:ind w:left="60"/>
              <w:spacing w:after="0"/>
              <w:rPr>
                <w:sz w:val="20"/>
                <w:szCs w:val="20"/>
                <w:color w:val="auto"/>
              </w:rPr>
            </w:pPr>
            <w:r>
              <w:rPr>
                <w:rFonts w:ascii="Arial" w:cs="Arial" w:eastAsia="Arial" w:hAnsi="Arial"/>
                <w:sz w:val="20"/>
                <w:szCs w:val="20"/>
                <w:color w:val="auto"/>
              </w:rPr>
              <w:t xml:space="preserve">Field operating costs </w:t>
            </w:r>
            <w:r>
              <w:rPr>
                <w:rFonts w:ascii="Arial" w:cs="Arial" w:eastAsia="Arial" w:hAnsi="Arial"/>
                <w:sz w:val="25"/>
                <w:szCs w:val="25"/>
                <w:color w:val="auto"/>
                <w:vertAlign w:val="superscript"/>
              </w:rPr>
              <w:t>(2)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(372)</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12 %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420" w:type="dxa"/>
            <w:vAlign w:val="bottom"/>
            <w:gridSpan w:val="4"/>
          </w:tcPr>
          <w:p>
            <w:pPr>
              <w:ind w:left="60"/>
              <w:spacing w:after="0"/>
              <w:rPr>
                <w:sz w:val="20"/>
                <w:szCs w:val="20"/>
                <w:color w:val="auto"/>
              </w:rPr>
            </w:pPr>
            <w:r>
              <w:rPr>
                <w:rFonts w:ascii="Arial" w:cs="Arial" w:eastAsia="Arial" w:hAnsi="Arial"/>
                <w:sz w:val="20"/>
                <w:szCs w:val="20"/>
                <w:color w:val="auto"/>
              </w:rPr>
              <w:t xml:space="preserve">Segment general and administrative expenses </w:t>
            </w:r>
            <w:r>
              <w:rPr>
                <w:rFonts w:ascii="Arial" w:cs="Arial" w:eastAsia="Arial" w:hAnsi="Arial"/>
                <w:sz w:val="25"/>
                <w:szCs w:val="25"/>
                <w:color w:val="auto"/>
                <w:vertAlign w:val="superscript"/>
              </w:rPr>
              <w:t>(2) (3)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(79)</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5420" w:type="dxa"/>
            <w:vAlign w:val="bottom"/>
            <w:gridSpan w:val="4"/>
          </w:tcPr>
          <w:p>
            <w:pPr>
              <w:ind w:left="60"/>
              <w:spacing w:after="0"/>
              <w:rPr>
                <w:sz w:val="20"/>
                <w:szCs w:val="20"/>
                <w:color w:val="auto"/>
              </w:rPr>
            </w:pPr>
            <w:r>
              <w:rPr>
                <w:rFonts w:ascii="Arial" w:cs="Arial" w:eastAsia="Arial" w:hAnsi="Arial"/>
                <w:sz w:val="20"/>
                <w:szCs w:val="20"/>
                <w:color w:val="auto"/>
              </w:rPr>
              <w:t xml:space="preserve">Other segment items </w:t>
            </w:r>
            <w:r>
              <w:rPr>
                <w:rFonts w:ascii="Arial" w:cs="Arial" w:eastAsia="Arial" w:hAnsi="Arial"/>
                <w:sz w:val="25"/>
                <w:szCs w:val="25"/>
                <w:color w:val="auto"/>
                <w:vertAlign w:val="superscript"/>
              </w:rPr>
              <w:t>(4)</w:t>
            </w: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420" w:type="dxa"/>
            <w:vAlign w:val="bottom"/>
            <w:gridSpan w:val="4"/>
          </w:tcPr>
          <w:p>
            <w:pPr>
              <w:ind w:left="180"/>
              <w:spacing w:after="0"/>
              <w:rPr>
                <w:sz w:val="20"/>
                <w:szCs w:val="20"/>
                <w:color w:val="auto"/>
              </w:rPr>
            </w:pPr>
            <w:r>
              <w:rPr>
                <w:rFonts w:ascii="Arial" w:cs="Arial" w:eastAsia="Arial" w:hAnsi="Arial"/>
                <w:sz w:val="20"/>
                <w:szCs w:val="20"/>
                <w:color w:val="auto"/>
              </w:rPr>
              <w:t>Derivative activities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142</w:t>
            </w:r>
          </w:p>
        </w:tc>
        <w:tc>
          <w:tcPr>
            <w:tcW w:w="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420" w:type="dxa"/>
            <w:vAlign w:val="bottom"/>
            <w:gridSpan w:val="4"/>
          </w:tcPr>
          <w:p>
            <w:pPr>
              <w:ind w:left="180"/>
              <w:spacing w:after="0"/>
              <w:rPr>
                <w:sz w:val="20"/>
                <w:szCs w:val="20"/>
                <w:color w:val="auto"/>
              </w:rPr>
            </w:pPr>
            <w:r>
              <w:rPr>
                <w:rFonts w:ascii="Arial" w:cs="Arial" w:eastAsia="Arial" w:hAnsi="Arial"/>
                <w:sz w:val="20"/>
                <w:szCs w:val="20"/>
                <w:color w:val="auto"/>
              </w:rPr>
              <w:t>Long-term inventory costing adjustments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5420" w:type="dxa"/>
            <w:vAlign w:val="bottom"/>
            <w:gridSpan w:val="4"/>
          </w:tcPr>
          <w:p>
            <w:pPr>
              <w:ind w:left="180"/>
              <w:spacing w:after="0"/>
              <w:rPr>
                <w:sz w:val="20"/>
                <w:szCs w:val="20"/>
                <w:color w:val="auto"/>
              </w:rPr>
            </w:pPr>
            <w:r>
              <w:rPr>
                <w:rFonts w:ascii="Arial" w:cs="Arial" w:eastAsia="Arial" w:hAnsi="Arial"/>
                <w:sz w:val="20"/>
                <w:szCs w:val="20"/>
                <w:color w:val="auto"/>
              </w:rPr>
              <w:t>Equity-indexed compensation expense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5420" w:type="dxa"/>
            <w:vAlign w:val="bottom"/>
            <w:gridSpan w:val="4"/>
          </w:tcPr>
          <w:p>
            <w:pPr>
              <w:ind w:left="180"/>
              <w:spacing w:after="0"/>
              <w:rPr>
                <w:sz w:val="20"/>
                <w:szCs w:val="20"/>
                <w:color w:val="auto"/>
              </w:rPr>
            </w:pPr>
            <w:r>
              <w:rPr>
                <w:rFonts w:ascii="Arial" w:cs="Arial" w:eastAsia="Arial" w:hAnsi="Arial"/>
                <w:sz w:val="20"/>
                <w:szCs w:val="20"/>
                <w:color w:val="auto"/>
              </w:rPr>
              <w:t>Foreign currency revaluation</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420" w:type="dxa"/>
            <w:vAlign w:val="bottom"/>
            <w:gridSpan w:val="4"/>
          </w:tcPr>
          <w:p>
            <w:pPr>
              <w:ind w:left="240"/>
              <w:spacing w:after="0"/>
              <w:rPr>
                <w:sz w:val="20"/>
                <w:szCs w:val="20"/>
                <w:color w:val="auto"/>
              </w:rPr>
            </w:pPr>
            <w:r>
              <w:rPr>
                <w:rFonts w:ascii="Arial" w:cs="Arial" w:eastAsia="Arial" w:hAnsi="Arial"/>
                <w:sz w:val="20"/>
                <w:szCs w:val="20"/>
                <w:color w:val="auto"/>
              </w:rPr>
              <w:t>Segment Adjusted EBITDA</w:t>
            </w: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w:t>
            </w:r>
          </w:p>
        </w:tc>
        <w:tc>
          <w:tcPr>
            <w:tcW w:w="80" w:type="dxa"/>
            <w:vAlign w:val="bottom"/>
            <w:gridSpan w:val="2"/>
          </w:tcPr>
          <w:p>
            <w:pPr>
              <w:spacing w:after="0"/>
              <w:rPr>
                <w:sz w:val="22"/>
                <w:szCs w:val="22"/>
                <w:color w:val="auto"/>
              </w:rPr>
            </w:pPr>
          </w:p>
        </w:tc>
        <w:tc>
          <w:tcPr>
            <w:tcW w:w="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w:t>
            </w:r>
          </w:p>
        </w:tc>
        <w:tc>
          <w:tcPr>
            <w:tcW w:w="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5420" w:type="dxa"/>
            <w:vAlign w:val="bottom"/>
            <w:gridSpan w:val="4"/>
          </w:tcPr>
          <w:p>
            <w:pPr>
              <w:ind w:left="240"/>
              <w:spacing w:after="0"/>
              <w:rPr>
                <w:sz w:val="20"/>
                <w:szCs w:val="20"/>
                <w:color w:val="auto"/>
              </w:rPr>
            </w:pPr>
            <w:r>
              <w:rPr>
                <w:rFonts w:ascii="Arial" w:cs="Arial" w:eastAsia="Arial" w:hAnsi="Arial"/>
                <w:sz w:val="20"/>
                <w:szCs w:val="20"/>
                <w:color w:val="auto"/>
              </w:rPr>
              <w:t>Maintenance capital expenditures</w:t>
            </w: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80" w:type="dxa"/>
            <w:vAlign w:val="bottom"/>
            <w:gridSpan w:val="2"/>
          </w:tcPr>
          <w:p>
            <w:pPr>
              <w:spacing w:after="0"/>
              <w:rPr>
                <w:sz w:val="24"/>
                <w:szCs w:val="24"/>
                <w:color w:val="auto"/>
              </w:rPr>
            </w:pPr>
          </w:p>
        </w:tc>
        <w:tc>
          <w:tcPr>
            <w:tcW w:w="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8"/>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5"/>
          </w:tcPr>
          <w:p>
            <w:pPr>
              <w:ind w:left="620"/>
              <w:spacing w:after="0"/>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 xml:space="preserve">Average Volumes (in thousands of barrels per day) </w:t>
            </w:r>
            <w:r>
              <w:rPr>
                <w:rFonts w:ascii="Arial" w:cs="Arial" w:eastAsia="Arial" w:hAnsi="Arial"/>
                <w:sz w:val="20"/>
                <w:szCs w:val="20"/>
                <w:b w:val="1"/>
                <w:bCs w:val="1"/>
                <w:color w:val="auto"/>
                <w:vertAlign w:val="superscript"/>
              </w:rPr>
              <w:t>(5)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Volumes</w:t>
            </w:r>
          </w:p>
        </w:tc>
        <w:tc>
          <w:tcPr>
            <w:tcW w:w="60" w:type="dxa"/>
            <w:vAlign w:val="bottom"/>
            <w:tcBorders>
              <w:top w:val="single" w:sz="8" w:color="auto"/>
            </w:tcBorders>
            <w:gridSpan w:val="2"/>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20" w:type="dxa"/>
            <w:vAlign w:val="bottom"/>
            <w:gridSpan w:val="4"/>
          </w:tcPr>
          <w:p>
            <w:pPr>
              <w:ind w:left="40"/>
              <w:spacing w:after="0"/>
              <w:rPr>
                <w:sz w:val="20"/>
                <w:szCs w:val="20"/>
                <w:color w:val="auto"/>
              </w:rPr>
            </w:pPr>
            <w:r>
              <w:rPr>
                <w:rFonts w:ascii="Arial" w:cs="Arial" w:eastAsia="Arial" w:hAnsi="Arial"/>
                <w:sz w:val="20"/>
                <w:szCs w:val="20"/>
                <w:color w:val="auto"/>
              </w:rPr>
              <w:t>NGL fractionation</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115</w:t>
            </w:r>
          </w:p>
        </w:tc>
        <w:tc>
          <w:tcPr>
            <w:tcW w:w="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15 %</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5420" w:type="dxa"/>
            <w:vAlign w:val="bottom"/>
            <w:gridSpan w:val="4"/>
          </w:tcPr>
          <w:p>
            <w:pPr>
              <w:ind w:left="40"/>
              <w:spacing w:after="0"/>
              <w:rPr>
                <w:sz w:val="20"/>
                <w:szCs w:val="20"/>
                <w:color w:val="auto"/>
              </w:rPr>
            </w:pPr>
            <w:r>
              <w:rPr>
                <w:rFonts w:ascii="Arial" w:cs="Arial" w:eastAsia="Arial" w:hAnsi="Arial"/>
                <w:sz w:val="20"/>
                <w:szCs w:val="20"/>
                <w:color w:val="auto"/>
              </w:rPr>
              <w:t>NGL pipeline tariff</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180</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18 %</w:t>
            </w:r>
          </w:p>
        </w:tc>
        <w:tc>
          <w:tcPr>
            <w:tcW w:w="0" w:type="dxa"/>
            <w:vAlign w:val="bottom"/>
          </w:tcPr>
          <w:p>
            <w:pPr>
              <w:spacing w:after="0"/>
              <w:rPr>
                <w:sz w:val="1"/>
                <w:szCs w:val="1"/>
                <w:color w:val="auto"/>
              </w:rPr>
            </w:pPr>
          </w:p>
        </w:tc>
      </w:tr>
      <w:tr>
        <w:trPr>
          <w:trHeight w:val="602"/>
        </w:trPr>
        <w:tc>
          <w:tcPr>
            <w:tcW w:w="20" w:type="dxa"/>
            <w:vAlign w:val="bottom"/>
          </w:tcPr>
          <w:p>
            <w:pPr>
              <w:spacing w:after="0"/>
              <w:rPr>
                <w:sz w:val="24"/>
                <w:szCs w:val="24"/>
                <w:color w:val="auto"/>
              </w:rPr>
            </w:pPr>
          </w:p>
        </w:tc>
        <w:tc>
          <w:tcPr>
            <w:tcW w:w="5420" w:type="dxa"/>
            <w:vAlign w:val="bottom"/>
            <w:gridSpan w:val="4"/>
          </w:tcPr>
          <w:p>
            <w:pPr>
              <w:ind w:left="40"/>
              <w:spacing w:after="0"/>
              <w:rPr>
                <w:sz w:val="20"/>
                <w:szCs w:val="20"/>
                <w:color w:val="auto"/>
              </w:rPr>
            </w:pPr>
            <w:r>
              <w:rPr>
                <w:rFonts w:ascii="Arial" w:cs="Arial" w:eastAsia="Arial" w:hAnsi="Arial"/>
                <w:sz w:val="20"/>
                <w:szCs w:val="20"/>
                <w:color w:val="auto"/>
              </w:rPr>
              <w:t>Propane and butane sales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86</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161"/>
        </w:trPr>
        <w:tc>
          <w:tcPr>
            <w:tcW w:w="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4909820</wp:posOffset>
                </wp:positionH>
                <wp:positionV relativeFrom="paragraph">
                  <wp:posOffset>-4004310</wp:posOffset>
                </wp:positionV>
                <wp:extent cx="0" cy="242697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26970"/>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6pt,-315.2999pt" to="386.6pt,-124.1999pt" o:allowincell="f" strokecolor="#000000" strokeweight="0pt"/>
            </w:pict>
          </mc:Fallback>
        </mc:AlternateContent>
        <w:drawing>
          <wp:anchor simplePos="0" relativeHeight="251657728" behindDoc="1" locked="0" layoutInCell="0" allowOverlap="1">
            <wp:simplePos x="0" y="0"/>
            <wp:positionH relativeFrom="column">
              <wp:posOffset>-7620</wp:posOffset>
            </wp:positionH>
            <wp:positionV relativeFrom="paragraph">
              <wp:posOffset>-1060450</wp:posOffset>
            </wp:positionV>
            <wp:extent cx="6400800" cy="958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extLst>
                    </a:blip>
                    <a:srcRect/>
                    <a:stretch>
                      <a:fillRect/>
                    </a:stretch>
                  </pic:blipFill>
                  <pic:spPr bwMode="auto">
                    <a:xfrm>
                      <a:off x="0" y="0"/>
                      <a:ext cx="6400800" cy="9588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4923790</wp:posOffset>
                </wp:positionH>
                <wp:positionV relativeFrom="paragraph">
                  <wp:posOffset>-1048385</wp:posOffset>
                </wp:positionV>
                <wp:extent cx="0" cy="93345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33450"/>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7pt,-82.5499pt" to="387.7pt,-9.0499pt" o:allowincell="f" strokecolor="#000000" strokeweight="0pt"/>
            </w:pict>
          </mc:Fallback>
        </mc:AlternateContent>
      </w:r>
    </w:p>
    <w:p>
      <w:pPr>
        <w:spacing w:after="0" w:line="125" w:lineRule="exact"/>
        <w:rPr>
          <w:sz w:val="20"/>
          <w:szCs w:val="20"/>
          <w:color w:val="auto"/>
        </w:rPr>
      </w:pPr>
    </w:p>
    <w:p>
      <w:pPr>
        <w:ind w:left="707" w:hanging="707"/>
        <w:spacing w:after="0"/>
        <w:tabs>
          <w:tab w:leader="none" w:pos="707"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Indicates that variance as a percentage is not meaningful.</w:t>
      </w:r>
    </w:p>
    <w:p>
      <w:pPr>
        <w:sectPr>
          <w:pgSz w:w="11880" w:h="15480" w:orient="portrait"/>
          <w:cols w:equalWidth="0" w:num="1">
            <w:col w:w="10047"/>
          </w:cols>
          <w:pgMar w:left="913" w:top="582" w:right="920" w:bottom="0" w:gutter="0" w:footer="0" w:header="0"/>
        </w:sectPr>
      </w:pPr>
    </w:p>
    <w:p>
      <w:pPr>
        <w:spacing w:after="0" w:line="105" w:lineRule="exact"/>
        <w:rPr>
          <w:sz w:val="20"/>
          <w:szCs w:val="20"/>
          <w:color w:val="auto"/>
        </w:rPr>
      </w:pPr>
    </w:p>
    <w:p>
      <w:pPr>
        <w:ind w:left="7"/>
        <w:spacing w:after="0"/>
        <w:rPr>
          <w:sz w:val="20"/>
          <w:szCs w:val="20"/>
          <w:color w:val="auto"/>
        </w:rPr>
      </w:pPr>
      <w:r>
        <w:rPr>
          <w:rFonts w:ascii="Arial" w:cs="Arial" w:eastAsia="Arial" w:hAnsi="Arial"/>
          <w:sz w:val="11"/>
          <w:szCs w:val="11"/>
          <w:color w:val="auto"/>
        </w:rPr>
        <w:t>(1)</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(2)</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Revenues and costs and expenses include intersegment amounts.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Represents components of significant segment expenses.</w:t>
      </w:r>
    </w:p>
    <w:p>
      <w:pPr>
        <w:spacing w:after="0" w:line="123" w:lineRule="exact"/>
        <w:rPr>
          <w:sz w:val="20"/>
          <w:szCs w:val="20"/>
          <w:color w:val="auto"/>
        </w:rPr>
      </w:pPr>
    </w:p>
    <w:p>
      <w:pPr>
        <w:jc w:val="both"/>
        <w:ind w:right="340"/>
        <w:spacing w:after="0" w:line="258" w:lineRule="auto"/>
        <w:rPr>
          <w:sz w:val="20"/>
          <w:szCs w:val="20"/>
          <w:color w:val="auto"/>
        </w:rPr>
      </w:pPr>
      <w:r>
        <w:rPr>
          <w:rFonts w:ascii="Arial" w:cs="Arial" w:eastAsia="Arial" w:hAnsi="Arial"/>
          <w:sz w:val="20"/>
          <w:szCs w:val="20"/>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2" w:lineRule="exact"/>
        <w:rPr>
          <w:sz w:val="20"/>
          <w:szCs w:val="20"/>
          <w:color w:val="auto"/>
        </w:rPr>
      </w:pPr>
    </w:p>
    <w:p>
      <w:pPr>
        <w:sectPr>
          <w:pgSz w:w="11880" w:h="15480" w:orient="portrait"/>
          <w:cols w:equalWidth="0" w:num="2">
            <w:col w:w="147" w:space="560"/>
            <w:col w:w="9340"/>
          </w:cols>
          <w:pgMar w:left="913" w:top="582" w:right="920" w:bottom="0" w:gutter="0" w:footer="0" w:header="0"/>
          <w:type w:val="continuous"/>
        </w:sectPr>
      </w:pPr>
    </w:p>
    <w:p>
      <w:pPr>
        <w:ind w:left="707" w:right="460" w:hanging="707"/>
        <w:spacing w:after="0" w:line="290" w:lineRule="auto"/>
        <w:tabs>
          <w:tab w:leader="none" w:pos="707" w:val="left"/>
        </w:tabs>
        <w:numPr>
          <w:ilvl w:val="0"/>
          <w:numId w:val="45"/>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included in the performance measure utilized by our CODM in the evaluation of segment results. See Note 19 to our Consolidated Financial Statements for additional discussion of such adjustments.</w:t>
      </w:r>
    </w:p>
    <w:p>
      <w:pPr>
        <w:spacing w:after="0" w:line="46" w:lineRule="exact"/>
        <w:rPr>
          <w:rFonts w:ascii="Arial" w:cs="Arial" w:eastAsia="Arial" w:hAnsi="Arial"/>
          <w:sz w:val="22"/>
          <w:szCs w:val="22"/>
          <w:color w:val="auto"/>
          <w:vertAlign w:val="superscript"/>
        </w:rPr>
      </w:pPr>
    </w:p>
    <w:p>
      <w:pPr>
        <w:ind w:left="707" w:right="160" w:hanging="707"/>
        <w:spacing w:after="0" w:line="227" w:lineRule="auto"/>
        <w:tabs>
          <w:tab w:leader="none" w:pos="707" w:val="left"/>
        </w:tabs>
        <w:numPr>
          <w:ilvl w:val="0"/>
          <w:numId w:val="45"/>
        </w:numPr>
        <w:rPr>
          <w:rFonts w:ascii="Arial" w:cs="Arial" w:eastAsia="Arial" w:hAnsi="Arial"/>
          <w:sz w:val="25"/>
          <w:szCs w:val="25"/>
          <w:color w:val="auto"/>
          <w:vertAlign w:val="superscript"/>
        </w:rPr>
      </w:pPr>
      <w:r>
        <w:rPr>
          <w:rFonts w:ascii="Arial" w:cs="Arial" w:eastAsia="Arial" w:hAnsi="Arial"/>
          <w:sz w:val="20"/>
          <w:szCs w:val="20"/>
          <w:color w:val="auto"/>
        </w:rPr>
        <w:t>Average daily volumes are calculated as total volumes (attributable to our interest for assets owned through UJIs) for the year divided by the number of days in the year.</w:t>
      </w:r>
    </w:p>
    <w:p>
      <w:pPr>
        <w:sectPr>
          <w:pgSz w:w="11880" w:h="15480" w:orient="portrait"/>
          <w:cols w:equalWidth="0" w:num="1">
            <w:col w:w="10047"/>
          </w:cols>
          <w:pgMar w:left="913" w:top="582"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047"/>
          </w:cols>
          <w:pgMar w:left="913" w:top="582" w:right="920" w:bottom="0" w:gutter="0" w:footer="0" w:header="0"/>
          <w:type w:val="continuous"/>
        </w:sectPr>
      </w:pPr>
    </w:p>
    <w:bookmarkStart w:id="81" w:name="page82"/>
    <w:bookmarkEnd w:id="81"/>
    <w:p>
      <w:pPr>
        <w:ind w:left="707"/>
        <w:spacing w:after="0"/>
        <w:rPr>
          <w:sz w:val="20"/>
          <w:szCs w:val="20"/>
          <w:color w:val="auto"/>
        </w:rPr>
      </w:pPr>
      <w:r>
        <w:rPr>
          <w:rFonts w:ascii="Arial" w:cs="Arial" w:eastAsia="Arial" w:hAnsi="Arial"/>
          <w:sz w:val="20"/>
          <w:szCs w:val="20"/>
          <w:b w:val="1"/>
          <w:bCs w:val="1"/>
          <w:i w:val="1"/>
          <w:iCs w:val="1"/>
          <w:color w:val="auto"/>
        </w:rPr>
        <w:t>Segment Adjusted EBITDA</w:t>
      </w:r>
    </w:p>
    <w:p>
      <w:pPr>
        <w:spacing w:after="0" w:line="242" w:lineRule="exact"/>
        <w:rPr>
          <w:sz w:val="20"/>
          <w:szCs w:val="20"/>
          <w:color w:val="auto"/>
        </w:rPr>
      </w:pPr>
    </w:p>
    <w:p>
      <w:pPr>
        <w:ind w:left="7" w:right="300" w:firstLine="706"/>
        <w:spacing w:after="0" w:line="258" w:lineRule="auto"/>
        <w:rPr>
          <w:sz w:val="20"/>
          <w:szCs w:val="20"/>
          <w:color w:val="auto"/>
        </w:rPr>
      </w:pPr>
      <w:r>
        <w:rPr>
          <w:rFonts w:ascii="Arial" w:cs="Arial" w:eastAsia="Arial" w:hAnsi="Arial"/>
          <w:sz w:val="20"/>
          <w:szCs w:val="20"/>
          <w:color w:val="auto"/>
        </w:rPr>
        <w:t>NGL Segment Adjusted EBITDA for the year ended December 31, 2024 decreased compared to the year ended December 31, 2023, primarily due to the impact of lower realized frac spreads, partially offset by higher propane and butane sales volumes.</w:t>
      </w:r>
    </w:p>
    <w:p>
      <w:pPr>
        <w:spacing w:after="0" w:line="199" w:lineRule="exact"/>
        <w:rPr>
          <w:sz w:val="20"/>
          <w:szCs w:val="20"/>
          <w:color w:val="auto"/>
        </w:rPr>
      </w:pPr>
    </w:p>
    <w:p>
      <w:pPr>
        <w:ind w:left="707"/>
        <w:spacing w:after="0"/>
        <w:rPr>
          <w:sz w:val="20"/>
          <w:szCs w:val="20"/>
          <w:color w:val="auto"/>
        </w:rPr>
      </w:pPr>
      <w:r>
        <w:rPr>
          <w:rFonts w:ascii="Arial" w:cs="Arial" w:eastAsia="Arial" w:hAnsi="Arial"/>
          <w:sz w:val="19"/>
          <w:szCs w:val="19"/>
          <w:color w:val="auto"/>
        </w:rPr>
        <w:t>Significant variances in the components of Segment Adjusted EBITDA are discussed in more detail below:</w:t>
      </w:r>
    </w:p>
    <w:p>
      <w:pPr>
        <w:spacing w:after="0" w:line="250" w:lineRule="exact"/>
        <w:rPr>
          <w:sz w:val="20"/>
          <w:szCs w:val="20"/>
          <w:color w:val="auto"/>
        </w:rPr>
      </w:pPr>
    </w:p>
    <w:p>
      <w:pPr>
        <w:ind w:left="7" w:firstLine="706"/>
        <w:spacing w:after="0" w:line="266" w:lineRule="auto"/>
        <w:rPr>
          <w:sz w:val="20"/>
          <w:szCs w:val="20"/>
          <w:color w:val="auto"/>
        </w:rPr>
      </w:pPr>
      <w:r>
        <w:rPr>
          <w:rFonts w:ascii="Arial" w:cs="Arial" w:eastAsia="Arial" w:hAnsi="Arial"/>
          <w:sz w:val="19"/>
          <w:szCs w:val="19"/>
          <w:b w:val="1"/>
          <w:bCs w:val="1"/>
          <w:i w:val="1"/>
          <w:iCs w:val="1"/>
          <w:color w:val="auto"/>
        </w:rPr>
        <w:t xml:space="preserve">Net Revenues. </w:t>
      </w:r>
      <w:r>
        <w:rPr>
          <w:rFonts w:ascii="Arial" w:cs="Arial" w:eastAsia="Arial" w:hAnsi="Arial"/>
          <w:sz w:val="19"/>
          <w:szCs w:val="19"/>
          <w:color w:val="auto"/>
        </w:rPr>
        <w:t>Net revenues include the impact of derivative activities and long-term inventory costing adjustments,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are excluded from Segment Adjusted EBITDA and thus are reflected as a component of “Other segment items” in the table above. Excluding such impacts, net revenues decreased for the year ended December 31, 2024 compared to the year ended December 31, 2023 primarily due to (i) lower realized frac spreads and (ii) lower field operating cost recoveries at our Empress straddle plants realized through our commercial agreements, partially offset by (iii) higher propane and butane sales volumes, (iv) tariff escalations and (v) market opportunities.</w:t>
      </w:r>
    </w:p>
    <w:p>
      <w:pPr>
        <w:spacing w:after="0" w:line="193" w:lineRule="exact"/>
        <w:rPr>
          <w:sz w:val="20"/>
          <w:szCs w:val="20"/>
          <w:color w:val="auto"/>
        </w:rPr>
      </w:pPr>
    </w:p>
    <w:p>
      <w:pPr>
        <w:ind w:left="7" w:right="240" w:firstLine="706"/>
        <w:spacing w:after="0" w:line="301" w:lineRule="auto"/>
        <w:rPr>
          <w:sz w:val="20"/>
          <w:szCs w:val="20"/>
          <w:color w:val="auto"/>
        </w:rPr>
      </w:pPr>
      <w:r>
        <w:rPr>
          <w:rFonts w:ascii="Arial" w:cs="Arial" w:eastAsia="Arial" w:hAnsi="Arial"/>
          <w:sz w:val="17"/>
          <w:szCs w:val="17"/>
          <w:b w:val="1"/>
          <w:bCs w:val="1"/>
          <w:i w:val="1"/>
          <w:iCs w:val="1"/>
          <w:color w:val="auto"/>
        </w:rPr>
        <w:t xml:space="preserve">Field Operating Costs. </w:t>
      </w:r>
      <w:r>
        <w:rPr>
          <w:rFonts w:ascii="Arial" w:cs="Arial" w:eastAsia="Arial" w:hAnsi="Arial"/>
          <w:sz w:val="17"/>
          <w:szCs w:val="17"/>
          <w:color w:val="auto"/>
        </w:rPr>
        <w:t>The decrease in field operating costs for the year ended December 31, 2024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2023 was primarily due to (i) decreased utilities-related costs largely as a result of lower prices and</w:t>
      </w:r>
    </w:p>
    <w:p>
      <w:pPr>
        <w:spacing w:after="0" w:line="1" w:lineRule="exact"/>
        <w:rPr>
          <w:sz w:val="20"/>
          <w:szCs w:val="20"/>
          <w:color w:val="auto"/>
        </w:rPr>
      </w:pPr>
    </w:p>
    <w:p>
      <w:pPr>
        <w:ind w:left="7" w:right="60" w:hanging="7"/>
        <w:spacing w:after="0" w:line="264" w:lineRule="auto"/>
        <w:tabs>
          <w:tab w:leader="none" w:pos="296"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decrease in unrealized mark-to-market losses on power hedges (which impact our field operating costs, but are excluded from Segment Adjusted EBITDA, and thus are reflected as a component of “Other segment items” in the table above), partially offset by (iii) higher maintenance and repairs. The decrease in utilities-related costs was partially offset by the lower benefit to net revenues of operating cost recoveries realized through commercial agreements.</w:t>
      </w:r>
    </w:p>
    <w:p>
      <w:pPr>
        <w:spacing w:after="0" w:line="193" w:lineRule="exact"/>
        <w:rPr>
          <w:sz w:val="20"/>
          <w:szCs w:val="20"/>
          <w:color w:val="auto"/>
        </w:rPr>
      </w:pPr>
    </w:p>
    <w:p>
      <w:pPr>
        <w:ind w:left="707"/>
        <w:spacing w:after="0"/>
        <w:rPr>
          <w:sz w:val="20"/>
          <w:szCs w:val="20"/>
          <w:color w:val="auto"/>
        </w:rPr>
      </w:pPr>
      <w:r>
        <w:rPr>
          <w:rFonts w:ascii="Arial" w:cs="Arial" w:eastAsia="Arial" w:hAnsi="Arial"/>
          <w:sz w:val="20"/>
          <w:szCs w:val="20"/>
          <w:b w:val="1"/>
          <w:bCs w:val="1"/>
          <w:i w:val="1"/>
          <w:iCs w:val="1"/>
          <w:color w:val="auto"/>
        </w:rPr>
        <w:t>Maintenance Capital</w:t>
      </w:r>
    </w:p>
    <w:p>
      <w:pPr>
        <w:spacing w:after="0" w:line="242" w:lineRule="exact"/>
        <w:rPr>
          <w:sz w:val="20"/>
          <w:szCs w:val="20"/>
          <w:color w:val="auto"/>
        </w:rPr>
      </w:pPr>
    </w:p>
    <w:p>
      <w:pPr>
        <w:ind w:left="7" w:right="480" w:firstLine="706"/>
        <w:spacing w:after="0" w:line="271" w:lineRule="auto"/>
        <w:rPr>
          <w:sz w:val="20"/>
          <w:szCs w:val="20"/>
          <w:color w:val="auto"/>
        </w:rPr>
      </w:pPr>
      <w:r>
        <w:rPr>
          <w:rFonts w:ascii="Arial" w:cs="Arial" w:eastAsia="Arial" w:hAnsi="Arial"/>
          <w:sz w:val="20"/>
          <w:szCs w:val="20"/>
          <w:color w:val="auto"/>
        </w:rPr>
        <w:t>The decrease in maintenance capital spending for the year ended December 31, 2024 compared to the year ended December 31, 2023 was primarily due to timing of routine integrity activities.</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Liquidity and Capital Resources</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General</w:t>
      </w:r>
    </w:p>
    <w:p>
      <w:pPr>
        <w:spacing w:after="0" w:line="248" w:lineRule="exact"/>
        <w:rPr>
          <w:sz w:val="20"/>
          <w:szCs w:val="20"/>
          <w:color w:val="auto"/>
        </w:rPr>
      </w:pPr>
    </w:p>
    <w:p>
      <w:pPr>
        <w:ind w:left="7" w:right="100" w:firstLine="706"/>
        <w:spacing w:after="0" w:line="292" w:lineRule="auto"/>
        <w:rPr>
          <w:sz w:val="20"/>
          <w:szCs w:val="20"/>
          <w:color w:val="auto"/>
        </w:rPr>
      </w:pPr>
      <w:r>
        <w:rPr>
          <w:rFonts w:ascii="Arial" w:cs="Arial" w:eastAsia="Arial" w:hAnsi="Arial"/>
          <w:sz w:val="17"/>
          <w:szCs w:val="17"/>
          <w:color w:val="auto"/>
        </w:rPr>
        <w:t>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w:t>
      </w:r>
    </w:p>
    <w:p>
      <w:pPr>
        <w:spacing w:after="0" w:line="4" w:lineRule="exact"/>
        <w:rPr>
          <w:sz w:val="20"/>
          <w:szCs w:val="20"/>
          <w:color w:val="auto"/>
        </w:rPr>
      </w:pPr>
    </w:p>
    <w:p>
      <w:pPr>
        <w:ind w:left="7" w:right="80" w:hanging="7"/>
        <w:spacing w:after="0" w:line="300" w:lineRule="auto"/>
        <w:tabs>
          <w:tab w:leader="none" w:pos="285"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w:t>
      </w:r>
    </w:p>
    <w:p>
      <w:pPr>
        <w:spacing w:after="0" w:line="170" w:lineRule="exact"/>
        <w:rPr>
          <w:sz w:val="20"/>
          <w:szCs w:val="20"/>
          <w:color w:val="auto"/>
        </w:rPr>
      </w:pPr>
    </w:p>
    <w:p>
      <w:pPr>
        <w:ind w:left="7" w:right="140" w:firstLine="706"/>
        <w:spacing w:after="0" w:line="258" w:lineRule="auto"/>
        <w:rPr>
          <w:sz w:val="20"/>
          <w:szCs w:val="20"/>
          <w:color w:val="auto"/>
        </w:rPr>
      </w:pPr>
      <w:r>
        <w:rPr>
          <w:rFonts w:ascii="Arial" w:cs="Arial" w:eastAsia="Arial" w:hAnsi="Arial"/>
          <w:sz w:val="20"/>
          <w:szCs w:val="20"/>
          <w:color w:val="auto"/>
        </w:rPr>
        <w:t>As of December 31, 2024, although we had a working capital deficit of $148 million, we had over $2.6 billion of liquidity available to meet our ongoing operating, investing and financing needs, subject to continued covenant compliance, as noted below (in millions):</w:t>
      </w:r>
    </w:p>
    <w:p>
      <w:pPr>
        <w:sectPr>
          <w:pgSz w:w="11880" w:h="15480" w:orient="portrait"/>
          <w:cols w:equalWidth="0" w:num="1">
            <w:col w:w="10047"/>
          </w:cols>
          <w:pgMar w:left="913"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
        <w:spacing w:after="0"/>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410325" cy="1101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pacing w:after="0" w:line="27" w:lineRule="exact"/>
        <w:rPr>
          <w:sz w:val="20"/>
          <w:szCs w:val="20"/>
          <w:color w:val="auto"/>
        </w:rPr>
      </w:pPr>
    </w:p>
    <w:p>
      <w:pPr>
        <w:ind w:left="47"/>
        <w:spacing w:after="0"/>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p>
      <w:pPr>
        <w:spacing w:after="0" w:line="3" w:lineRule="exact"/>
        <w:rPr>
          <w:sz w:val="20"/>
          <w:szCs w:val="20"/>
          <w:color w:val="auto"/>
        </w:rPr>
      </w:pPr>
    </w:p>
    <w:p>
      <w:pPr>
        <w:ind w:left="67"/>
        <w:spacing w:after="0"/>
        <w:rPr>
          <w:sz w:val="20"/>
          <w:szCs w:val="20"/>
          <w:color w:val="auto"/>
        </w:rPr>
      </w:pPr>
      <w:r>
        <w:rPr>
          <w:rFonts w:ascii="Arial" w:cs="Arial" w:eastAsia="Arial" w:hAnsi="Arial"/>
          <w:sz w:val="20"/>
          <w:szCs w:val="20"/>
          <w:color w:val="auto"/>
        </w:rPr>
        <w:t>Amounts outstanding under PAA commercial paper program</w:t>
      </w:r>
    </w:p>
    <w:p>
      <w:pPr>
        <w:spacing w:after="0" w:line="49" w:lineRule="exact"/>
        <w:rPr>
          <w:sz w:val="20"/>
          <w:szCs w:val="20"/>
          <w:color w:val="auto"/>
        </w:rPr>
      </w:pPr>
    </w:p>
    <w:p>
      <w:pPr>
        <w:ind w:left="187"/>
        <w:spacing w:after="0"/>
        <w:rPr>
          <w:sz w:val="20"/>
          <w:szCs w:val="20"/>
          <w:color w:val="auto"/>
        </w:rPr>
      </w:pPr>
      <w:r>
        <w:rPr>
          <w:rFonts w:ascii="Arial" w:cs="Arial" w:eastAsia="Arial" w:hAnsi="Arial"/>
          <w:sz w:val="20"/>
          <w:szCs w:val="20"/>
          <w:color w:val="auto"/>
        </w:rPr>
        <w:t>Subtotal</w:t>
      </w:r>
    </w:p>
    <w:p>
      <w:pPr>
        <w:spacing w:after="0" w:line="31" w:lineRule="exact"/>
        <w:rPr>
          <w:sz w:val="20"/>
          <w:szCs w:val="20"/>
          <w:color w:val="auto"/>
        </w:rPr>
      </w:pPr>
    </w:p>
    <w:p>
      <w:pPr>
        <w:ind w:left="47"/>
        <w:spacing w:after="0"/>
        <w:rPr>
          <w:sz w:val="20"/>
          <w:szCs w:val="20"/>
          <w:color w:val="auto"/>
        </w:rPr>
      </w:pPr>
      <w:r>
        <w:rPr>
          <w:rFonts w:ascii="Arial" w:cs="Arial" w:eastAsia="Arial" w:hAnsi="Arial"/>
          <w:sz w:val="20"/>
          <w:szCs w:val="20"/>
          <w:color w:val="auto"/>
        </w:rPr>
        <w:t xml:space="preserve">Cash and cash equivalents </w:t>
      </w:r>
      <w:r>
        <w:rPr>
          <w:rFonts w:ascii="Arial" w:cs="Arial" w:eastAsia="Arial" w:hAnsi="Arial"/>
          <w:sz w:val="25"/>
          <w:szCs w:val="25"/>
          <w:color w:val="auto"/>
          <w:vertAlign w:val="superscript"/>
        </w:rPr>
        <w:t>(3)</w:t>
      </w:r>
    </w:p>
    <w:p>
      <w:pPr>
        <w:spacing w:after="0" w:line="32" w:lineRule="exact"/>
        <w:rPr>
          <w:sz w:val="20"/>
          <w:szCs w:val="20"/>
          <w:color w:val="auto"/>
        </w:rPr>
      </w:pPr>
    </w:p>
    <w:p>
      <w:pPr>
        <w:ind w:left="187"/>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220281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8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pt" to="173.45pt,9.3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of</w:t>
      </w:r>
    </w:p>
    <w:p>
      <w:pPr>
        <w:jc w:val="center"/>
        <w:ind w:right="40"/>
        <w:spacing w:after="0"/>
        <w:rPr>
          <w:sz w:val="20"/>
          <w:szCs w:val="20"/>
          <w:color w:val="auto"/>
        </w:rPr>
      </w:pPr>
      <w:r>
        <w:rPr>
          <w:rFonts w:ascii="Arial" w:cs="Arial" w:eastAsia="Arial" w:hAnsi="Arial"/>
          <w:sz w:val="13"/>
          <w:szCs w:val="13"/>
          <w:b w:val="1"/>
          <w:bCs w:val="1"/>
          <w:u w:val="single" w:color="auto"/>
          <w:color w:val="auto"/>
        </w:rPr>
        <w:t>December 31, 2024</w:t>
      </w:r>
    </w:p>
    <w:p>
      <w:pPr>
        <w:spacing w:after="0" w:line="64" w:lineRule="exact"/>
        <w:rPr>
          <w:sz w:val="20"/>
          <w:szCs w:val="20"/>
          <w:color w:val="auto"/>
        </w:rPr>
      </w:pPr>
    </w:p>
    <w:p>
      <w:pPr>
        <w:ind w:left="820" w:hanging="818"/>
        <w:spacing w:after="0"/>
        <w:tabs>
          <w:tab w:leader="none" w:pos="8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1,350</w:t>
      </w:r>
    </w:p>
    <w:p>
      <w:pPr>
        <w:spacing w:after="0" w:line="49" w:lineRule="exact"/>
        <w:rPr>
          <w:rFonts w:ascii="Arial" w:cs="Arial" w:eastAsia="Arial" w:hAnsi="Arial"/>
          <w:sz w:val="20"/>
          <w:szCs w:val="20"/>
          <w:color w:val="auto"/>
        </w:rPr>
      </w:pPr>
    </w:p>
    <w:p>
      <w:pPr>
        <w:ind w:left="820"/>
        <w:spacing w:after="0"/>
        <w:rPr>
          <w:rFonts w:ascii="Arial" w:cs="Arial" w:eastAsia="Arial" w:hAnsi="Arial"/>
          <w:sz w:val="20"/>
          <w:szCs w:val="20"/>
          <w:color w:val="auto"/>
        </w:rPr>
      </w:pPr>
      <w:r>
        <w:rPr>
          <w:rFonts w:ascii="Arial" w:cs="Arial" w:eastAsia="Arial" w:hAnsi="Arial"/>
          <w:sz w:val="20"/>
          <w:szCs w:val="20"/>
          <w:color w:val="auto"/>
        </w:rPr>
        <w:t>1,333</w:t>
      </w:r>
    </w:p>
    <w:p>
      <w:pPr>
        <w:spacing w:after="0" w:line="49"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17"/>
          <w:szCs w:val="17"/>
          <w:color w:val="auto"/>
        </w:rPr>
        <w:t>(393)</w:t>
      </w:r>
    </w:p>
    <w:p>
      <w:pPr>
        <w:spacing w:after="0" w:line="83" w:lineRule="exact"/>
        <w:rPr>
          <w:rFonts w:ascii="Arial" w:cs="Arial" w:eastAsia="Arial" w:hAnsi="Arial"/>
          <w:sz w:val="20"/>
          <w:szCs w:val="20"/>
          <w:color w:val="auto"/>
        </w:rPr>
      </w:pPr>
    </w:p>
    <w:p>
      <w:pPr>
        <w:ind w:left="820"/>
        <w:spacing w:after="0"/>
        <w:rPr>
          <w:rFonts w:ascii="Arial" w:cs="Arial" w:eastAsia="Arial" w:hAnsi="Arial"/>
          <w:sz w:val="20"/>
          <w:szCs w:val="20"/>
          <w:color w:val="auto"/>
        </w:rPr>
      </w:pPr>
      <w:r>
        <w:rPr>
          <w:rFonts w:ascii="Arial" w:cs="Arial" w:eastAsia="Arial" w:hAnsi="Arial"/>
          <w:sz w:val="20"/>
          <w:szCs w:val="20"/>
          <w:color w:val="auto"/>
        </w:rPr>
        <w:t>2,290</w:t>
      </w:r>
    </w:p>
    <w:p>
      <w:pPr>
        <w:spacing w:after="0" w:line="49"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348</w:t>
      </w:r>
    </w:p>
    <w:p>
      <w:pPr>
        <w:spacing w:after="0" w:line="49" w:lineRule="exact"/>
        <w:rPr>
          <w:sz w:val="20"/>
          <w:szCs w:val="20"/>
          <w:color w:val="auto"/>
        </w:rPr>
      </w:pPr>
    </w:p>
    <w:p>
      <w:pPr>
        <w:ind w:left="820" w:hanging="818"/>
        <w:spacing w:after="0"/>
        <w:tabs>
          <w:tab w:leader="none" w:pos="8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2,638</w:t>
      </w:r>
    </w:p>
    <w:p>
      <w:pPr>
        <w:spacing w:after="0" w:line="223" w:lineRule="exact"/>
        <w:rPr>
          <w:sz w:val="20"/>
          <w:szCs w:val="20"/>
          <w:color w:val="auto"/>
        </w:rPr>
      </w:pPr>
    </w:p>
    <w:p>
      <w:pPr>
        <w:sectPr>
          <w:pgSz w:w="11880" w:h="15480" w:orient="portrait"/>
          <w:cols w:equalWidth="0" w:num="2">
            <w:col w:w="7987" w:space="720"/>
            <w:col w:w="1340"/>
          </w:cols>
          <w:pgMar w:left="913" w:top="58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047"/>
          </w:cols>
          <w:pgMar w:left="913" w:top="580" w:right="920" w:bottom="0" w:gutter="0" w:footer="0" w:header="0"/>
          <w:type w:val="continuous"/>
        </w:sectPr>
      </w:pPr>
    </w:p>
    <w:bookmarkStart w:id="82" w:name="page83"/>
    <w:bookmarkEnd w:id="82"/>
    <w:p>
      <w:pPr>
        <w:spacing w:after="0"/>
        <w:rPr>
          <w:sz w:val="20"/>
          <w:szCs w:val="20"/>
          <w:color w:val="auto"/>
        </w:rPr>
      </w:pPr>
      <w:r>
        <w:rPr>
          <w:rFonts w:ascii="Arial" w:cs="Arial" w:eastAsia="Arial" w:hAnsi="Arial"/>
          <w:sz w:val="13"/>
          <w:szCs w:val="13"/>
          <w:color w:val="auto"/>
        </w:rPr>
        <w:t>(1)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ind w:right="300"/>
        <w:spacing w:after="0" w:line="271" w:lineRule="auto"/>
        <w:rPr>
          <w:sz w:val="20"/>
          <w:szCs w:val="20"/>
          <w:color w:val="auto"/>
        </w:rPr>
      </w:pPr>
      <w:r>
        <w:rPr>
          <w:rFonts w:ascii="Arial" w:cs="Arial" w:eastAsia="Arial" w:hAnsi="Arial"/>
          <w:sz w:val="20"/>
          <w:szCs w:val="20"/>
          <w:color w:val="auto"/>
        </w:rPr>
        <w:t>Represents availability prior to giving effect to borrowings outstanding under the PAA commercial paper program, which reduce available capacity under the facilities.</w:t>
      </w:r>
    </w:p>
    <w:p>
      <w:pPr>
        <w:spacing w:after="0" w:line="69"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Available capacity under the PAA senior unsecured revolving credit facility and the PAA senior secured hedged inventory facility was reduced by outstanding letters of credit issued under these facilities of less than $1 million and $17 million,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Excludes restricted cash of $1 million.</w:t>
      </w:r>
    </w:p>
    <w:p>
      <w:pPr>
        <w:spacing w:after="0" w:line="200" w:lineRule="exact"/>
        <w:rPr>
          <w:sz w:val="20"/>
          <w:szCs w:val="20"/>
          <w:color w:val="auto"/>
        </w:rPr>
      </w:pPr>
    </w:p>
    <w:p>
      <w:pPr>
        <w:sectPr>
          <w:pgSz w:w="11880" w:h="15480" w:orient="portrait"/>
          <w:cols w:equalWidth="0" w:num="2">
            <w:col w:w="160" w:space="640"/>
            <w:col w:w="9300"/>
          </w:cols>
          <w:pgMar w:left="820" w:top="564" w:right="960" w:bottom="0" w:gutter="0" w:footer="0" w:header="0"/>
        </w:sectPr>
      </w:pPr>
    </w:p>
    <w:p>
      <w:pPr>
        <w:spacing w:after="0" w:line="40" w:lineRule="exact"/>
        <w:rPr>
          <w:sz w:val="20"/>
          <w:szCs w:val="20"/>
          <w:color w:val="auto"/>
        </w:rPr>
      </w:pPr>
    </w:p>
    <w:p>
      <w:pPr>
        <w:ind w:left="100" w:right="60" w:firstLine="706"/>
        <w:spacing w:after="0" w:line="268" w:lineRule="auto"/>
        <w:rPr>
          <w:sz w:val="20"/>
          <w:szCs w:val="20"/>
          <w:color w:val="auto"/>
        </w:rPr>
      </w:pPr>
      <w:r>
        <w:rPr>
          <w:rFonts w:ascii="Arial" w:cs="Arial" w:eastAsia="Arial" w:hAnsi="Arial"/>
          <w:sz w:val="19"/>
          <w:szCs w:val="19"/>
          <w:color w:val="auto"/>
        </w:rPr>
        <w:t>Usage of PAA’s credit facilities, which provide the financial backstop for PAA’s commercial paper program, is subject to ongoing compliance with covenants, as discussed further below. PAA’s borrowing capacity and borrowing costs are also impacted by its credit rating. See Item 1A. “Risk Factors—Risks Related to PAA’s Business—Loss of PAA’s investment grade credit rating or the ability to receive open credit could negatively affect its borrowing costs, ability to purchase crude oil, NGL and natural gas supplies or to capitalize on market opportunities.”</w:t>
      </w:r>
    </w:p>
    <w:p>
      <w:pPr>
        <w:spacing w:after="0" w:line="191" w:lineRule="exact"/>
        <w:rPr>
          <w:sz w:val="20"/>
          <w:szCs w:val="20"/>
          <w:color w:val="auto"/>
        </w:rPr>
      </w:pPr>
    </w:p>
    <w:p>
      <w:pPr>
        <w:ind w:left="100" w:right="80" w:firstLine="706"/>
        <w:spacing w:after="0" w:line="263" w:lineRule="auto"/>
        <w:rPr>
          <w:sz w:val="20"/>
          <w:szCs w:val="20"/>
          <w:color w:val="auto"/>
        </w:rPr>
      </w:pPr>
      <w:r>
        <w:rPr>
          <w:rFonts w:ascii="Arial" w:cs="Arial" w:eastAsia="Arial" w:hAnsi="Arial"/>
          <w:sz w:val="19"/>
          <w:szCs w:val="19"/>
          <w:color w:val="auto"/>
        </w:rPr>
        <w:t>We believe that we have, and will continue to have, the ability to access PAA’s commercial paper program and credit facilities, which we use to meet our short-term cash needs. We believe that our financial position remains strong and we have sufficient liquid assets, cash flow from operating activities and borrowing capacity under PAA’s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Credit Agreements, Commercial Paper Program and Indentures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PAA has three primary credit arrangements, which we use to meet our short-term cash needs. These include PAA’s</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$1.35 billion senior unsecured revolving credit facility maturing in 2029 (excluding a commitment of $64 million, which</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matures in 2027), $1.35 billion senior secured hedged inventory facility maturing in 2027 (excluding a commitment of</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$64 million, which matures in 2026) and $2.7 billion unsecured commercial paper program that is backstopped by PAA’s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revolving credit facility and its hedged inventory facility. The credit agreements for PAA’s revolving credit facilities (which</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impact PAA’s ability to access its commercial paper program because they provide the financial backstop that supports PAA’s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short-term credit ratings) and the indentures governing its senior notes contain cross-default provisions. A default under PAA’s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credit agreements or indentures would permit the lenders to accelerate the maturity of the outstanding debt. As long as PAA is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compliance with the provisions in its credit agreements, its ability to make distributions of available cash is not restricted.</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PAA was in compliance with the covenants contained in its credit agreements and indentures as of December 31, 2024.</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Cash Flow from Operating Activities</w:t>
      </w:r>
    </w:p>
    <w:p>
      <w:pPr>
        <w:spacing w:after="0" w:line="248" w:lineRule="exact"/>
        <w:rPr>
          <w:sz w:val="20"/>
          <w:szCs w:val="20"/>
          <w:color w:val="auto"/>
        </w:rPr>
      </w:pPr>
    </w:p>
    <w:p>
      <w:pPr>
        <w:ind w:left="100" w:firstLine="706"/>
        <w:spacing w:after="0" w:line="312" w:lineRule="auto"/>
        <w:rPr>
          <w:sz w:val="20"/>
          <w:szCs w:val="20"/>
          <w:color w:val="auto"/>
        </w:rPr>
      </w:pPr>
      <w:r>
        <w:rPr>
          <w:rFonts w:ascii="Arial" w:cs="Arial" w:eastAsia="Arial" w:hAnsi="Arial"/>
          <w:sz w:val="17"/>
          <w:szCs w:val="17"/>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60" w:lineRule="exact"/>
        <w:rPr>
          <w:sz w:val="20"/>
          <w:szCs w:val="20"/>
          <w:color w:val="auto"/>
        </w:rPr>
      </w:pPr>
    </w:p>
    <w:p>
      <w:pPr>
        <w:ind w:left="100" w:right="140" w:firstLine="706"/>
        <w:spacing w:after="0" w:line="303" w:lineRule="auto"/>
        <w:rPr>
          <w:sz w:val="20"/>
          <w:szCs w:val="20"/>
          <w:color w:val="auto"/>
        </w:rPr>
      </w:pPr>
      <w:r>
        <w:rPr>
          <w:rFonts w:ascii="Arial" w:cs="Arial" w:eastAsia="Arial" w:hAnsi="Arial"/>
          <w:sz w:val="17"/>
          <w:szCs w:val="17"/>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PAA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ectPr>
          <w:pgSz w:w="11880" w:h="15480" w:orient="portrait"/>
          <w:cols w:equalWidth="0" w:num="1">
            <w:col w:w="10100"/>
          </w:cols>
          <w:pgMar w:left="820" w:top="564"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100"/>
          </w:cols>
          <w:pgMar w:left="820" w:top="564" w:right="960" w:bottom="0" w:gutter="0" w:footer="0" w:header="0"/>
          <w:type w:val="continuous"/>
        </w:sectPr>
      </w:pPr>
    </w:p>
    <w:bookmarkStart w:id="83" w:name="page84"/>
    <w:bookmarkEnd w:id="83"/>
    <w:p>
      <w:pPr>
        <w:ind w:right="60" w:firstLine="706"/>
        <w:spacing w:after="0" w:line="297" w:lineRule="auto"/>
        <w:rPr>
          <w:sz w:val="20"/>
          <w:szCs w:val="20"/>
          <w:color w:val="auto"/>
        </w:rPr>
      </w:pPr>
      <w:r>
        <w:rPr>
          <w:rFonts w:ascii="Arial" w:cs="Arial" w:eastAsia="Arial" w:hAnsi="Arial"/>
          <w:sz w:val="17"/>
          <w:szCs w:val="17"/>
          <w:color w:val="auto"/>
        </w:rPr>
        <w:t>In periods when the market is not in contango, we typically sell our crude oil during the same month in which we purchase it and we do not rely on borrowings under the PAA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PAA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spacing w:after="0" w:line="175" w:lineRule="exact"/>
        <w:rPr>
          <w:sz w:val="20"/>
          <w:szCs w:val="20"/>
          <w:color w:val="auto"/>
        </w:rPr>
      </w:pPr>
    </w:p>
    <w:p>
      <w:pPr>
        <w:ind w:right="300" w:firstLine="706"/>
        <w:spacing w:after="0" w:line="298" w:lineRule="auto"/>
        <w:rPr>
          <w:sz w:val="20"/>
          <w:szCs w:val="20"/>
          <w:color w:val="auto"/>
        </w:rPr>
      </w:pPr>
      <w:r>
        <w:rPr>
          <w:rFonts w:ascii="Arial" w:cs="Arial" w:eastAsia="Arial" w:hAnsi="Arial"/>
          <w:sz w:val="19"/>
          <w:szCs w:val="19"/>
          <w:color w:val="auto"/>
        </w:rPr>
        <w:t>Net cash provided by operating activities for the years ended December 31, 2024 and 2023 was approximately $2.5 billion and $2.7 billion, respectively, and primarily resulted from earnings from our operations.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Capital Expenditures</w:t>
      </w:r>
    </w:p>
    <w:p>
      <w:pPr>
        <w:spacing w:after="0" w:line="248" w:lineRule="exact"/>
        <w:rPr>
          <w:sz w:val="20"/>
          <w:szCs w:val="20"/>
          <w:color w:val="auto"/>
        </w:rPr>
      </w:pPr>
    </w:p>
    <w:p>
      <w:pPr>
        <w:ind w:right="140" w:firstLine="706"/>
        <w:spacing w:after="0" w:line="312" w:lineRule="auto"/>
        <w:rPr>
          <w:sz w:val="20"/>
          <w:szCs w:val="20"/>
          <w:color w:val="auto"/>
        </w:rPr>
      </w:pPr>
      <w:r>
        <w:rPr>
          <w:rFonts w:ascii="Arial" w:cs="Arial" w:eastAsia="Arial" w:hAnsi="Arial"/>
          <w:sz w:val="17"/>
          <w:szCs w:val="17"/>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620" w:type="dxa"/>
            <w:vAlign w:val="bottom"/>
            <w:tcBorders>
              <w:bottom w:val="single" w:sz="8" w:color="auto"/>
            </w:tcBorders>
            <w:gridSpan w:val="5"/>
          </w:tcPr>
          <w:p>
            <w:pPr>
              <w:jc w:val="right"/>
              <w:ind w:right="326"/>
              <w:spacing w:after="0"/>
              <w:rPr>
                <w:sz w:val="20"/>
                <w:szCs w:val="20"/>
                <w:color w:val="auto"/>
              </w:rPr>
            </w:pPr>
            <w:r>
              <w:rPr>
                <w:rFonts w:ascii="Arial" w:cs="Arial" w:eastAsia="Arial" w:hAnsi="Arial"/>
                <w:sz w:val="16"/>
                <w:szCs w:val="16"/>
                <w:b w:val="1"/>
                <w:bCs w:val="1"/>
                <w:color w:val="auto"/>
              </w:rPr>
              <w:t>Year Ended December 31,</w:t>
            </w:r>
          </w:p>
        </w:tc>
      </w:tr>
      <w:tr>
        <w:trPr>
          <w:trHeight w:val="230"/>
        </w:trPr>
        <w:tc>
          <w:tcPr>
            <w:tcW w:w="34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2023</w:t>
            </w:r>
          </w:p>
        </w:tc>
      </w:tr>
      <w:tr>
        <w:trPr>
          <w:trHeight w:val="292"/>
        </w:trPr>
        <w:tc>
          <w:tcPr>
            <w:tcW w:w="7420" w:type="dxa"/>
            <w:vAlign w:val="bottom"/>
            <w:gridSpan w:val="2"/>
          </w:tcPr>
          <w:p>
            <w:pPr>
              <w:ind w:left="40"/>
              <w:spacing w:after="0"/>
              <w:rPr>
                <w:sz w:val="20"/>
                <w:szCs w:val="20"/>
                <w:color w:val="auto"/>
              </w:rPr>
            </w:pPr>
            <w:r>
              <w:rPr>
                <w:rFonts w:ascii="Arial" w:cs="Arial" w:eastAsia="Arial" w:hAnsi="Arial"/>
                <w:sz w:val="20"/>
                <w:szCs w:val="20"/>
                <w:color w:val="auto"/>
              </w:rPr>
              <w:t xml:space="preserve">Investment capital </w:t>
            </w:r>
            <w:r>
              <w:rPr>
                <w:rFonts w:ascii="Arial" w:cs="Arial" w:eastAsia="Arial" w:hAnsi="Arial"/>
                <w:sz w:val="25"/>
                <w:szCs w:val="25"/>
                <w:color w:val="auto"/>
                <w:vertAlign w:val="superscript"/>
              </w:rPr>
              <w:t>(1) (2) (3)</w:t>
            </w:r>
          </w:p>
        </w:tc>
        <w:tc>
          <w:tcPr>
            <w:tcW w:w="840" w:type="dxa"/>
            <w:vAlign w:val="bottom"/>
          </w:tcPr>
          <w:p>
            <w:pPr>
              <w:jc w:val="right"/>
              <w:ind w:right="612"/>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415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399</w:t>
            </w:r>
          </w:p>
        </w:tc>
      </w:tr>
      <w:tr>
        <w:trPr>
          <w:trHeight w:val="294"/>
        </w:trPr>
        <w:tc>
          <w:tcPr>
            <w:tcW w:w="7420" w:type="dxa"/>
            <w:vAlign w:val="bottom"/>
            <w:gridSpan w:val="2"/>
          </w:tcPr>
          <w:p>
            <w:pPr>
              <w:ind w:left="40"/>
              <w:spacing w:after="0"/>
              <w:rPr>
                <w:sz w:val="20"/>
                <w:szCs w:val="20"/>
                <w:color w:val="auto"/>
              </w:rPr>
            </w:pPr>
            <w:r>
              <w:rPr>
                <w:rFonts w:ascii="Arial" w:cs="Arial" w:eastAsia="Arial" w:hAnsi="Arial"/>
                <w:sz w:val="20"/>
                <w:szCs w:val="20"/>
                <w:color w:val="auto"/>
              </w:rPr>
              <w:t xml:space="preserve">Maintenance capital </w:t>
            </w:r>
            <w:r>
              <w:rPr>
                <w:rFonts w:ascii="Arial" w:cs="Arial" w:eastAsia="Arial" w:hAnsi="Arial"/>
                <w:sz w:val="25"/>
                <w:szCs w:val="25"/>
                <w:color w:val="auto"/>
                <w:vertAlign w:val="superscript"/>
              </w:rPr>
              <w:t>(1) (3)</w:t>
            </w: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261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231</w:t>
            </w:r>
          </w:p>
        </w:tc>
      </w:tr>
      <w:tr>
        <w:trPr>
          <w:trHeight w:val="276"/>
        </w:trPr>
        <w:tc>
          <w:tcPr>
            <w:tcW w:w="7420" w:type="dxa"/>
            <w:vAlign w:val="bottom"/>
            <w:gridSpan w:val="2"/>
          </w:tcPr>
          <w:p>
            <w:pPr>
              <w:ind w:left="40"/>
              <w:spacing w:after="0" w:line="276" w:lineRule="exact"/>
              <w:rPr>
                <w:sz w:val="20"/>
                <w:szCs w:val="20"/>
                <w:color w:val="auto"/>
              </w:rPr>
            </w:pPr>
            <w:r>
              <w:rPr>
                <w:rFonts w:ascii="Arial" w:cs="Arial" w:eastAsia="Arial" w:hAnsi="Arial"/>
                <w:sz w:val="20"/>
                <w:szCs w:val="20"/>
                <w:color w:val="auto"/>
              </w:rPr>
              <w:t xml:space="preserve">Acquisition capital </w:t>
            </w:r>
            <w:r>
              <w:rPr>
                <w:rFonts w:ascii="Arial" w:cs="Arial" w:eastAsia="Arial" w:hAnsi="Arial"/>
                <w:sz w:val="25"/>
                <w:szCs w:val="25"/>
                <w:color w:val="auto"/>
                <w:vertAlign w:val="superscript"/>
              </w:rPr>
              <w:t>(2) (4)</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w:t>
            </w:r>
          </w:p>
        </w:tc>
      </w:tr>
      <w:tr>
        <w:trPr>
          <w:trHeight w:val="254"/>
        </w:trPr>
        <w:tc>
          <w:tcPr>
            <w:tcW w:w="34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840" w:type="dxa"/>
            <w:vAlign w:val="bottom"/>
          </w:tcPr>
          <w:p>
            <w:pPr>
              <w:jc w:val="right"/>
              <w:ind w:right="612"/>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930</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1,061</w:t>
            </w:r>
          </w:p>
        </w:tc>
      </w:tr>
      <w:tr>
        <w:trPr>
          <w:trHeight w:val="20"/>
        </w:trPr>
        <w:tc>
          <w:tcPr>
            <w:tcW w:w="3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-874395</wp:posOffset>
            </wp:positionV>
            <wp:extent cx="6410325" cy="784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a:extLst>
                        <a:ext uri="{28A0092B-C50C-407E-A947-70E740481C1C}"/>
                      </a:extLst>
                    </a:blip>
                    <a:srcRect/>
                    <a:stretch>
                      <a:fillRect/>
                    </a:stretch>
                  </pic:blipFill>
                  <pic:spPr bwMode="auto">
                    <a:xfrm>
                      <a:off x="0" y="0"/>
                      <a:ext cx="6410325" cy="784860"/>
                    </a:xfrm>
                    <a:prstGeom prst="rect">
                      <a:avLst/>
                    </a:prstGeom>
                    <a:noFill/>
                  </pic:spPr>
                </pic:pic>
              </a:graphicData>
            </a:graphic>
          </wp:anchor>
        </w:drawing>
      </w:r>
    </w:p>
    <w:p>
      <w:pPr>
        <w:sectPr>
          <w:pgSz w:w="11880" w:h="15480" w:orient="portrait"/>
          <w:cols w:equalWidth="0" w:num="1">
            <w:col w:w="10040"/>
          </w:cols>
          <w:pgMar w:left="920" w:top="582" w:right="920" w:bottom="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20"/>
        <w:spacing w:after="0" w:line="325" w:lineRule="auto"/>
        <w:rPr>
          <w:sz w:val="20"/>
          <w:szCs w:val="20"/>
          <w:color w:val="auto"/>
        </w:rPr>
      </w:pPr>
      <w:r>
        <w:rPr>
          <w:rFonts w:ascii="Arial" w:cs="Arial" w:eastAsia="Arial" w:hAnsi="Arial"/>
          <w:sz w:val="17"/>
          <w:szCs w:val="17"/>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29" w:lineRule="exact"/>
        <w:rPr>
          <w:sz w:val="20"/>
          <w:szCs w:val="20"/>
          <w:color w:val="auto"/>
        </w:rPr>
      </w:pPr>
    </w:p>
    <w:p>
      <w:pPr>
        <w:ind w:right="120"/>
        <w:spacing w:after="0" w:line="278" w:lineRule="auto"/>
        <w:rPr>
          <w:sz w:val="20"/>
          <w:szCs w:val="20"/>
          <w:color w:val="auto"/>
        </w:rPr>
      </w:pPr>
      <w:r>
        <w:rPr>
          <w:rFonts w:ascii="Arial" w:cs="Arial" w:eastAsia="Arial" w:hAnsi="Arial"/>
          <w:sz w:val="19"/>
          <w:szCs w:val="19"/>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Investment capital and maintenance capital, net to our 65% interest in the Permian JV, was approximately</w:t>
      </w:r>
    </w:p>
    <w:p>
      <w:pPr>
        <w:spacing w:after="0" w:line="3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$329 million and $242 million, respectively, for 2024, and approximately $310 million and $214 million, respectively, for 2023.</w:t>
      </w:r>
    </w:p>
    <w:p>
      <w:pPr>
        <w:spacing w:after="0" w:line="89"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Acquisition capital for 2024 primarily includes the acquisitions of additional ownership interests in equity method investees. Acquisition capital for 2023 primarily includes the acquisition by the Permian JV of (i) the remaining 43% interest in OMOG JV Holdings LLC and (ii) gathering assets in the Southern and Northern Delaware Basins. See Note 7 and Note 8 to our Consolidated Financial Statements for additional information. Acquisition capital, net to our 65% interest in the Permian JV, was approximately $243 million and $281 million for 2024 and 2023, respectively.</w:t>
      </w:r>
    </w:p>
    <w:p>
      <w:pPr>
        <w:spacing w:after="0" w:line="200" w:lineRule="exact"/>
        <w:rPr>
          <w:sz w:val="20"/>
          <w:szCs w:val="20"/>
          <w:color w:val="auto"/>
        </w:rPr>
      </w:pPr>
    </w:p>
    <w:p>
      <w:pPr>
        <w:sectPr>
          <w:pgSz w:w="11880" w:h="15480" w:orient="portrait"/>
          <w:cols w:equalWidth="0" w:num="2">
            <w:col w:w="140" w:space="560"/>
            <w:col w:w="9340"/>
          </w:cols>
          <w:pgMar w:left="920" w:top="582" w:right="920" w:bottom="0" w:gutter="0" w:footer="0" w:header="0"/>
          <w:type w:val="continuous"/>
        </w:sectPr>
      </w:pPr>
    </w:p>
    <w:p>
      <w:pPr>
        <w:spacing w:after="0" w:line="83" w:lineRule="exact"/>
        <w:rPr>
          <w:sz w:val="20"/>
          <w:szCs w:val="20"/>
          <w:color w:val="auto"/>
        </w:rPr>
      </w:pPr>
    </w:p>
    <w:p>
      <w:pPr>
        <w:ind w:right="40" w:firstLine="706"/>
        <w:spacing w:after="0" w:line="325" w:lineRule="auto"/>
        <w:rPr>
          <w:sz w:val="20"/>
          <w:szCs w:val="20"/>
          <w:color w:val="auto"/>
        </w:rPr>
      </w:pPr>
      <w:r>
        <w:rPr>
          <w:rFonts w:ascii="Arial" w:cs="Arial" w:eastAsia="Arial" w:hAnsi="Arial"/>
          <w:sz w:val="17"/>
          <w:szCs w:val="17"/>
          <w:color w:val="auto"/>
        </w:rPr>
        <w:t>In the first quarter of 2025, we completed two additional bolt-on acquisitions for $636 million (approximately $580 million net to our interest), which included (i) a Delaware Basin crude oil gathering business and (ii) an Eagle Ford Basin gathering system. We used a portion of the net proceeds from our January 2025 senior notes offering to fund these acquisitions.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Investment Capital Projects</w:t>
      </w:r>
    </w:p>
    <w:p>
      <w:pPr>
        <w:spacing w:after="0" w:line="248" w:lineRule="exact"/>
        <w:rPr>
          <w:sz w:val="20"/>
          <w:szCs w:val="20"/>
          <w:color w:val="auto"/>
        </w:rPr>
      </w:pPr>
    </w:p>
    <w:p>
      <w:pPr>
        <w:ind w:right="200" w:firstLine="706"/>
        <w:spacing w:after="0" w:line="271" w:lineRule="auto"/>
        <w:rPr>
          <w:sz w:val="20"/>
          <w:szCs w:val="20"/>
          <w:color w:val="auto"/>
        </w:rPr>
      </w:pPr>
      <w:r>
        <w:rPr>
          <w:rFonts w:ascii="Arial" w:cs="Arial" w:eastAsia="Arial" w:hAnsi="Arial"/>
          <w:sz w:val="19"/>
          <w:szCs w:val="19"/>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p>
      <w:pPr>
        <w:sectPr>
          <w:pgSz w:w="11880" w:h="15480" w:orient="portrait"/>
          <w:cols w:equalWidth="0" w:num="1">
            <w:col w:w="10040"/>
          </w:cols>
          <w:pgMar w:left="920" w:top="582"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040"/>
          </w:cols>
          <w:pgMar w:left="920" w:top="582" w:right="920" w:bottom="0" w:gutter="0" w:footer="0" w:header="0"/>
          <w:type w:val="continuous"/>
        </w:sectPr>
      </w:pPr>
    </w:p>
    <w:bookmarkStart w:id="84" w:name="page85"/>
    <w:bookmarkEnd w:id="84"/>
    <w:tbl>
      <w:tblPr>
        <w:tblLayout w:type="fixed"/>
        <w:tblInd w:w="7"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26"/>
              <w:spacing w:after="0"/>
              <w:rPr>
                <w:sz w:val="20"/>
                <w:szCs w:val="20"/>
                <w:color w:val="auto"/>
              </w:rPr>
            </w:pPr>
            <w:r>
              <w:rPr>
                <w:rFonts w:ascii="Arial" w:cs="Arial" w:eastAsia="Arial" w:hAnsi="Arial"/>
                <w:sz w:val="16"/>
                <w:szCs w:val="16"/>
                <w:b w:val="1"/>
                <w:bCs w:val="1"/>
                <w:color w:val="auto"/>
                <w:w w:val="95"/>
              </w:rPr>
              <w:t>Year Ended December 31,</w:t>
            </w:r>
          </w:p>
        </w:tc>
      </w:tr>
      <w:tr>
        <w:trPr>
          <w:trHeight w:val="215"/>
        </w:trPr>
        <w:tc>
          <w:tcPr>
            <w:tcW w:w="7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Projects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2023</w:t>
            </w:r>
          </w:p>
        </w:tc>
      </w:tr>
      <w:tr>
        <w:trPr>
          <w:trHeight w:val="262"/>
        </w:trPr>
        <w:tc>
          <w:tcPr>
            <w:tcW w:w="7360" w:type="dxa"/>
            <w:vAlign w:val="bottom"/>
            <w:gridSpan w:val="2"/>
          </w:tcPr>
          <w:p>
            <w:pPr>
              <w:ind w:left="40"/>
              <w:spacing w:after="0" w:line="262" w:lineRule="exact"/>
              <w:rPr>
                <w:sz w:val="20"/>
                <w:szCs w:val="20"/>
                <w:color w:val="auto"/>
              </w:rPr>
            </w:pPr>
            <w:r>
              <w:rPr>
                <w:rFonts w:ascii="Arial" w:cs="Arial" w:eastAsia="Arial" w:hAnsi="Arial"/>
                <w:sz w:val="20"/>
                <w:szCs w:val="20"/>
                <w:color w:val="auto"/>
              </w:rPr>
              <w:t xml:space="preserve">Complementary Permian Basin Projects </w:t>
            </w:r>
            <w:r>
              <w:rPr>
                <w:rFonts w:ascii="Arial" w:cs="Arial" w:eastAsia="Arial" w:hAnsi="Arial"/>
                <w:sz w:val="25"/>
                <w:szCs w:val="25"/>
                <w:color w:val="auto"/>
                <w:vertAlign w:val="superscript"/>
              </w:rPr>
              <w:t>(1)</w:t>
            </w:r>
          </w:p>
        </w:tc>
        <w:tc>
          <w:tcPr>
            <w:tcW w:w="80" w:type="dxa"/>
            <w:vAlign w:val="bottom"/>
          </w:tcPr>
          <w:p>
            <w:pPr>
              <w:spacing w:after="0"/>
              <w:rPr>
                <w:sz w:val="22"/>
                <w:szCs w:val="22"/>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249</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266</w:t>
            </w:r>
          </w:p>
        </w:tc>
      </w:tr>
      <w:tr>
        <w:trPr>
          <w:trHeight w:val="298"/>
        </w:trPr>
        <w:tc>
          <w:tcPr>
            <w:tcW w:w="7440" w:type="dxa"/>
            <w:vAlign w:val="bottom"/>
            <w:gridSpan w:val="3"/>
          </w:tcPr>
          <w:p>
            <w:pPr>
              <w:ind w:left="40"/>
              <w:spacing w:after="0"/>
              <w:rPr>
                <w:sz w:val="20"/>
                <w:szCs w:val="20"/>
                <w:color w:val="auto"/>
              </w:rPr>
            </w:pPr>
            <w:r>
              <w:rPr>
                <w:rFonts w:ascii="Arial" w:cs="Arial" w:eastAsia="Arial" w:hAnsi="Arial"/>
                <w:sz w:val="20"/>
                <w:szCs w:val="20"/>
                <w:color w:val="auto"/>
              </w:rPr>
              <w:t xml:space="preserve">Selected Facilities/Downstream Projects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8"/>
        </w:trPr>
        <w:tc>
          <w:tcPr>
            <w:tcW w:w="7440" w:type="dxa"/>
            <w:vAlign w:val="bottom"/>
            <w:gridSpan w:val="3"/>
          </w:tcPr>
          <w:p>
            <w:pPr>
              <w:ind w:left="40"/>
              <w:spacing w:after="0"/>
              <w:rPr>
                <w:sz w:val="20"/>
                <w:szCs w:val="20"/>
                <w:color w:val="auto"/>
              </w:rPr>
            </w:pPr>
            <w:r>
              <w:rPr>
                <w:rFonts w:ascii="Arial" w:cs="Arial" w:eastAsia="Arial" w:hAnsi="Arial"/>
                <w:sz w:val="20"/>
                <w:szCs w:val="20"/>
                <w:color w:val="auto"/>
              </w:rPr>
              <w:t>Other Projects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w:t>
            </w:r>
          </w:p>
        </w:tc>
      </w:tr>
      <w:tr>
        <w:trPr>
          <w:trHeight w:val="240"/>
        </w:trPr>
        <w:tc>
          <w:tcPr>
            <w:tcW w:w="7440" w:type="dxa"/>
            <w:vAlign w:val="bottom"/>
            <w:gridSpan w:val="3"/>
          </w:tcPr>
          <w:p>
            <w:pPr>
              <w:ind w:left="180"/>
              <w:spacing w:after="0"/>
              <w:rPr>
                <w:sz w:val="20"/>
                <w:szCs w:val="20"/>
                <w:color w:val="auto"/>
              </w:rPr>
            </w:pPr>
            <w:r>
              <w:rPr>
                <w:rFonts w:ascii="Arial" w:cs="Arial" w:eastAsia="Arial" w:hAnsi="Arial"/>
                <w:sz w:val="20"/>
                <w:szCs w:val="20"/>
                <w:color w:val="auto"/>
              </w:rPr>
              <w:t>Total</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415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399</w:t>
            </w:r>
          </w:p>
        </w:tc>
      </w:tr>
      <w:tr>
        <w:trPr>
          <w:trHeight w:val="20"/>
        </w:trPr>
        <w:tc>
          <w:tcPr>
            <w:tcW w:w="3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-836930</wp:posOffset>
            </wp:positionV>
            <wp:extent cx="6410325" cy="747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ectPr>
          <w:pgSz w:w="11880" w:h="15480" w:orient="portrait"/>
          <w:cols w:equalWidth="0" w:num="1">
            <w:col w:w="10047"/>
          </w:cols>
          <w:pgMar w:left="913" w:top="655" w:right="920" w:bottom="0" w:gutter="0" w:footer="0" w:header="0"/>
        </w:sectPr>
      </w:pPr>
    </w:p>
    <w:p>
      <w:pPr>
        <w:spacing w:after="0" w:line="127" w:lineRule="exact"/>
        <w:rPr>
          <w:sz w:val="20"/>
          <w:szCs w:val="20"/>
          <w:color w:val="auto"/>
        </w:rPr>
      </w:pPr>
    </w:p>
    <w:p>
      <w:pPr>
        <w:ind w:left="7"/>
        <w:spacing w:after="0"/>
        <w:rPr>
          <w:sz w:val="20"/>
          <w:szCs w:val="20"/>
          <w:color w:val="auto"/>
        </w:rPr>
      </w:pPr>
      <w:r>
        <w:rPr>
          <w:rFonts w:ascii="Arial" w:cs="Arial" w:eastAsia="Arial" w:hAnsi="Arial"/>
          <w:sz w:val="11"/>
          <w:szCs w:val="11"/>
          <w:color w:val="auto"/>
        </w:rPr>
        <w:t>(1)</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Includes projects associated with assets included in the Permian JV.</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Includes projects at our St. James and Fort Saskatchewan terminals.</w:t>
      </w:r>
    </w:p>
    <w:p>
      <w:pPr>
        <w:spacing w:after="0" w:line="200" w:lineRule="exact"/>
        <w:rPr>
          <w:sz w:val="20"/>
          <w:szCs w:val="20"/>
          <w:color w:val="auto"/>
        </w:rPr>
      </w:pPr>
    </w:p>
    <w:p>
      <w:pPr>
        <w:sectPr>
          <w:pgSz w:w="11880" w:h="15480" w:orient="portrait"/>
          <w:cols w:equalWidth="0" w:num="2">
            <w:col w:w="147" w:space="560"/>
            <w:col w:w="9340"/>
          </w:cols>
          <w:pgMar w:left="913" w:top="655" w:right="920" w:bottom="0" w:gutter="0" w:footer="0" w:header="0"/>
          <w:type w:val="continuous"/>
        </w:sectPr>
      </w:pPr>
    </w:p>
    <w:p>
      <w:pPr>
        <w:spacing w:after="0" w:line="191" w:lineRule="exact"/>
        <w:rPr>
          <w:sz w:val="20"/>
          <w:szCs w:val="20"/>
          <w:color w:val="auto"/>
        </w:rPr>
      </w:pPr>
    </w:p>
    <w:p>
      <w:pPr>
        <w:ind w:left="7" w:right="80" w:firstLine="706"/>
        <w:spacing w:after="0" w:line="268" w:lineRule="auto"/>
        <w:rPr>
          <w:sz w:val="20"/>
          <w:szCs w:val="20"/>
          <w:color w:val="auto"/>
        </w:rPr>
      </w:pPr>
      <w:r>
        <w:rPr>
          <w:rFonts w:ascii="Arial" w:cs="Arial" w:eastAsia="Arial" w:hAnsi="Arial"/>
          <w:sz w:val="19"/>
          <w:szCs w:val="19"/>
          <w:b w:val="1"/>
          <w:bCs w:val="1"/>
          <w:i w:val="1"/>
          <w:iCs w:val="1"/>
          <w:color w:val="auto"/>
        </w:rPr>
        <w:t xml:space="preserve">Projected 2025 Capital Expenditures. </w:t>
      </w:r>
      <w:r>
        <w:rPr>
          <w:rFonts w:ascii="Arial" w:cs="Arial" w:eastAsia="Arial" w:hAnsi="Arial"/>
          <w:sz w:val="19"/>
          <w:szCs w:val="19"/>
          <w:color w:val="auto"/>
        </w:rPr>
        <w:t>Total investment capital for the year ending December 31, 2025 is currently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projected to be approximately $500 million ($400 million net to our interest). Approximately half of our projected investment capital expenditures are expected to be invested in the Permian JV assets. Additionally, maintenance capital for 2025 is currently projected to be approximately $260 million ($240 million net to our interest). We expect to fund our 2025 investment and maintenance capital expenditures primarily with retained cash flow.</w:t>
      </w:r>
    </w:p>
    <w:p>
      <w:pPr>
        <w:spacing w:after="0" w:line="186" w:lineRule="exact"/>
        <w:rPr>
          <w:sz w:val="20"/>
          <w:szCs w:val="20"/>
          <w:color w:val="auto"/>
        </w:rPr>
      </w:pPr>
    </w:p>
    <w:p>
      <w:pPr>
        <w:ind w:left="707"/>
        <w:spacing w:after="0"/>
        <w:rPr>
          <w:sz w:val="20"/>
          <w:szCs w:val="20"/>
          <w:color w:val="auto"/>
        </w:rPr>
      </w:pPr>
      <w:r>
        <w:rPr>
          <w:rFonts w:ascii="Arial" w:cs="Arial" w:eastAsia="Arial" w:hAnsi="Arial"/>
          <w:sz w:val="20"/>
          <w:szCs w:val="20"/>
          <w:b w:val="1"/>
          <w:bCs w:val="1"/>
          <w:color w:val="auto"/>
        </w:rPr>
        <w:t>Divestitures</w:t>
      </w:r>
    </w:p>
    <w:p>
      <w:pPr>
        <w:spacing w:after="0" w:line="248" w:lineRule="exact"/>
        <w:rPr>
          <w:sz w:val="20"/>
          <w:szCs w:val="20"/>
          <w:color w:val="auto"/>
        </w:rPr>
      </w:pPr>
    </w:p>
    <w:p>
      <w:pPr>
        <w:ind w:left="7" w:right="440" w:firstLine="755"/>
        <w:spacing w:after="0" w:line="258" w:lineRule="auto"/>
        <w:rPr>
          <w:sz w:val="20"/>
          <w:szCs w:val="20"/>
          <w:color w:val="auto"/>
        </w:rPr>
      </w:pPr>
      <w:r>
        <w:rPr>
          <w:rFonts w:ascii="Arial" w:cs="Arial" w:eastAsia="Arial" w:hAnsi="Arial"/>
          <w:sz w:val="20"/>
          <w:szCs w:val="20"/>
          <w:color w:val="auto"/>
        </w:rPr>
        <w:t>Proceeds from the sale of assets have historically generally been used to fund our investment capital projects and reduce debt levels. The following table summarizes the proceeds received from divestitures during the last two years (in millions):</w:t>
      </w:r>
    </w:p>
    <w:p>
      <w:pPr>
        <w:spacing w:after="0" w:line="287" w:lineRule="exact"/>
        <w:rPr>
          <w:sz w:val="20"/>
          <w:szCs w:val="20"/>
          <w:color w:val="auto"/>
        </w:rPr>
      </w:pPr>
    </w:p>
    <w:p>
      <w:pPr>
        <w:ind w:left="7867"/>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4713605</wp:posOffset>
                </wp:positionH>
                <wp:positionV relativeFrom="paragraph">
                  <wp:posOffset>24130</wp:posOffset>
                </wp:positionV>
                <wp:extent cx="167068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06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15pt,1.9pt" to="502.7pt,1.9pt" o:allowincell="f" strokecolor="#000000" strokeweight="1pt"/>
            </w:pict>
          </mc:Fallback>
        </mc:AlternateContent>
      </w:r>
    </w:p>
    <w:p>
      <w:pPr>
        <w:spacing w:after="0" w:line="46" w:lineRule="exact"/>
        <w:rPr>
          <w:sz w:val="20"/>
          <w:szCs w:val="20"/>
          <w:color w:val="auto"/>
        </w:rPr>
      </w:pPr>
    </w:p>
    <w:p>
      <w:pPr>
        <w:ind w:left="7907"/>
        <w:spacing w:after="0"/>
        <w:tabs>
          <w:tab w:leader="none" w:pos="9247"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410325" cy="212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extLst>
                    </a:blip>
                    <a:srcRect/>
                    <a:stretch>
                      <a:fillRect/>
                    </a:stretch>
                  </pic:blipFill>
                  <pic:spPr bwMode="auto">
                    <a:xfrm>
                      <a:off x="0" y="0"/>
                      <a:ext cx="6410325" cy="212090"/>
                    </a:xfrm>
                    <a:prstGeom prst="rect">
                      <a:avLst/>
                    </a:prstGeom>
                    <a:noFill/>
                  </pic:spPr>
                </pic:pic>
              </a:graphicData>
            </a:graphic>
          </wp:anchor>
        </w:drawing>
      </w:r>
    </w:p>
    <w:p>
      <w:pPr>
        <w:spacing w:after="0" w:line="26" w:lineRule="exact"/>
        <w:rPr>
          <w:sz w:val="20"/>
          <w:szCs w:val="20"/>
          <w:color w:val="auto"/>
        </w:rPr>
      </w:pPr>
    </w:p>
    <w:p>
      <w:pPr>
        <w:ind w:left="67"/>
        <w:spacing w:after="0"/>
        <w:tabs>
          <w:tab w:leader="none" w:pos="7447" w:val="left"/>
          <w:tab w:leader="none" w:pos="8407" w:val="left"/>
          <w:tab w:leader="none" w:pos="8807" w:val="left"/>
          <w:tab w:leader="none" w:pos="9667" w:val="left"/>
        </w:tabs>
        <w:rPr>
          <w:sz w:val="20"/>
          <w:szCs w:val="20"/>
          <w:color w:val="auto"/>
        </w:rPr>
      </w:pPr>
      <w:r>
        <w:rPr>
          <w:rFonts w:ascii="Arial" w:cs="Arial" w:eastAsia="Arial" w:hAnsi="Arial"/>
          <w:sz w:val="20"/>
          <w:szCs w:val="20"/>
          <w:color w:val="auto"/>
        </w:rPr>
        <w:t xml:space="preserve">Proceeds from divestitures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13</w:t>
        <w:tab/>
        <w:t>$</w:t>
      </w:r>
      <w:r>
        <w:rPr>
          <w:sz w:val="20"/>
          <w:szCs w:val="20"/>
          <w:color w:val="auto"/>
        </w:rPr>
        <w:tab/>
      </w:r>
      <w:r>
        <w:rPr>
          <w:rFonts w:ascii="Arial" w:cs="Arial" w:eastAsia="Arial" w:hAnsi="Arial"/>
          <w:sz w:val="16"/>
          <w:szCs w:val="16"/>
          <w:color w:val="auto"/>
        </w:rPr>
        <w:t>328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107950</wp:posOffset>
                </wp:positionV>
                <wp:extent cx="220281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8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pt" to="173.45pt,8.5pt" o:allowincell="f" strokecolor="#000000" strokeweight="1pt"/>
            </w:pict>
          </mc:Fallback>
        </mc:AlternateContent>
      </w:r>
    </w:p>
    <w:p>
      <w:pPr>
        <w:spacing w:after="0" w:line="305" w:lineRule="exact"/>
        <w:rPr>
          <w:sz w:val="20"/>
          <w:szCs w:val="20"/>
          <w:color w:val="auto"/>
        </w:rPr>
      </w:pPr>
    </w:p>
    <w:p>
      <w:pPr>
        <w:ind w:left="707" w:right="220" w:hanging="707"/>
        <w:spacing w:after="0" w:line="235" w:lineRule="auto"/>
        <w:tabs>
          <w:tab w:leader="none" w:pos="707" w:val="left"/>
        </w:tabs>
        <w:numPr>
          <w:ilvl w:val="0"/>
          <w:numId w:val="50"/>
        </w:numPr>
        <w:rPr>
          <w:rFonts w:ascii="Arial" w:cs="Arial" w:eastAsia="Arial" w:hAnsi="Arial"/>
          <w:sz w:val="25"/>
          <w:szCs w:val="25"/>
          <w:color w:val="auto"/>
          <w:vertAlign w:val="superscript"/>
        </w:rPr>
      </w:pPr>
      <w:r>
        <w:rPr>
          <w:rFonts w:ascii="Arial" w:cs="Arial" w:eastAsia="Arial" w:hAnsi="Arial"/>
          <w:sz w:val="20"/>
          <w:szCs w:val="20"/>
          <w:color w:val="auto"/>
        </w:rPr>
        <w:t>Represents proceeds, including working capital adjustments, net of transaction costs. The proceeds from divestitures for the year ended December 31, 2023 are primarily from the sale of our 21% non-operated/UJI in the Keyera Fort Saskatchewan facility in February 2023. See Note 7 to our Consolidated Financial Statements for additional information.</w:t>
      </w:r>
    </w:p>
    <w:p>
      <w:pPr>
        <w:spacing w:after="0" w:line="238" w:lineRule="exact"/>
        <w:rPr>
          <w:rFonts w:ascii="Arial" w:cs="Arial" w:eastAsia="Arial" w:hAnsi="Arial"/>
          <w:sz w:val="25"/>
          <w:szCs w:val="25"/>
          <w:color w:val="auto"/>
          <w:vertAlign w:val="superscript"/>
        </w:rPr>
      </w:pPr>
    </w:p>
    <w:p>
      <w:pPr>
        <w:ind w:left="707"/>
        <w:spacing w:after="0"/>
        <w:rPr>
          <w:rFonts w:ascii="Arial" w:cs="Arial" w:eastAsia="Arial" w:hAnsi="Arial"/>
          <w:sz w:val="25"/>
          <w:szCs w:val="25"/>
          <w:color w:val="auto"/>
          <w:vertAlign w:val="superscript"/>
        </w:rPr>
      </w:pPr>
      <w:r>
        <w:rPr>
          <w:rFonts w:ascii="Arial" w:cs="Arial" w:eastAsia="Arial" w:hAnsi="Arial"/>
          <w:sz w:val="20"/>
          <w:szCs w:val="20"/>
          <w:b w:val="1"/>
          <w:bCs w:val="1"/>
          <w:color w:val="auto"/>
        </w:rPr>
        <w:t>Ongoing Activities Related to Strategic Transactions</w:t>
      </w:r>
    </w:p>
    <w:p>
      <w:pPr>
        <w:spacing w:after="0" w:line="244" w:lineRule="exact"/>
        <w:rPr>
          <w:sz w:val="20"/>
          <w:szCs w:val="20"/>
          <w:color w:val="auto"/>
        </w:rPr>
      </w:pPr>
    </w:p>
    <w:p>
      <w:pPr>
        <w:ind w:left="7" w:right="40" w:firstLine="706"/>
        <w:spacing w:after="0" w:line="264" w:lineRule="auto"/>
        <w:rPr>
          <w:sz w:val="20"/>
          <w:szCs w:val="20"/>
          <w:color w:val="auto"/>
        </w:rPr>
      </w:pPr>
      <w:r>
        <w:rPr>
          <w:rFonts w:ascii="Arial" w:cs="Arial" w:eastAsia="Arial" w:hAnsi="Arial"/>
          <w:sz w:val="19"/>
          <w:szCs w:val="19"/>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199" w:lineRule="exact"/>
        <w:rPr>
          <w:sz w:val="20"/>
          <w:szCs w:val="20"/>
          <w:color w:val="auto"/>
        </w:rPr>
      </w:pPr>
    </w:p>
    <w:p>
      <w:pPr>
        <w:ind w:left="7" w:right="20" w:firstLine="706"/>
        <w:spacing w:after="0" w:line="263" w:lineRule="auto"/>
        <w:rPr>
          <w:sz w:val="20"/>
          <w:szCs w:val="20"/>
          <w:color w:val="auto"/>
        </w:rPr>
      </w:pPr>
      <w:r>
        <w:rPr>
          <w:rFonts w:ascii="Arial" w:cs="Arial" w:eastAsia="Arial" w:hAnsi="Arial"/>
          <w:sz w:val="19"/>
          <w:szCs w:val="19"/>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p>
    <w:p>
      <w:pPr>
        <w:sectPr>
          <w:pgSz w:w="11880" w:h="15480" w:orient="portrait"/>
          <w:cols w:equalWidth="0" w:num="1">
            <w:col w:w="10047"/>
          </w:cols>
          <w:pgMar w:left="913" w:top="655"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047"/>
          </w:cols>
          <w:pgMar w:left="913" w:top="655" w:right="920" w:bottom="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48" w:lineRule="exact"/>
        <w:rPr>
          <w:sz w:val="20"/>
          <w:szCs w:val="20"/>
          <w:color w:val="auto"/>
        </w:rPr>
      </w:pPr>
    </w:p>
    <w:p>
      <w:pPr>
        <w:ind w:right="300" w:firstLine="706"/>
        <w:spacing w:after="0" w:line="278" w:lineRule="auto"/>
        <w:rPr>
          <w:sz w:val="20"/>
          <w:szCs w:val="20"/>
          <w:color w:val="auto"/>
        </w:rPr>
      </w:pPr>
      <w:r>
        <w:rPr>
          <w:rFonts w:ascii="Arial" w:cs="Arial" w:eastAsia="Arial" w:hAnsi="Arial"/>
          <w:sz w:val="19"/>
          <w:szCs w:val="19"/>
          <w:color w:val="auto"/>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Borrowings and Repayments Under Credit Arrangements</w:t>
      </w: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During the year ended December 31, 2024, PAA had net repayments under its commercial paper program of</w:t>
      </w:r>
    </w:p>
    <w:p>
      <w:pPr>
        <w:spacing w:after="0" w:line="25"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$40 million. The net repayments resulted primarily from cash flow from operating activities and proceeds from the issuance of $650 million, 5.70% senior notes in June 2024, which offset borrowings during the year related to funding needs for capital investments, inventory purchases, repayment of $750 million, 3.60% senior notes due November 2024 and other general partnership purposes.</w:t>
      </w:r>
    </w:p>
    <w:p>
      <w:pPr>
        <w:spacing w:after="0" w:line="210" w:lineRule="exact"/>
        <w:rPr>
          <w:sz w:val="20"/>
          <w:szCs w:val="20"/>
          <w:color w:val="auto"/>
        </w:rPr>
      </w:pPr>
    </w:p>
    <w:p>
      <w:pPr>
        <w:ind w:right="340" w:firstLine="706"/>
        <w:spacing w:after="0" w:line="258" w:lineRule="auto"/>
        <w:rPr>
          <w:sz w:val="20"/>
          <w:szCs w:val="20"/>
          <w:color w:val="auto"/>
        </w:rPr>
      </w:pPr>
      <w:r>
        <w:rPr>
          <w:rFonts w:ascii="Arial" w:cs="Arial" w:eastAsia="Arial" w:hAnsi="Arial"/>
          <w:sz w:val="20"/>
          <w:szCs w:val="20"/>
          <w:color w:val="auto"/>
        </w:rPr>
        <w:t>During the year ended December 31, 2023, PAA had net borrowings under the PAA commercial paper program of $433 million. The net borrowings resulted primarily from borrowings during the year related to funding needs for capital investments, inventory purchases and other general partnership purposes.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Senior Notes</w:t>
      </w:r>
    </w:p>
    <w:p>
      <w:pPr>
        <w:spacing w:after="0" w:line="246" w:lineRule="exact"/>
        <w:rPr>
          <w:sz w:val="20"/>
          <w:szCs w:val="20"/>
          <w:color w:val="auto"/>
        </w:rPr>
      </w:pPr>
    </w:p>
    <w:p>
      <w:pPr>
        <w:ind w:right="80" w:firstLine="706"/>
        <w:spacing w:after="0" w:line="273" w:lineRule="auto"/>
        <w:rPr>
          <w:sz w:val="20"/>
          <w:szCs w:val="20"/>
          <w:color w:val="auto"/>
        </w:rPr>
      </w:pPr>
      <w:r>
        <w:rPr>
          <w:rFonts w:ascii="Arial" w:cs="Arial" w:eastAsia="Arial" w:hAnsi="Arial"/>
          <w:sz w:val="20"/>
          <w:szCs w:val="20"/>
          <w:b w:val="1"/>
          <w:bCs w:val="1"/>
          <w:i w:val="1"/>
          <w:iCs w:val="1"/>
          <w:color w:val="auto"/>
        </w:rPr>
        <w:t xml:space="preserve">Issuances of PAA Senior Notes. </w:t>
      </w:r>
      <w:r>
        <w:rPr>
          <w:rFonts w:ascii="Arial" w:cs="Arial" w:eastAsia="Arial" w:hAnsi="Arial"/>
          <w:sz w:val="20"/>
          <w:szCs w:val="20"/>
          <w:color w:val="auto"/>
        </w:rPr>
        <w:t>PAA did not issue any senior unsecured notes during 2023. During 2024, PAA issued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senior unsecured notes as summarized in the table below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21"/>
                <w:szCs w:val="21"/>
                <w:color w:val="auto"/>
              </w:rPr>
            </w:pPr>
          </w:p>
        </w:tc>
        <w:tc>
          <w:tcPr>
            <w:tcW w:w="4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Description</w:t>
            </w:r>
          </w:p>
        </w:tc>
        <w:tc>
          <w:tcPr>
            <w:tcW w:w="8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w:t>
            </w:r>
          </w:p>
        </w:tc>
        <w:tc>
          <w:tcPr>
            <w:tcW w:w="80" w:type="dxa"/>
            <w:vAlign w:val="bottom"/>
          </w:tcPr>
          <w:p>
            <w:pPr>
              <w:spacing w:after="0"/>
              <w:rPr>
                <w:sz w:val="21"/>
                <w:szCs w:val="21"/>
                <w:color w:val="auto"/>
              </w:rPr>
            </w:pPr>
          </w:p>
        </w:tc>
        <w:tc>
          <w:tcPr>
            <w:tcW w:w="94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w w:val="98"/>
              </w:rPr>
              <w:t>Face Value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6"/>
                <w:szCs w:val="16"/>
                <w:b w:val="1"/>
                <w:bCs w:val="1"/>
                <w:color w:val="auto"/>
                <w:w w:val="90"/>
              </w:rPr>
              <w:t>Gross</w:t>
            </w:r>
          </w:p>
        </w:tc>
        <w:tc>
          <w:tcPr>
            <w:tcW w:w="180" w:type="dxa"/>
            <w:vAlign w:val="bottom"/>
          </w:tcPr>
          <w:p>
            <w:pPr>
              <w:jc w:val="right"/>
              <w:ind w:right="9"/>
              <w:spacing w:after="0"/>
              <w:rPr>
                <w:sz w:val="20"/>
                <w:szCs w:val="20"/>
                <w:color w:val="auto"/>
              </w:rPr>
            </w:pPr>
            <w:r>
              <w:rPr>
                <w:rFonts w:ascii="Arial" w:cs="Arial" w:eastAsia="Arial" w:hAnsi="Arial"/>
                <w:sz w:val="10"/>
                <w:szCs w:val="10"/>
                <w:b w:val="1"/>
                <w:bCs w:val="1"/>
                <w:color w:val="auto"/>
                <w:w w:val="81"/>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Net</w:t>
            </w:r>
          </w:p>
        </w:tc>
        <w:tc>
          <w:tcPr>
            <w:tcW w:w="200" w:type="dxa"/>
            <w:vAlign w:val="bottom"/>
          </w:tcPr>
          <w:p>
            <w:pPr>
              <w:jc w:val="right"/>
              <w:ind w:right="29"/>
              <w:spacing w:after="0"/>
              <w:rPr>
                <w:sz w:val="20"/>
                <w:szCs w:val="20"/>
                <w:color w:val="auto"/>
              </w:rPr>
            </w:pPr>
            <w:r>
              <w:rPr>
                <w:rFonts w:ascii="Arial" w:cs="Arial" w:eastAsia="Arial" w:hAnsi="Arial"/>
                <w:sz w:val="10"/>
                <w:szCs w:val="10"/>
                <w:b w:val="1"/>
                <w:bCs w:val="1"/>
                <w:color w:val="auto"/>
                <w:w w:val="81"/>
              </w:rPr>
              <w:t>(2)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7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44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bottom w:val="single" w:sz="8" w:color="auto"/>
            </w:tcBorders>
            <w:gridSpan w:val="2"/>
          </w:tcPr>
          <w:p>
            <w:pPr>
              <w:ind w:left="80"/>
              <w:spacing w:after="0" w:line="123" w:lineRule="exact"/>
              <w:rPr>
                <w:sz w:val="20"/>
                <w:szCs w:val="20"/>
                <w:color w:val="auto"/>
              </w:rPr>
            </w:pPr>
            <w:r>
              <w:rPr>
                <w:rFonts w:ascii="Arial" w:cs="Arial" w:eastAsia="Arial" w:hAnsi="Arial"/>
                <w:sz w:val="13"/>
                <w:szCs w:val="13"/>
                <w:b w:val="1"/>
                <w:bCs w:val="1"/>
                <w:color w:val="auto"/>
                <w:w w:val="99"/>
              </w:rPr>
              <w:t>Proceeds</w:t>
            </w:r>
          </w:p>
        </w:tc>
        <w:tc>
          <w:tcPr>
            <w:tcW w:w="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bottom w:val="single" w:sz="8" w:color="auto"/>
            </w:tcBorders>
            <w:gridSpan w:val="2"/>
          </w:tcPr>
          <w:p>
            <w:pPr>
              <w:ind w:left="80"/>
              <w:spacing w:after="0" w:line="123" w:lineRule="exact"/>
              <w:rPr>
                <w:sz w:val="20"/>
                <w:szCs w:val="20"/>
                <w:color w:val="auto"/>
              </w:rPr>
            </w:pPr>
            <w:r>
              <w:rPr>
                <w:rFonts w:ascii="Arial" w:cs="Arial" w:eastAsia="Arial" w:hAnsi="Arial"/>
                <w:sz w:val="13"/>
                <w:szCs w:val="13"/>
                <w:b w:val="1"/>
                <w:bCs w:val="1"/>
                <w:color w:val="auto"/>
                <w:w w:val="99"/>
              </w:rPr>
              <w:t>Proceeds</w:t>
            </w:r>
          </w:p>
        </w:tc>
        <w:tc>
          <w:tcPr>
            <w:tcW w:w="200" w:type="dxa"/>
            <w:vAlign w:val="bottom"/>
            <w:tcBorders>
              <w:bottom w:val="single" w:sz="8" w:color="auto"/>
            </w:tcBorders>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0"/>
        </w:trPr>
        <w:tc>
          <w:tcPr>
            <w:tcW w:w="760" w:type="dxa"/>
            <w:vAlign w:val="bottom"/>
          </w:tcPr>
          <w:p>
            <w:pPr>
              <w:ind w:left="40"/>
              <w:spacing w:after="0"/>
              <w:rPr>
                <w:sz w:val="20"/>
                <w:szCs w:val="20"/>
                <w:color w:val="auto"/>
              </w:rPr>
            </w:pPr>
            <w:r>
              <w:rPr>
                <w:rFonts w:ascii="Arial" w:cs="Arial" w:eastAsia="Arial" w:hAnsi="Arial"/>
                <w:sz w:val="20"/>
                <w:szCs w:val="20"/>
                <w:color w:val="auto"/>
              </w:rPr>
              <w:t>2024</w:t>
            </w:r>
          </w:p>
        </w:tc>
        <w:tc>
          <w:tcPr>
            <w:tcW w:w="8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8"/>
              </w:rPr>
              <w:t>5.70% PAA Senior Notes issued at 99.953% of face value</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86"/>
              </w:rPr>
              <w:t>September 2034</w:t>
            </w:r>
          </w:p>
        </w:tc>
        <w:tc>
          <w:tcPr>
            <w:tcW w:w="44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650</w:t>
            </w:r>
          </w:p>
        </w:tc>
        <w:tc>
          <w:tcPr>
            <w:tcW w:w="80" w:type="dxa"/>
            <w:vAlign w:val="bottom"/>
          </w:tcPr>
          <w:p>
            <w:pPr>
              <w:spacing w:after="0"/>
              <w:rPr>
                <w:sz w:val="20"/>
                <w:szCs w:val="20"/>
                <w:color w:val="auto"/>
              </w:rPr>
            </w:pPr>
          </w:p>
        </w:tc>
        <w:tc>
          <w:tcPr>
            <w:tcW w:w="200" w:type="dxa"/>
            <w:vAlign w:val="bottom"/>
          </w:tcPr>
          <w:p>
            <w:pPr>
              <w:ind w:left="60"/>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29"/>
              <w:spacing w:after="0"/>
              <w:rPr>
                <w:sz w:val="20"/>
                <w:szCs w:val="20"/>
                <w:color w:val="auto"/>
              </w:rPr>
            </w:pPr>
            <w:r>
              <w:rPr>
                <w:rFonts w:ascii="Arial" w:cs="Arial" w:eastAsia="Arial" w:hAnsi="Arial"/>
                <w:sz w:val="20"/>
                <w:szCs w:val="20"/>
                <w:color w:val="auto"/>
              </w:rPr>
              <w:t>650</w:t>
            </w:r>
          </w:p>
        </w:tc>
        <w:tc>
          <w:tcPr>
            <w:tcW w:w="8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640" w:type="dxa"/>
            <w:vAlign w:val="bottom"/>
            <w:tcBorders>
              <w:right w:val="single" w:sz="8" w:color="E6E6E6"/>
            </w:tcBorders>
            <w:gridSpan w:val="2"/>
          </w:tcPr>
          <w:p>
            <w:pPr>
              <w:jc w:val="right"/>
              <w:ind w:right="49"/>
              <w:spacing w:after="0"/>
              <w:rPr>
                <w:sz w:val="20"/>
                <w:szCs w:val="20"/>
                <w:color w:val="auto"/>
              </w:rPr>
            </w:pPr>
            <w:r>
              <w:rPr>
                <w:rFonts w:ascii="Arial" w:cs="Arial" w:eastAsia="Arial" w:hAnsi="Arial"/>
                <w:sz w:val="20"/>
                <w:szCs w:val="20"/>
                <w:color w:val="auto"/>
              </w:rPr>
              <w:t>643</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-170815</wp:posOffset>
            </wp:positionV>
            <wp:extent cx="6410325" cy="1841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extLst>
                        <a:ext uri="{28A0092B-C50C-407E-A947-70E740481C1C}"/>
                      </a:extLst>
                    </a:blip>
                    <a:srcRect/>
                    <a:stretch>
                      <a:fillRect/>
                    </a:stretch>
                  </pic:blipFill>
                  <pic:spPr bwMode="auto">
                    <a:xfrm>
                      <a:off x="0" y="0"/>
                      <a:ext cx="6410325" cy="1841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257810</wp:posOffset>
                </wp:positionV>
                <wp:extent cx="220218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0.3pt" to="173.05pt,20.3pt" o:allowincell="f" strokecolor="#000000" strokeweight="1pt"/>
            </w:pict>
          </mc:Fallback>
        </mc:AlternateConten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360" w:right="780"/>
        <w:spacing w:after="0" w:line="271" w:lineRule="auto"/>
        <w:rPr>
          <w:sz w:val="20"/>
          <w:szCs w:val="20"/>
          <w:color w:val="auto"/>
        </w:rPr>
      </w:pPr>
      <w:r>
        <w:rPr>
          <w:rFonts w:ascii="Arial" w:cs="Arial" w:eastAsia="Arial" w:hAnsi="Arial"/>
          <w:sz w:val="20"/>
          <w:szCs w:val="20"/>
          <w:color w:val="auto"/>
        </w:rPr>
        <w:t>Face value of notes less the applicable premium or discount (before deducting for initial purchaser discounts, commissions and offering expenses).</w:t>
      </w:r>
    </w:p>
    <w:p>
      <w:pPr>
        <w:spacing w:after="0" w:line="69" w:lineRule="exact"/>
        <w:rPr>
          <w:sz w:val="20"/>
          <w:szCs w:val="20"/>
          <w:color w:val="auto"/>
        </w:rPr>
      </w:pPr>
    </w:p>
    <w:p>
      <w:pPr>
        <w:ind w:left="360" w:right="360"/>
        <w:spacing w:after="0" w:line="271" w:lineRule="auto"/>
        <w:rPr>
          <w:sz w:val="20"/>
          <w:szCs w:val="20"/>
          <w:color w:val="auto"/>
        </w:rPr>
      </w:pPr>
      <w:r>
        <w:rPr>
          <w:rFonts w:ascii="Arial" w:cs="Arial" w:eastAsia="Arial" w:hAnsi="Arial"/>
          <w:sz w:val="20"/>
          <w:szCs w:val="20"/>
          <w:color w:val="auto"/>
        </w:rPr>
        <w:t>Face value of notes less the applicable premium or discount, initial purchaser discounts, commissions and offering expenses.</w:t>
      </w:r>
    </w:p>
    <w:p>
      <w:pPr>
        <w:spacing w:after="0" w:line="69" w:lineRule="exact"/>
        <w:rPr>
          <w:sz w:val="20"/>
          <w:szCs w:val="20"/>
          <w:color w:val="auto"/>
        </w:rPr>
      </w:pPr>
    </w:p>
    <w:p>
      <w:pPr>
        <w:ind w:left="360"/>
        <w:spacing w:after="0" w:line="254" w:lineRule="auto"/>
        <w:rPr>
          <w:sz w:val="20"/>
          <w:szCs w:val="20"/>
          <w:color w:val="auto"/>
        </w:rPr>
      </w:pPr>
      <w:r>
        <w:rPr>
          <w:rFonts w:ascii="Arial" w:cs="Arial" w:eastAsia="Arial" w:hAnsi="Arial"/>
          <w:sz w:val="20"/>
          <w:szCs w:val="20"/>
          <w:color w:val="auto"/>
        </w:rPr>
        <w:t>PAA used the net proceeds from the offering, along with other cash on hand, to repay on November 1, 2024 the principal amount of its $750 million, 3.60% senior notes due November 2024. Prior to such repayment, PAA used a portion of the net proceeds from the offering to repay outstanding borrowings under its commercial paper program and for general partnership purposes.</w:t>
      </w:r>
    </w:p>
    <w:p>
      <w:pPr>
        <w:spacing w:after="0" w:line="202" w:lineRule="exact"/>
        <w:rPr>
          <w:sz w:val="20"/>
          <w:szCs w:val="20"/>
          <w:color w:val="auto"/>
        </w:rPr>
      </w:pPr>
    </w:p>
    <w:p>
      <w:pPr>
        <w:ind w:right="140" w:firstLine="706"/>
        <w:spacing w:after="0" w:line="293" w:lineRule="auto"/>
        <w:rPr>
          <w:sz w:val="20"/>
          <w:szCs w:val="20"/>
          <w:color w:val="auto"/>
        </w:rPr>
      </w:pPr>
      <w:r>
        <w:rPr>
          <w:rFonts w:ascii="Arial" w:cs="Arial" w:eastAsia="Arial" w:hAnsi="Arial"/>
          <w:sz w:val="17"/>
          <w:szCs w:val="17"/>
          <w:color w:val="auto"/>
        </w:rPr>
        <w:t>In January 2025, PAA also completed the offering of $1 billion, 5.95% senior notes due June 2035 at a public offering price of 99.761%. Interest payments are due on June 15 and December 15 of each year, commencing on June 15, 2025. PAA used the net proceeds from this offering of approximately $988 million, after deducting the underwriting discount and offering expenses, to (i) fund the acquisitions completed during the first quarter of 2025, (ii) fund the repurchase in January 2025 of 12.7 million PAA Series A preferred units, including accrued and unpaid distributions and</w:t>
      </w:r>
    </w:p>
    <w:p>
      <w:pPr>
        <w:spacing w:after="0" w:line="2" w:lineRule="exact"/>
        <w:rPr>
          <w:sz w:val="20"/>
          <w:szCs w:val="20"/>
          <w:color w:val="auto"/>
        </w:rPr>
      </w:pPr>
    </w:p>
    <w:p>
      <w:pPr>
        <w:ind w:right="100" w:firstLine="5"/>
        <w:spacing w:after="0" w:line="313" w:lineRule="auto"/>
        <w:tabs>
          <w:tab w:leader="none" w:pos="342"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repay outstanding borrowings under its credit facilities and commercial paper program, and, pending such uses, for general partnership purposes. See Note 7 and Note 11 to our Consolidated Financial Statements for additional information regarding our recently completed acquisitions and PAA’s Series A preferred units, respectively.</w:t>
      </w:r>
    </w:p>
    <w:p>
      <w:pPr>
        <w:spacing w:after="0" w:line="200" w:lineRule="exact"/>
        <w:rPr>
          <w:sz w:val="20"/>
          <w:szCs w:val="20"/>
          <w:color w:val="auto"/>
        </w:rPr>
      </w:pPr>
    </w:p>
    <w:p>
      <w:pPr>
        <w:sectPr>
          <w:pgSz w:w="11880" w:h="15480" w:orient="portrait"/>
          <w:cols w:equalWidth="0" w:num="2">
            <w:col w:w="140" w:space="200"/>
            <w:col w:w="9680"/>
          </w:cols>
          <w:pgMar w:left="920" w:top="575"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020"/>
          </w:cols>
          <w:pgMar w:left="920" w:top="575" w:right="940" w:bottom="0" w:gutter="0" w:footer="0" w:header="0"/>
          <w:type w:val="continuous"/>
        </w:sectPr>
      </w:pPr>
    </w:p>
    <w:bookmarkStart w:id="86" w:name="page87"/>
    <w:bookmarkEnd w:id="86"/>
    <w:p>
      <w:pPr>
        <w:ind w:left="700" w:firstLine="706"/>
        <w:spacing w:after="0" w:line="273" w:lineRule="auto"/>
        <w:rPr>
          <w:sz w:val="20"/>
          <w:szCs w:val="20"/>
          <w:color w:val="auto"/>
        </w:rPr>
      </w:pPr>
      <w:r>
        <w:rPr>
          <w:rFonts w:ascii="Arial" w:cs="Arial" w:eastAsia="Arial" w:hAnsi="Arial"/>
          <w:sz w:val="20"/>
          <w:szCs w:val="20"/>
          <w:b w:val="1"/>
          <w:bCs w:val="1"/>
          <w:i w:val="1"/>
          <w:iCs w:val="1"/>
          <w:color w:val="auto"/>
        </w:rPr>
        <w:t xml:space="preserve">Repayments of PAA Senior Notes. </w:t>
      </w:r>
      <w:r>
        <w:rPr>
          <w:rFonts w:ascii="Arial" w:cs="Arial" w:eastAsia="Arial" w:hAnsi="Arial"/>
          <w:sz w:val="20"/>
          <w:szCs w:val="20"/>
          <w:color w:val="auto"/>
        </w:rPr>
        <w:t>During 2024 and 2023, PAA repaid the following senior unsecured notes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full (in millions):</w:t>
      </w:r>
    </w:p>
    <w:p>
      <w:pPr>
        <w:spacing w:after="0" w:line="272" w:lineRule="exact"/>
        <w:rPr>
          <w:sz w:val="20"/>
          <w:szCs w:val="20"/>
          <w:color w:val="auto"/>
        </w:rPr>
      </w:pPr>
    </w:p>
    <w:p>
      <w:pPr>
        <w:ind w:left="860"/>
        <w:spacing w:after="0"/>
        <w:tabs>
          <w:tab w:leader="none" w:pos="4160" w:val="left"/>
          <w:tab w:leader="none" w:pos="7720" w:val="left"/>
        </w:tabs>
        <w:rPr>
          <w:sz w:val="20"/>
          <w:szCs w:val="20"/>
          <w:color w:val="auto"/>
        </w:rPr>
      </w:pP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3"/>
          <w:szCs w:val="13"/>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12065</wp:posOffset>
            </wp:positionV>
            <wp:extent cx="6391275" cy="958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extLst>
                    </a:blip>
                    <a:srcRect/>
                    <a:stretch>
                      <a:fillRect/>
                    </a:stretch>
                  </pic:blipFill>
                  <pic:spPr bwMode="auto">
                    <a:xfrm>
                      <a:off x="0" y="0"/>
                      <a:ext cx="6391275" cy="958850"/>
                    </a:xfrm>
                    <a:prstGeom prst="rect">
                      <a:avLst/>
                    </a:prstGeom>
                    <a:noFill/>
                  </pic:spPr>
                </pic:pic>
              </a:graphicData>
            </a:graphic>
          </wp:anchor>
        </w:drawing>
      </w:r>
    </w:p>
    <w:p>
      <w:pPr>
        <w:sectPr>
          <w:pgSz w:w="11880" w:h="15480" w:orient="portrait"/>
          <w:cols w:equalWidth="0" w:num="1">
            <w:col w:w="10040"/>
          </w:cols>
          <w:pgMar w:left="920" w:top="580" w:right="920" w:bottom="0" w:gutter="0" w:footer="0" w:header="0"/>
        </w:sectPr>
      </w:pPr>
    </w:p>
    <w:p>
      <w:pPr>
        <w:spacing w:after="0" w:line="65" w:lineRule="exact"/>
        <w:rPr>
          <w:sz w:val="20"/>
          <w:szCs w:val="20"/>
          <w:color w:val="auto"/>
        </w:rPr>
      </w:pPr>
    </w:p>
    <w:tbl>
      <w:tblPr>
        <w:tblLayout w:type="fixed"/>
        <w:tblInd w:w="840" w:type="dxa"/>
        <w:tblCellMar>
          <w:top w:w="0" w:type="dxa"/>
          <w:left w:w="0" w:type="dxa"/>
          <w:bottom w:w="0" w:type="dxa"/>
          <w:right w:w="0" w:type="dxa"/>
        </w:tblCellMar>
      </w:tblPr>
      <w:tr>
        <w:trPr>
          <w:trHeight w:val="255"/>
        </w:trPr>
        <w:tc>
          <w:tcPr>
            <w:tcW w:w="880" w:type="dxa"/>
            <w:vAlign w:val="bottom"/>
          </w:tcPr>
          <w:p>
            <w:pPr>
              <w:jc w:val="right"/>
              <w:ind w:right="402"/>
              <w:spacing w:after="0"/>
              <w:rPr>
                <w:sz w:val="20"/>
                <w:szCs w:val="20"/>
                <w:color w:val="auto"/>
              </w:rPr>
            </w:pPr>
            <w:r>
              <w:rPr>
                <w:rFonts w:ascii="Arial" w:cs="Arial" w:eastAsia="Arial" w:hAnsi="Arial"/>
                <w:sz w:val="20"/>
                <w:szCs w:val="20"/>
                <w:color w:val="auto"/>
                <w:w w:val="80"/>
              </w:rPr>
              <w:t>2024</w:t>
            </w:r>
          </w:p>
        </w:tc>
        <w:tc>
          <w:tcPr>
            <w:tcW w:w="5580" w:type="dxa"/>
            <w:vAlign w:val="bottom"/>
          </w:tcPr>
          <w:p>
            <w:pPr>
              <w:jc w:val="center"/>
              <w:ind w:left="42"/>
              <w:spacing w:after="0"/>
              <w:rPr>
                <w:sz w:val="20"/>
                <w:szCs w:val="20"/>
                <w:color w:val="auto"/>
              </w:rPr>
            </w:pPr>
            <w:r>
              <w:rPr>
                <w:rFonts w:ascii="Arial" w:cs="Arial" w:eastAsia="Arial" w:hAnsi="Arial"/>
                <w:sz w:val="20"/>
                <w:szCs w:val="20"/>
                <w:color w:val="auto"/>
                <w:w w:val="90"/>
              </w:rPr>
              <w:t>$750 million 3.60% PAA Senior Notes due November 2024</w:t>
            </w:r>
          </w:p>
        </w:tc>
        <w:tc>
          <w:tcPr>
            <w:tcW w:w="1620" w:type="dxa"/>
            <w:vAlign w:val="bottom"/>
          </w:tcPr>
          <w:p>
            <w:pPr>
              <w:jc w:val="center"/>
              <w:ind w:left="262"/>
              <w:spacing w:after="0"/>
              <w:rPr>
                <w:sz w:val="20"/>
                <w:szCs w:val="20"/>
                <w:color w:val="auto"/>
              </w:rPr>
            </w:pPr>
            <w:r>
              <w:rPr>
                <w:rFonts w:ascii="Arial" w:cs="Arial" w:eastAsia="Arial" w:hAnsi="Arial"/>
                <w:sz w:val="20"/>
                <w:szCs w:val="20"/>
                <w:color w:val="auto"/>
                <w:w w:val="88"/>
              </w:rPr>
              <w:t>November 2024</w:t>
            </w:r>
          </w:p>
        </w:tc>
      </w:tr>
      <w:tr>
        <w:trPr>
          <w:trHeight w:val="588"/>
        </w:trPr>
        <w:tc>
          <w:tcPr>
            <w:tcW w:w="880" w:type="dxa"/>
            <w:vAlign w:val="bottom"/>
          </w:tcPr>
          <w:p>
            <w:pPr>
              <w:jc w:val="right"/>
              <w:ind w:right="402"/>
              <w:spacing w:after="0"/>
              <w:rPr>
                <w:sz w:val="20"/>
                <w:szCs w:val="20"/>
                <w:color w:val="auto"/>
              </w:rPr>
            </w:pPr>
            <w:r>
              <w:rPr>
                <w:rFonts w:ascii="Arial" w:cs="Arial" w:eastAsia="Arial" w:hAnsi="Arial"/>
                <w:sz w:val="20"/>
                <w:szCs w:val="20"/>
                <w:color w:val="auto"/>
                <w:w w:val="80"/>
              </w:rPr>
              <w:t>2023</w:t>
            </w:r>
          </w:p>
        </w:tc>
        <w:tc>
          <w:tcPr>
            <w:tcW w:w="5580" w:type="dxa"/>
            <w:vAlign w:val="bottom"/>
          </w:tcPr>
          <w:p>
            <w:pPr>
              <w:jc w:val="center"/>
              <w:ind w:left="42"/>
              <w:spacing w:after="0"/>
              <w:rPr>
                <w:sz w:val="20"/>
                <w:szCs w:val="20"/>
                <w:color w:val="auto"/>
              </w:rPr>
            </w:pPr>
            <w:r>
              <w:rPr>
                <w:rFonts w:ascii="Arial" w:cs="Arial" w:eastAsia="Arial" w:hAnsi="Arial"/>
                <w:sz w:val="20"/>
                <w:szCs w:val="20"/>
                <w:color w:val="auto"/>
                <w:w w:val="90"/>
              </w:rPr>
              <w:t>$700 million 3.85% PAA Senior Notes due October 2023</w:t>
            </w:r>
          </w:p>
        </w:tc>
        <w:tc>
          <w:tcPr>
            <w:tcW w:w="1620" w:type="dxa"/>
            <w:vAlign w:val="bottom"/>
          </w:tcPr>
          <w:p>
            <w:pPr>
              <w:jc w:val="center"/>
              <w:ind w:left="262"/>
              <w:spacing w:after="0"/>
              <w:rPr>
                <w:sz w:val="20"/>
                <w:szCs w:val="20"/>
                <w:color w:val="auto"/>
              </w:rPr>
            </w:pPr>
            <w:r>
              <w:rPr>
                <w:rFonts w:ascii="Arial" w:cs="Arial" w:eastAsia="Arial" w:hAnsi="Arial"/>
                <w:sz w:val="20"/>
                <w:szCs w:val="20"/>
                <w:color w:val="auto"/>
                <w:w w:val="87"/>
              </w:rPr>
              <w:t>October 2023</w:t>
            </w:r>
          </w:p>
        </w:tc>
      </w:tr>
      <w:tr>
        <w:trPr>
          <w:trHeight w:val="588"/>
        </w:trPr>
        <w:tc>
          <w:tcPr>
            <w:tcW w:w="880" w:type="dxa"/>
            <w:vAlign w:val="bottom"/>
          </w:tcPr>
          <w:p>
            <w:pPr>
              <w:jc w:val="right"/>
              <w:ind w:right="402"/>
              <w:spacing w:after="0"/>
              <w:rPr>
                <w:sz w:val="20"/>
                <w:szCs w:val="20"/>
                <w:color w:val="auto"/>
              </w:rPr>
            </w:pPr>
            <w:r>
              <w:rPr>
                <w:rFonts w:ascii="Arial" w:cs="Arial" w:eastAsia="Arial" w:hAnsi="Arial"/>
                <w:sz w:val="20"/>
                <w:szCs w:val="20"/>
                <w:color w:val="auto"/>
                <w:w w:val="80"/>
              </w:rPr>
              <w:t>2023</w:t>
            </w:r>
          </w:p>
        </w:tc>
        <w:tc>
          <w:tcPr>
            <w:tcW w:w="5580" w:type="dxa"/>
            <w:vAlign w:val="bottom"/>
          </w:tcPr>
          <w:p>
            <w:pPr>
              <w:jc w:val="center"/>
              <w:ind w:left="22"/>
              <w:spacing w:after="0"/>
              <w:rPr>
                <w:sz w:val="20"/>
                <w:szCs w:val="20"/>
                <w:color w:val="auto"/>
              </w:rPr>
            </w:pPr>
            <w:r>
              <w:rPr>
                <w:rFonts w:ascii="Arial" w:cs="Arial" w:eastAsia="Arial" w:hAnsi="Arial"/>
                <w:sz w:val="20"/>
                <w:szCs w:val="20"/>
                <w:color w:val="auto"/>
                <w:w w:val="89"/>
              </w:rPr>
              <w:t>$400 million 2.85% PAA Senior Notes due January 2023</w:t>
            </w:r>
          </w:p>
        </w:tc>
        <w:tc>
          <w:tcPr>
            <w:tcW w:w="1620" w:type="dxa"/>
            <w:vAlign w:val="bottom"/>
          </w:tcPr>
          <w:p>
            <w:pPr>
              <w:jc w:val="center"/>
              <w:ind w:left="262"/>
              <w:spacing w:after="0"/>
              <w:rPr>
                <w:sz w:val="20"/>
                <w:szCs w:val="20"/>
                <w:color w:val="auto"/>
              </w:rPr>
            </w:pPr>
            <w:r>
              <w:rPr>
                <w:rFonts w:ascii="Arial" w:cs="Arial" w:eastAsia="Arial" w:hAnsi="Arial"/>
                <w:sz w:val="20"/>
                <w:szCs w:val="20"/>
                <w:color w:val="auto"/>
                <w:w w:val="87"/>
              </w:rPr>
              <w:t>January 2023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117475</wp:posOffset>
                </wp:positionV>
                <wp:extent cx="220218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9.25pt" to="173.05pt,9.2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46" w:lineRule="exact"/>
        <w:rPr>
          <w:sz w:val="20"/>
          <w:szCs w:val="20"/>
          <w:color w:val="auto"/>
        </w:rPr>
      </w:pPr>
    </w:p>
    <w:p>
      <w:pPr>
        <w:sectPr>
          <w:pgSz w:w="11880" w:h="15480" w:orient="portrait"/>
          <w:cols w:equalWidth="0" w:num="2">
            <w:col w:w="8920" w:space="700"/>
            <w:col w:w="420"/>
          </w:cols>
          <w:pgMar w:left="920" w:top="580" w:right="920"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520"/>
        <w:spacing w:after="0" w:line="271" w:lineRule="auto"/>
        <w:rPr>
          <w:sz w:val="20"/>
          <w:szCs w:val="20"/>
          <w:color w:val="auto"/>
        </w:rPr>
      </w:pPr>
      <w:r>
        <w:rPr>
          <w:rFonts w:ascii="Arial" w:cs="Arial" w:eastAsia="Arial" w:hAnsi="Arial"/>
          <w:sz w:val="20"/>
          <w:szCs w:val="20"/>
          <w:color w:val="auto"/>
        </w:rPr>
        <w:t>PAA repaid these senior notes with proceeds from its 5.70% senior notes issued in June 2024, cash on hand. and borrowings under its commercial paper program.</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PAA repaid these senior notes with cash on hand and borrowings under its commercial paper program.</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Statements</w:t>
      </w:r>
    </w:p>
    <w:p>
      <w:pPr>
        <w:spacing w:after="0" w:line="200" w:lineRule="exact"/>
        <w:rPr>
          <w:sz w:val="20"/>
          <w:szCs w:val="20"/>
          <w:color w:val="auto"/>
        </w:rPr>
      </w:pPr>
    </w:p>
    <w:p>
      <w:pPr>
        <w:sectPr>
          <w:pgSz w:w="11880" w:h="15480" w:orient="portrait"/>
          <w:cols w:equalWidth="0" w:num="2">
            <w:col w:w="140" w:space="560"/>
            <w:col w:w="9340"/>
          </w:cols>
          <w:pgMar w:left="920" w:top="580" w:right="920" w:bottom="0" w:gutter="0" w:footer="0" w:header="0"/>
          <w:type w:val="continuous"/>
        </w:sectPr>
      </w:pPr>
    </w:p>
    <w:p>
      <w:pPr>
        <w:spacing w:after="0" w:line="46" w:lineRule="exact"/>
        <w:rPr>
          <w:sz w:val="20"/>
          <w:szCs w:val="20"/>
          <w:color w:val="auto"/>
        </w:rPr>
      </w:pPr>
    </w:p>
    <w:p>
      <w:pPr>
        <w:ind w:right="20" w:firstLine="706"/>
        <w:spacing w:after="0" w:line="307" w:lineRule="auto"/>
        <w:rPr>
          <w:sz w:val="20"/>
          <w:szCs w:val="20"/>
          <w:color w:val="auto"/>
        </w:rPr>
      </w:pPr>
      <w:r>
        <w:rPr>
          <w:rFonts w:ascii="Arial" w:cs="Arial" w:eastAsia="Arial" w:hAnsi="Arial"/>
          <w:sz w:val="17"/>
          <w:szCs w:val="17"/>
          <w:b w:val="1"/>
          <w:bCs w:val="1"/>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time of use, allows us to issue up to a specified amount of equity securities (“PAGP Traditional Shelf”). At December 31, 2024, we had approximately $939 million of unsold securities available under the PAGP Traditional Shelf. We also have access to a universal shelf registration statement (“PAGP WKSI Shelf”), which provides us with the ability to offer and sell an unlimited amount of equity securities, subject to market conditions and its capital needs.</w:t>
      </w:r>
    </w:p>
    <w:p>
      <w:pPr>
        <w:spacing w:after="0" w:line="161" w:lineRule="exact"/>
        <w:rPr>
          <w:sz w:val="20"/>
          <w:szCs w:val="20"/>
          <w:color w:val="auto"/>
        </w:rPr>
      </w:pPr>
    </w:p>
    <w:p>
      <w:pPr>
        <w:ind w:firstLine="706"/>
        <w:spacing w:after="0" w:line="264" w:lineRule="auto"/>
        <w:rPr>
          <w:sz w:val="20"/>
          <w:szCs w:val="20"/>
          <w:color w:val="auto"/>
        </w:rPr>
      </w:pPr>
      <w:r>
        <w:rPr>
          <w:rFonts w:ascii="Arial" w:cs="Arial" w:eastAsia="Arial" w:hAnsi="Arial"/>
          <w:sz w:val="19"/>
          <w:szCs w:val="19"/>
          <w:b w:val="1"/>
          <w:bCs w:val="1"/>
          <w:i w:val="1"/>
          <w:iCs w:val="1"/>
          <w:color w:val="auto"/>
        </w:rPr>
        <w:t>PAA Registration Statements</w:t>
      </w:r>
      <w:r>
        <w:rPr>
          <w:rFonts w:ascii="Arial" w:cs="Arial" w:eastAsia="Arial" w:hAnsi="Arial"/>
          <w:sz w:val="19"/>
          <w:szCs w:val="19"/>
          <w:color w:val="auto"/>
        </w:rPr>
        <w:t>. PAA periodically accesses the capital markets for both equity and debt financing. PAA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filed with the SEC a universal shelf registration statement that, subject to effectiveness at the time of use, allows PAA to issue up to a specified amount of debt or equity securities (“PAA Traditional Shelf”), under which PAA had approximately $1.1 billion of unsold securities available at December 31, 2024. PAA did not conduct any offering under its Traditional Shelf during the year 2024. PAA also has access to a universal shelf registration statement (“PAA WKSI Shelf”), which provides it with the ability to offer and sell an unlimited amount of debt and equity securities, subject to market conditions and capital needs. The offerings of $650 million, 5.70% senior notes in June 2024 and $1 billion, 5.95% senior notes in January 2025 were conducted under its WKSI Shelf.</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Common Equity Repurchase Program</w:t>
      </w:r>
    </w:p>
    <w:p>
      <w:pPr>
        <w:spacing w:after="0" w:line="244" w:lineRule="exact"/>
        <w:rPr>
          <w:sz w:val="20"/>
          <w:szCs w:val="20"/>
          <w:color w:val="auto"/>
        </w:rPr>
      </w:pPr>
    </w:p>
    <w:p>
      <w:pPr>
        <w:ind w:right="60" w:firstLine="706"/>
        <w:spacing w:after="0" w:line="296" w:lineRule="auto"/>
        <w:rPr>
          <w:sz w:val="20"/>
          <w:szCs w:val="20"/>
          <w:color w:val="auto"/>
        </w:rPr>
      </w:pPr>
      <w:r>
        <w:rPr>
          <w:rFonts w:ascii="Arial" w:cs="Arial" w:eastAsia="Arial" w:hAnsi="Arial"/>
          <w:sz w:val="17"/>
          <w:szCs w:val="17"/>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spacing w:after="0" w:line="176" w:lineRule="exact"/>
        <w:rPr>
          <w:sz w:val="20"/>
          <w:szCs w:val="20"/>
          <w:color w:val="auto"/>
        </w:rPr>
      </w:pPr>
    </w:p>
    <w:p>
      <w:pPr>
        <w:ind w:right="300" w:firstLine="706"/>
        <w:spacing w:after="0" w:line="271" w:lineRule="auto"/>
        <w:rPr>
          <w:sz w:val="20"/>
          <w:szCs w:val="20"/>
          <w:color w:val="auto"/>
        </w:rPr>
      </w:pPr>
      <w:r>
        <w:rPr>
          <w:rFonts w:ascii="Arial" w:cs="Arial" w:eastAsia="Arial" w:hAnsi="Arial"/>
          <w:sz w:val="20"/>
          <w:szCs w:val="20"/>
          <w:color w:val="auto"/>
        </w:rPr>
        <w:t>There were no repurchases under the Program during the years ended December 31, 2024 and 2023. The remaining available capacity under the Program as of December 31, 2024 was $198 million.</w:t>
      </w:r>
    </w:p>
    <w:p>
      <w:pPr>
        <w:sectPr>
          <w:pgSz w:w="11880" w:h="15480" w:orient="portrait"/>
          <w:cols w:equalWidth="0" w:num="1">
            <w:col w:w="10040"/>
          </w:cols>
          <w:pgMar w:left="920" w:top="58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040"/>
          </w:cols>
          <w:pgMar w:left="920" w:top="580" w:right="920" w:bottom="0" w:gutter="0" w:footer="0" w:header="0"/>
          <w:type w:val="continuous"/>
        </w:sectPr>
      </w:pPr>
    </w:p>
    <w:bookmarkStart w:id="87" w:name="page88"/>
    <w:bookmarkEnd w:id="87"/>
    <w:p>
      <w:pPr>
        <w:ind w:left="700"/>
        <w:spacing w:after="0"/>
        <w:rPr>
          <w:sz w:val="20"/>
          <w:szCs w:val="20"/>
          <w:color w:val="auto"/>
        </w:rPr>
      </w:pPr>
      <w:r>
        <w:rPr>
          <w:rFonts w:ascii="Arial" w:cs="Arial" w:eastAsia="Arial" w:hAnsi="Arial"/>
          <w:sz w:val="20"/>
          <w:szCs w:val="20"/>
          <w:b w:val="1"/>
          <w:bCs w:val="1"/>
          <w:color w:val="auto"/>
        </w:rPr>
        <w:t>Preferred Unit Repurchase</w:t>
      </w:r>
    </w:p>
    <w:p>
      <w:pPr>
        <w:spacing w:after="0" w:line="248" w:lineRule="exact"/>
        <w:rPr>
          <w:sz w:val="20"/>
          <w:szCs w:val="20"/>
          <w:color w:val="auto"/>
        </w:rPr>
      </w:pPr>
    </w:p>
    <w:p>
      <w:pPr>
        <w:ind w:right="20" w:firstLine="706"/>
        <w:spacing w:after="0" w:line="251" w:lineRule="auto"/>
        <w:rPr>
          <w:sz w:val="20"/>
          <w:szCs w:val="20"/>
          <w:color w:val="auto"/>
        </w:rPr>
      </w:pPr>
      <w:r>
        <w:rPr>
          <w:rFonts w:ascii="Arial" w:cs="Arial" w:eastAsia="Arial" w:hAnsi="Arial"/>
          <w:sz w:val="20"/>
          <w:szCs w:val="20"/>
          <w:color w:val="auto"/>
        </w:rPr>
        <w:t>On January 31, 2025, PAA repurchased 12.7 million units, or 18%, of its outstanding Series A preferred units at the issue price of $26.25 per unit for a purchase price of approximately $333 million, plus accrued and unpaid distributions through January 30, 2025 of approximately $10 million. PAA used a portion of the net proceeds from its January 2025 senior notes offering to fund this repurchase. See Note 11 to our Consolidated Financial Statements for more information regarding PAA’s Series A preferred units.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Distributions to Our Class A Shareholders</w:t>
      </w:r>
    </w:p>
    <w:p>
      <w:pPr>
        <w:spacing w:after="0" w:line="248" w:lineRule="exact"/>
        <w:rPr>
          <w:sz w:val="20"/>
          <w:szCs w:val="20"/>
          <w:color w:val="auto"/>
        </w:rPr>
      </w:pPr>
    </w:p>
    <w:p>
      <w:pPr>
        <w:ind w:right="40" w:firstLine="706"/>
        <w:spacing w:after="0" w:line="300" w:lineRule="auto"/>
        <w:rPr>
          <w:sz w:val="20"/>
          <w:szCs w:val="20"/>
          <w:color w:val="auto"/>
        </w:rPr>
      </w:pPr>
      <w:r>
        <w:rPr>
          <w:rFonts w:ascii="Arial" w:cs="Arial" w:eastAsia="Arial" w:hAnsi="Arial"/>
          <w:sz w:val="17"/>
          <w:szCs w:val="17"/>
          <w:color w:val="auto"/>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among other things,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for additional discussion regarding distributions.</w:t>
      </w:r>
    </w:p>
    <w:p>
      <w:pPr>
        <w:spacing w:after="0" w:line="171" w:lineRule="exact"/>
        <w:rPr>
          <w:sz w:val="20"/>
          <w:szCs w:val="20"/>
          <w:color w:val="auto"/>
        </w:rPr>
      </w:pPr>
    </w:p>
    <w:p>
      <w:pPr>
        <w:ind w:firstLine="706"/>
        <w:spacing w:after="0" w:line="254" w:lineRule="auto"/>
        <w:rPr>
          <w:sz w:val="20"/>
          <w:szCs w:val="20"/>
          <w:color w:val="auto"/>
        </w:rPr>
      </w:pPr>
      <w:r>
        <w:rPr>
          <w:rFonts w:ascii="Arial" w:cs="Arial" w:eastAsia="Arial" w:hAnsi="Arial"/>
          <w:sz w:val="20"/>
          <w:szCs w:val="20"/>
          <w:color w:val="auto"/>
        </w:rPr>
        <w:t>On February 14, 2025, we paid a quarterly distribution of $0.38 per Class A share ($1.52 per Class A share on an annualized basis). The distribution was paid to Class A shareholders of record as of January 31, 2025, with respect to the quarter ended December 31, 2024. See Note 11 to our Consolidated Financial Statements for details of distributions paid during the three years ended December 31, 2024.</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Distributions to Noncontrolling Interests</w:t>
      </w:r>
    </w:p>
    <w:p>
      <w:pPr>
        <w:spacing w:after="0" w:line="248" w:lineRule="exact"/>
        <w:rPr>
          <w:sz w:val="20"/>
          <w:szCs w:val="20"/>
          <w:color w:val="auto"/>
        </w:rPr>
      </w:pPr>
    </w:p>
    <w:p>
      <w:pPr>
        <w:ind w:right="20" w:firstLine="706"/>
        <w:spacing w:after="0" w:line="303"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December 31,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See Note 11 to our Consolidated Financial Statements for details of distributions paid to noncontrolling interests during the three years ended December 31, 2024.</w:t>
      </w:r>
    </w:p>
    <w:p>
      <w:pPr>
        <w:spacing w:after="0" w:line="164" w:lineRule="exact"/>
        <w:rPr>
          <w:sz w:val="20"/>
          <w:szCs w:val="20"/>
          <w:color w:val="auto"/>
        </w:rPr>
      </w:pPr>
    </w:p>
    <w:p>
      <w:pPr>
        <w:ind w:right="240" w:firstLine="706"/>
        <w:spacing w:after="0" w:line="363" w:lineRule="auto"/>
        <w:rPr>
          <w:sz w:val="20"/>
          <w:szCs w:val="20"/>
          <w:color w:val="auto"/>
        </w:rPr>
      </w:pPr>
      <w:r>
        <w:rPr>
          <w:rFonts w:ascii="Arial" w:cs="Arial" w:eastAsia="Arial" w:hAnsi="Arial"/>
          <w:sz w:val="17"/>
          <w:szCs w:val="17"/>
          <w:b w:val="1"/>
          <w:bCs w:val="1"/>
          <w:i w:val="1"/>
          <w:iCs w:val="1"/>
          <w:color w:val="auto"/>
        </w:rPr>
        <w:t xml:space="preserve">Distributions to PAA’s Series A preferred unitholders. </w:t>
      </w:r>
      <w:r>
        <w:rPr>
          <w:rFonts w:ascii="Arial" w:cs="Arial" w:eastAsia="Arial" w:hAnsi="Arial"/>
          <w:sz w:val="17"/>
          <w:szCs w:val="17"/>
          <w:color w:val="auto"/>
        </w:rPr>
        <w:t>Holders of PAA’s Series A preferred units are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quarterly distributions, subject to customary anti-dilution adjustments, of $0.615 per unit ($2.46 per unit annualized).</w:t>
      </w:r>
    </w:p>
    <w:p>
      <w:pPr>
        <w:spacing w:after="0" w:line="114" w:lineRule="exact"/>
        <w:rPr>
          <w:sz w:val="20"/>
          <w:szCs w:val="20"/>
          <w:color w:val="auto"/>
        </w:rPr>
      </w:pPr>
    </w:p>
    <w:p>
      <w:pPr>
        <w:ind w:right="120" w:firstLine="706"/>
        <w:spacing w:after="0" w:line="307" w:lineRule="auto"/>
        <w:rPr>
          <w:sz w:val="20"/>
          <w:szCs w:val="20"/>
          <w:color w:val="auto"/>
        </w:rPr>
      </w:pPr>
      <w:r>
        <w:rPr>
          <w:rFonts w:ascii="Arial" w:cs="Arial" w:eastAsia="Arial" w:hAnsi="Arial"/>
          <w:sz w:val="17"/>
          <w:szCs w:val="17"/>
          <w:b w:val="1"/>
          <w:bCs w:val="1"/>
          <w:i w:val="1"/>
          <w:iCs w:val="1"/>
          <w:color w:val="auto"/>
        </w:rPr>
        <w:t xml:space="preserve">Distributions to PAA’s Series B preferred unitholders. </w:t>
      </w:r>
      <w:r>
        <w:rPr>
          <w:rFonts w:ascii="Arial" w:cs="Arial" w:eastAsia="Arial" w:hAnsi="Arial"/>
          <w:sz w:val="17"/>
          <w:szCs w:val="17"/>
          <w:color w:val="auto"/>
        </w:rPr>
        <w:t>Holders of PAA’s Series B preferred units are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when, as and if declared by PAA’s general partner out of legally available funds for such purpose, cumulative cash distributions, as applicable. Distributions on the Series B preferred units accumulate based on the applicable three-month SOFR, plus a credit spread adjustment of 0.26161%, plus 4.11% per annum. The distribution rate for the quarterly distribution paid on February 18, 2025 was 8.89507% per annum ($22.73 per Series B preferred unit).</w:t>
      </w:r>
    </w:p>
    <w:p>
      <w:pPr>
        <w:spacing w:after="0" w:line="161" w:lineRule="exact"/>
        <w:rPr>
          <w:sz w:val="20"/>
          <w:szCs w:val="20"/>
          <w:color w:val="auto"/>
        </w:rPr>
      </w:pPr>
    </w:p>
    <w:p>
      <w:pPr>
        <w:ind w:right="340" w:firstLine="706"/>
        <w:spacing w:after="0" w:line="326" w:lineRule="auto"/>
        <w:rPr>
          <w:sz w:val="20"/>
          <w:szCs w:val="20"/>
          <w:color w:val="auto"/>
        </w:rPr>
      </w:pPr>
      <w:r>
        <w:rPr>
          <w:rFonts w:ascii="Arial" w:cs="Arial" w:eastAsia="Arial" w:hAnsi="Arial"/>
          <w:sz w:val="17"/>
          <w:szCs w:val="17"/>
          <w:b w:val="1"/>
          <w:bCs w:val="1"/>
          <w:i w:val="1"/>
          <w:iCs w:val="1"/>
          <w:color w:val="auto"/>
        </w:rPr>
        <w:t xml:space="preserve">Distributions to PAA’s common unitholders. </w:t>
      </w:r>
      <w:r>
        <w:rPr>
          <w:rFonts w:ascii="Arial" w:cs="Arial" w:eastAsia="Arial" w:hAnsi="Arial"/>
          <w:sz w:val="17"/>
          <w:szCs w:val="17"/>
          <w:color w:val="auto"/>
        </w:rPr>
        <w:t>On February 14, 2025, PAA paid a quarterly distribution of $0.38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unit ($1.52 per common unit on an annualized basis). The total distribution of $267 million was paid to common unitholders of record as of January 31, 2025, with respect to the quarter ended December 31, 2024.</w:t>
      </w:r>
    </w:p>
    <w:p>
      <w:pPr>
        <w:spacing w:after="0" w:line="146" w:lineRule="exact"/>
        <w:rPr>
          <w:sz w:val="20"/>
          <w:szCs w:val="20"/>
          <w:color w:val="auto"/>
        </w:rPr>
      </w:pPr>
    </w:p>
    <w:p>
      <w:pPr>
        <w:ind w:right="360" w:firstLine="706"/>
        <w:spacing w:after="0" w:line="271" w:lineRule="auto"/>
        <w:rPr>
          <w:sz w:val="20"/>
          <w:szCs w:val="20"/>
          <w:color w:val="auto"/>
        </w:rPr>
      </w:pPr>
      <w:r>
        <w:rPr>
          <w:rFonts w:ascii="Arial" w:cs="Arial" w:eastAsia="Arial" w:hAnsi="Arial"/>
          <w:sz w:val="20"/>
          <w:szCs w:val="20"/>
          <w:color w:val="auto"/>
        </w:rPr>
        <w:t>See Note 11 to our Consolidated Financial Statements for details of distributions paid during the three years ended December 31, 2024.</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Contingencies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For a discussion of contingencies that may impact us, see Note 18 to our Consolidated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Commitments</w:t>
      </w:r>
    </w:p>
    <w:p>
      <w:pPr>
        <w:spacing w:after="0" w:line="248" w:lineRule="exact"/>
        <w:rPr>
          <w:sz w:val="20"/>
          <w:szCs w:val="20"/>
          <w:color w:val="auto"/>
        </w:rPr>
      </w:pPr>
    </w:p>
    <w:p>
      <w:pPr>
        <w:ind w:right="140" w:firstLine="706"/>
        <w:spacing w:after="0" w:line="271" w:lineRule="auto"/>
        <w:rPr>
          <w:sz w:val="20"/>
          <w:szCs w:val="20"/>
          <w:color w:val="auto"/>
        </w:rPr>
      </w:pPr>
      <w:r>
        <w:rPr>
          <w:rFonts w:ascii="Arial" w:cs="Arial" w:eastAsia="Arial" w:hAnsi="Arial"/>
          <w:sz w:val="20"/>
          <w:szCs w:val="20"/>
          <w:color w:val="auto"/>
        </w:rPr>
        <w:t>See Note 10 to our Consolidated Financial Statements for information regarding our debt obligations and Note 18 for information regarding our leases and other commitments.</w:t>
      </w:r>
    </w:p>
    <w:p>
      <w:pPr>
        <w:sectPr>
          <w:pgSz w:w="11880" w:h="15480" w:orient="portrait"/>
          <w:cols w:equalWidth="0" w:num="1">
            <w:col w:w="10020"/>
          </w:cols>
          <w:pgMar w:left="920" w:top="81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020"/>
          </w:cols>
          <w:pgMar w:left="920" w:top="810" w:right="940" w:bottom="0" w:gutter="0" w:footer="0" w:header="0"/>
          <w:type w:val="continuous"/>
        </w:sectPr>
      </w:pPr>
    </w:p>
    <w:bookmarkStart w:id="88" w:name="page89"/>
    <w:bookmarkEnd w:id="88"/>
    <w:p>
      <w:pPr>
        <w:ind w:left="707"/>
        <w:spacing w:after="0"/>
        <w:rPr>
          <w:sz w:val="20"/>
          <w:szCs w:val="20"/>
          <w:color w:val="auto"/>
        </w:rPr>
      </w:pPr>
      <w:r>
        <w:rPr>
          <w:rFonts w:ascii="Arial" w:cs="Arial" w:eastAsia="Arial" w:hAnsi="Arial"/>
          <w:sz w:val="20"/>
          <w:szCs w:val="20"/>
          <w:b w:val="1"/>
          <w:bCs w:val="1"/>
          <w:color w:val="auto"/>
        </w:rPr>
        <w:t>Purchase Obligations</w:t>
      </w:r>
    </w:p>
    <w:p>
      <w:pPr>
        <w:spacing w:after="0" w:line="248" w:lineRule="exact"/>
        <w:rPr>
          <w:sz w:val="20"/>
          <w:szCs w:val="20"/>
          <w:color w:val="auto"/>
        </w:rPr>
      </w:pPr>
    </w:p>
    <w:p>
      <w:pPr>
        <w:ind w:left="7" w:right="140" w:firstLine="706"/>
        <w:spacing w:after="0" w:line="300" w:lineRule="auto"/>
        <w:rPr>
          <w:sz w:val="20"/>
          <w:szCs w:val="20"/>
          <w:color w:val="auto"/>
        </w:rPr>
      </w:pPr>
      <w:r>
        <w:rPr>
          <w:rFonts w:ascii="Arial" w:cs="Arial" w:eastAsia="Arial" w:hAnsi="Arial"/>
          <w:sz w:val="17"/>
          <w:szCs w:val="17"/>
          <w:color w:val="auto"/>
        </w:rPr>
        <w:t>In the ordinary course of doing business, we purchase crude oil and NGL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1" w:lineRule="exact"/>
        <w:rPr>
          <w:sz w:val="20"/>
          <w:szCs w:val="20"/>
          <w:color w:val="auto"/>
        </w:rPr>
      </w:pPr>
    </w:p>
    <w:p>
      <w:pPr>
        <w:ind w:left="7" w:right="220" w:firstLine="706"/>
        <w:spacing w:after="0" w:line="271" w:lineRule="auto"/>
        <w:rPr>
          <w:sz w:val="20"/>
          <w:szCs w:val="20"/>
          <w:color w:val="auto"/>
        </w:rPr>
      </w:pPr>
      <w:r>
        <w:rPr>
          <w:rFonts w:ascii="Arial" w:cs="Arial" w:eastAsia="Arial" w:hAnsi="Arial"/>
          <w:sz w:val="20"/>
          <w:szCs w:val="20"/>
          <w:color w:val="auto"/>
        </w:rPr>
        <w:t>The following table includes our best estimate of the amount and timing of these payments as of December 31, 2024 (in millions):</w:t>
      </w:r>
    </w:p>
    <w:p>
      <w:pPr>
        <w:spacing w:after="0" w:line="255"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2025</w:t>
            </w:r>
          </w:p>
        </w:tc>
        <w:tc>
          <w:tcPr>
            <w:tcW w:w="60" w:type="dxa"/>
            <w:vAlign w:val="bottom"/>
            <w:vMerge w:val="restart"/>
          </w:tcPr>
          <w:p>
            <w:pPr>
              <w:spacing w:after="0"/>
              <w:rPr>
                <w:sz w:val="16"/>
                <w:szCs w:val="16"/>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2026</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2027</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2028</w:t>
            </w:r>
          </w:p>
        </w:tc>
        <w:tc>
          <w:tcPr>
            <w:tcW w:w="80" w:type="dxa"/>
            <w:vAlign w:val="bottom"/>
            <w:vMerge w:val="restart"/>
          </w:tcPr>
          <w:p>
            <w:pPr>
              <w:spacing w:after="0"/>
              <w:rPr>
                <w:sz w:val="16"/>
                <w:szCs w:val="16"/>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2029</w:t>
            </w:r>
          </w:p>
        </w:tc>
        <w:tc>
          <w:tcPr>
            <w:tcW w:w="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7"/>
              </w:rPr>
              <w:t>2030 and</w:t>
            </w:r>
          </w:p>
        </w:tc>
        <w:tc>
          <w:tcPr>
            <w:tcW w:w="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Thereafter</w:t>
            </w: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600" w:type="dxa"/>
            <w:vAlign w:val="bottom"/>
          </w:tcPr>
          <w:p>
            <w:pPr>
              <w:spacing w:after="0"/>
              <w:rPr>
                <w:sz w:val="20"/>
                <w:szCs w:val="20"/>
                <w:color w:val="auto"/>
              </w:rPr>
            </w:pPr>
            <w:r>
              <w:rPr>
                <w:rFonts w:ascii="Arial" w:cs="Arial" w:eastAsia="Arial" w:hAnsi="Arial"/>
                <w:sz w:val="20"/>
                <w:szCs w:val="20"/>
                <w:color w:val="auto"/>
              </w:rPr>
              <w:t xml:space="preserve">Crude oil, NGL and other purchases </w:t>
            </w:r>
            <w:r>
              <w:rPr>
                <w:rFonts w:ascii="Arial" w:cs="Arial" w:eastAsia="Arial" w:hAnsi="Arial"/>
                <w:sz w:val="25"/>
                <w:szCs w:val="25"/>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$ 24,727</w:t>
            </w:r>
          </w:p>
        </w:tc>
        <w:tc>
          <w:tcPr>
            <w:tcW w:w="920" w:type="dxa"/>
            <w:vAlign w:val="bottom"/>
            <w:gridSpan w:val="2"/>
          </w:tcPr>
          <w:p>
            <w:pPr>
              <w:jc w:val="right"/>
              <w:ind w:right="2"/>
              <w:spacing w:after="0"/>
              <w:rPr>
                <w:sz w:val="20"/>
                <w:szCs w:val="20"/>
                <w:color w:val="auto"/>
              </w:rPr>
            </w:pPr>
            <w:r>
              <w:rPr>
                <w:rFonts w:ascii="Arial" w:cs="Arial" w:eastAsia="Arial" w:hAnsi="Arial"/>
                <w:sz w:val="20"/>
                <w:szCs w:val="20"/>
                <w:color w:val="auto"/>
              </w:rPr>
              <w:t>$ 20,369</w:t>
            </w:r>
          </w:p>
        </w:tc>
        <w:tc>
          <w:tcPr>
            <w:tcW w:w="920" w:type="dxa"/>
            <w:vAlign w:val="bottom"/>
            <w:gridSpan w:val="2"/>
          </w:tcPr>
          <w:p>
            <w:pPr>
              <w:jc w:val="right"/>
              <w:ind w:right="2"/>
              <w:spacing w:after="0"/>
              <w:rPr>
                <w:sz w:val="20"/>
                <w:szCs w:val="20"/>
                <w:color w:val="auto"/>
              </w:rPr>
            </w:pPr>
            <w:r>
              <w:rPr>
                <w:rFonts w:ascii="Arial" w:cs="Arial" w:eastAsia="Arial" w:hAnsi="Arial"/>
                <w:sz w:val="20"/>
                <w:szCs w:val="20"/>
                <w:color w:val="auto"/>
              </w:rPr>
              <w:t>$ 17,980</w:t>
            </w:r>
          </w:p>
        </w:tc>
        <w:tc>
          <w:tcPr>
            <w:tcW w:w="920" w:type="dxa"/>
            <w:vAlign w:val="bottom"/>
            <w:gridSpan w:val="2"/>
          </w:tcPr>
          <w:p>
            <w:pPr>
              <w:jc w:val="right"/>
              <w:ind w:right="2"/>
              <w:spacing w:after="0"/>
              <w:rPr>
                <w:sz w:val="20"/>
                <w:szCs w:val="20"/>
                <w:color w:val="auto"/>
              </w:rPr>
            </w:pPr>
            <w:r>
              <w:rPr>
                <w:rFonts w:ascii="Arial" w:cs="Arial" w:eastAsia="Arial" w:hAnsi="Arial"/>
                <w:sz w:val="20"/>
                <w:szCs w:val="20"/>
                <w:color w:val="auto"/>
              </w:rPr>
              <w:t>$ 15,049</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$ 13,711</w:t>
            </w:r>
          </w:p>
        </w:tc>
        <w:tc>
          <w:tcPr>
            <w:tcW w:w="920" w:type="dxa"/>
            <w:vAlign w:val="bottom"/>
            <w:gridSpan w:val="2"/>
          </w:tcPr>
          <w:p>
            <w:pPr>
              <w:jc w:val="center"/>
              <w:spacing w:after="0"/>
              <w:rPr>
                <w:sz w:val="20"/>
                <w:szCs w:val="20"/>
                <w:color w:val="auto"/>
              </w:rPr>
            </w:pPr>
            <w:r>
              <w:rPr>
                <w:rFonts w:ascii="Arial" w:cs="Arial" w:eastAsia="Arial" w:hAnsi="Arial"/>
                <w:sz w:val="20"/>
                <w:szCs w:val="20"/>
                <w:color w:val="auto"/>
                <w:w w:val="92"/>
              </w:rPr>
              <w:t>$ 26,360</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$118,196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-229870</wp:posOffset>
            </wp:positionV>
            <wp:extent cx="6410325" cy="212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0">
                      <a:extLst>
                        <a:ext uri="{28A0092B-C50C-407E-A947-70E740481C1C}"/>
                      </a:extLst>
                    </a:blip>
                    <a:srcRect/>
                    <a:stretch>
                      <a:fillRect/>
                    </a:stretch>
                  </pic:blipFill>
                  <pic:spPr bwMode="auto">
                    <a:xfrm>
                      <a:off x="0" y="0"/>
                      <a:ext cx="6410325" cy="2120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77470</wp:posOffset>
                </wp:positionV>
                <wp:extent cx="220281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8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pt" to="173.45pt,6.1pt" o:allowincell="f" strokecolor="#000000" strokeweight="1pt"/>
            </w:pict>
          </mc:Fallback>
        </mc:AlternateContent>
      </w:r>
    </w:p>
    <w:p>
      <w:pPr>
        <w:spacing w:after="0" w:line="257" w:lineRule="exact"/>
        <w:rPr>
          <w:sz w:val="20"/>
          <w:szCs w:val="20"/>
          <w:color w:val="auto"/>
        </w:rPr>
      </w:pPr>
    </w:p>
    <w:p>
      <w:pPr>
        <w:ind w:left="707" w:right="240" w:hanging="707"/>
        <w:spacing w:after="0" w:line="249" w:lineRule="auto"/>
        <w:tabs>
          <w:tab w:leader="none" w:pos="707" w:val="left"/>
        </w:tabs>
        <w:numPr>
          <w:ilvl w:val="0"/>
          <w:numId w:val="52"/>
        </w:numPr>
        <w:rPr>
          <w:rFonts w:ascii="Arial" w:cs="Arial" w:eastAsia="Arial" w:hAnsi="Arial"/>
          <w:sz w:val="24"/>
          <w:szCs w:val="24"/>
          <w:color w:val="auto"/>
          <w:vertAlign w:val="superscript"/>
        </w:rPr>
      </w:pPr>
      <w:r>
        <w:rPr>
          <w:rFonts w:ascii="Arial" w:cs="Arial" w:eastAsia="Arial" w:hAnsi="Arial"/>
          <w:sz w:val="19"/>
          <w:szCs w:val="19"/>
          <w:color w:val="auto"/>
        </w:rPr>
        <w:t>Amounts are primarily based on estimated volumes and market prices based on average activity during December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8" w:lineRule="exact"/>
        <w:rPr>
          <w:sz w:val="20"/>
          <w:szCs w:val="20"/>
          <w:color w:val="auto"/>
        </w:rPr>
      </w:pPr>
    </w:p>
    <w:p>
      <w:pPr>
        <w:ind w:left="7" w:right="120" w:firstLine="706"/>
        <w:spacing w:after="0" w:line="265" w:lineRule="auto"/>
        <w:rPr>
          <w:sz w:val="20"/>
          <w:szCs w:val="20"/>
          <w:color w:val="auto"/>
        </w:rPr>
      </w:pPr>
      <w:r>
        <w:rPr>
          <w:rFonts w:ascii="Arial" w:cs="Arial" w:eastAsia="Arial" w:hAnsi="Arial"/>
          <w:sz w:val="19"/>
          <w:szCs w:val="19"/>
          <w:b w:val="1"/>
          <w:bCs w:val="1"/>
          <w:i w:val="1"/>
          <w:iCs w:val="1"/>
          <w:color w:val="auto"/>
        </w:rPr>
        <w:t xml:space="preserve">Letters of Credit. </w:t>
      </w:r>
      <w:r>
        <w:rPr>
          <w:rFonts w:ascii="Arial" w:cs="Arial" w:eastAsia="Arial" w:hAnsi="Arial"/>
          <w:sz w:val="19"/>
          <w:szCs w:val="19"/>
          <w:color w:val="auto"/>
        </w:rPr>
        <w:t>In connection with our merchant activities, we provide certain suppliers with irrevocable standby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2024 and 2023, we had outstanding letters of credit of approximately $90 million and $205 million, respectively.</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Off-Balance Sheet Arrangements</w:t>
      </w:r>
    </w:p>
    <w:p>
      <w:pPr>
        <w:spacing w:after="0" w:line="248" w:lineRule="exact"/>
        <w:rPr>
          <w:sz w:val="20"/>
          <w:szCs w:val="20"/>
          <w:color w:val="auto"/>
        </w:rPr>
      </w:pPr>
    </w:p>
    <w:p>
      <w:pPr>
        <w:ind w:left="707"/>
        <w:spacing w:after="0"/>
        <w:rPr>
          <w:sz w:val="20"/>
          <w:szCs w:val="20"/>
          <w:color w:val="auto"/>
        </w:rPr>
      </w:pPr>
      <w:r>
        <w:rPr>
          <w:rFonts w:ascii="Arial" w:cs="Arial" w:eastAsia="Arial" w:hAnsi="Arial"/>
          <w:sz w:val="20"/>
          <w:szCs w:val="20"/>
          <w:color w:val="auto"/>
        </w:rPr>
        <w:t>We have no off-balance sheet arrangements as defined by Item 303 of Regulation S-K.</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Investments in Unconsolidated Entities</w:t>
      </w:r>
    </w:p>
    <w:p>
      <w:pPr>
        <w:spacing w:after="0" w:line="248" w:lineRule="exact"/>
        <w:rPr>
          <w:sz w:val="20"/>
          <w:szCs w:val="20"/>
          <w:color w:val="auto"/>
        </w:rPr>
      </w:pPr>
    </w:p>
    <w:p>
      <w:pPr>
        <w:ind w:left="7" w:right="20" w:firstLine="706"/>
        <w:spacing w:after="0" w:line="254" w:lineRule="auto"/>
        <w:rPr>
          <w:sz w:val="20"/>
          <w:szCs w:val="20"/>
          <w:color w:val="auto"/>
        </w:rPr>
      </w:pPr>
      <w:r>
        <w:rPr>
          <w:rFonts w:ascii="Arial" w:cs="Arial" w:eastAsia="Arial" w:hAnsi="Arial"/>
          <w:sz w:val="20"/>
          <w:szCs w:val="20"/>
          <w:color w:val="auto"/>
        </w:rPr>
        <w:t>We have invested in entities that are not consolidated in our financial statements. None of these entities had debt outstanding as of December 31, 2024. We may elect at any time to make additional capital contributions to any of these entities. The following table sets forth selected information regarding these entities as of December 31, 2024 (unaudited, dollars in millions):</w:t>
      </w:r>
    </w:p>
    <w:p>
      <w:pPr>
        <w:spacing w:after="0" w:line="31"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Our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87"/>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48"/>
              <w:spacing w:after="0"/>
              <w:rPr>
                <w:sz w:val="20"/>
                <w:szCs w:val="20"/>
                <w:color w:val="auto"/>
              </w:rPr>
            </w:pPr>
            <w:r>
              <w:rPr>
                <w:rFonts w:ascii="Arial" w:cs="Arial" w:eastAsia="Arial" w:hAnsi="Arial"/>
                <w:sz w:val="16"/>
                <w:szCs w:val="16"/>
                <w:b w:val="1"/>
                <w:bCs w:val="1"/>
                <w:color w:val="auto"/>
                <w:w w:val="87"/>
              </w:rPr>
              <w:t>Total Cash</w:t>
            </w: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48"/>
              <w:spacing w:after="0" w:line="157" w:lineRule="exact"/>
              <w:rPr>
                <w:sz w:val="20"/>
                <w:szCs w:val="20"/>
                <w:color w:val="auto"/>
              </w:rPr>
            </w:pPr>
            <w:r>
              <w:rPr>
                <w:rFonts w:ascii="Arial" w:cs="Arial" w:eastAsia="Arial" w:hAnsi="Arial"/>
                <w:sz w:val="16"/>
                <w:szCs w:val="16"/>
                <w:b w:val="1"/>
                <w:bCs w:val="1"/>
                <w:color w:val="auto"/>
                <w:w w:val="84"/>
              </w:rPr>
              <w:t>and</w:t>
            </w:r>
          </w:p>
        </w:tc>
        <w:tc>
          <w:tcPr>
            <w:tcW w:w="0" w:type="dxa"/>
            <w:vAlign w:val="bottom"/>
          </w:tcPr>
          <w:p>
            <w:pPr>
              <w:spacing w:after="0"/>
              <w:rPr>
                <w:sz w:val="1"/>
                <w:szCs w:val="1"/>
                <w:color w:val="auto"/>
              </w:rPr>
            </w:pPr>
          </w:p>
        </w:tc>
      </w:tr>
      <w:tr>
        <w:trPr>
          <w:trHeight w:val="157"/>
        </w:trPr>
        <w:tc>
          <w:tcPr>
            <w:tcW w:w="5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Entity</w:t>
            </w:r>
          </w:p>
        </w:tc>
        <w:tc>
          <w:tcPr>
            <w:tcW w:w="2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Type of Operation</w:t>
            </w:r>
          </w:p>
        </w:tc>
        <w:tc>
          <w:tcPr>
            <w:tcW w:w="6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Ownership</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27"/>
              <w:spacing w:after="0" w:line="157" w:lineRule="exact"/>
              <w:rPr>
                <w:sz w:val="20"/>
                <w:szCs w:val="20"/>
                <w:color w:val="auto"/>
              </w:rPr>
            </w:pPr>
            <w:r>
              <w:rPr>
                <w:rFonts w:ascii="Arial" w:cs="Arial" w:eastAsia="Arial" w:hAnsi="Arial"/>
                <w:sz w:val="16"/>
                <w:szCs w:val="16"/>
                <w:b w:val="1"/>
                <w:bCs w:val="1"/>
                <w:color w:val="auto"/>
              </w:rPr>
              <w:t>Entity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48"/>
              <w:spacing w:after="0" w:line="157" w:lineRule="exact"/>
              <w:rPr>
                <w:sz w:val="20"/>
                <w:szCs w:val="20"/>
                <w:color w:val="auto"/>
              </w:rPr>
            </w:pPr>
            <w:r>
              <w:rPr>
                <w:rFonts w:ascii="Arial" w:cs="Arial" w:eastAsia="Arial" w:hAnsi="Arial"/>
                <w:sz w:val="16"/>
                <w:szCs w:val="16"/>
                <w:b w:val="1"/>
                <w:bCs w:val="1"/>
                <w:color w:val="auto"/>
                <w:w w:val="86"/>
              </w:rPr>
              <w:t>Restricted</w:t>
            </w: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vMerge w:val="continue"/>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w w:val="91"/>
              </w:rPr>
              <w:t>Assets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6"/>
                <w:szCs w:val="16"/>
                <w:b w:val="1"/>
                <w:bCs w:val="1"/>
                <w:color w:val="auto"/>
                <w:w w:val="86"/>
              </w:rPr>
              <w:t>Cash</w:t>
            </w:r>
          </w:p>
        </w:tc>
        <w:tc>
          <w:tcPr>
            <w:tcW w:w="0" w:type="dxa"/>
            <w:vAlign w:val="bottom"/>
          </w:tcPr>
          <w:p>
            <w:pPr>
              <w:spacing w:after="0"/>
              <w:rPr>
                <w:sz w:val="1"/>
                <w:szCs w:val="1"/>
                <w:color w:val="auto"/>
              </w:rPr>
            </w:pPr>
          </w:p>
        </w:tc>
      </w:tr>
      <w:tr>
        <w:trPr>
          <w:trHeight w:val="270"/>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BridgeTex Pipeline Company, LLC</w:t>
            </w:r>
          </w:p>
        </w:tc>
        <w:tc>
          <w:tcPr>
            <w:tcW w:w="6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Crude Oil Pipeline</w:t>
            </w:r>
          </w:p>
        </w:tc>
        <w:tc>
          <w:tcPr>
            <w:tcW w:w="11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20%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755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94"/>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Capline Pipeline Company LLC</w:t>
            </w:r>
          </w:p>
        </w:tc>
        <w:tc>
          <w:tcPr>
            <w:tcW w:w="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Crude Oil Pipeline</w:t>
            </w:r>
          </w:p>
        </w:tc>
        <w:tc>
          <w:tcPr>
            <w:tcW w:w="11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1,216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315"/>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Diamond Pipeline LLC</w:t>
            </w:r>
          </w:p>
        </w:tc>
        <w:tc>
          <w:tcPr>
            <w:tcW w:w="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89"/>
              </w:rPr>
              <w:t xml:space="preserve">Crude Oil Pipeline </w:t>
            </w:r>
            <w:r>
              <w:rPr>
                <w:rFonts w:ascii="Arial" w:cs="Arial" w:eastAsia="Arial" w:hAnsi="Arial"/>
                <w:sz w:val="25"/>
                <w:szCs w:val="25"/>
                <w:color w:val="auto"/>
                <w:w w:val="89"/>
                <w:vertAlign w:val="superscript"/>
              </w:rPr>
              <w:t>(1)</w:t>
            </w:r>
          </w:p>
        </w:tc>
        <w:tc>
          <w:tcPr>
            <w:tcW w:w="11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858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94"/>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Eagle Ford Pipeline LLC</w:t>
            </w:r>
          </w:p>
        </w:tc>
        <w:tc>
          <w:tcPr>
            <w:tcW w:w="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89"/>
              </w:rPr>
              <w:t xml:space="preserve">Crude Oil Pipeline </w:t>
            </w:r>
            <w:r>
              <w:rPr>
                <w:rFonts w:ascii="Arial" w:cs="Arial" w:eastAsia="Arial" w:hAnsi="Arial"/>
                <w:sz w:val="25"/>
                <w:szCs w:val="25"/>
                <w:color w:val="auto"/>
                <w:w w:val="89"/>
                <w:vertAlign w:val="superscript"/>
              </w:rPr>
              <w:t>(1)</w:t>
            </w:r>
          </w:p>
        </w:tc>
        <w:tc>
          <w:tcPr>
            <w:tcW w:w="11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765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312"/>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Eagle Ford Terminals Corpus Christi LLC</w:t>
            </w:r>
          </w:p>
        </w:tc>
        <w:tc>
          <w:tcPr>
            <w:tcW w:w="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88"/>
              </w:rPr>
              <w:t xml:space="preserve">Crude Oil Terminal and Dock </w:t>
            </w:r>
            <w:r>
              <w:rPr>
                <w:rFonts w:ascii="Arial" w:cs="Arial" w:eastAsia="Arial" w:hAnsi="Arial"/>
                <w:sz w:val="25"/>
                <w:szCs w:val="25"/>
                <w:color w:val="auto"/>
                <w:w w:val="88"/>
                <w:vertAlign w:val="superscript"/>
              </w:rPr>
              <w:t>(1)</w:t>
            </w:r>
          </w:p>
        </w:tc>
        <w:tc>
          <w:tcPr>
            <w:tcW w:w="11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205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5"/>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Saddlehorn Pipeline Company, LLC</w:t>
            </w:r>
          </w:p>
        </w:tc>
        <w:tc>
          <w:tcPr>
            <w:tcW w:w="60" w:type="dxa"/>
            <w:vAlign w:val="bottom"/>
          </w:tcPr>
          <w:p>
            <w:pPr>
              <w:spacing w:after="0"/>
              <w:rPr>
                <w:sz w:val="22"/>
                <w:szCs w:val="22"/>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Crude Oil Pipeline</w:t>
            </w:r>
          </w:p>
        </w:tc>
        <w:tc>
          <w:tcPr>
            <w:tcW w:w="11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40%</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576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94"/>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White Cliffs Pipeline, L.L.C.</w:t>
            </w:r>
          </w:p>
        </w:tc>
        <w:tc>
          <w:tcPr>
            <w:tcW w:w="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Crude Oil Pipeline</w:t>
            </w:r>
          </w:p>
        </w:tc>
        <w:tc>
          <w:tcPr>
            <w:tcW w:w="11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36%</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341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94"/>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Wink to Webster Pipeline LLC</w:t>
            </w:r>
          </w:p>
        </w:tc>
        <w:tc>
          <w:tcPr>
            <w:tcW w:w="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91"/>
              </w:rPr>
              <w:t>Crude Oil Pipeline</w:t>
            </w:r>
          </w:p>
        </w:tc>
        <w:tc>
          <w:tcPr>
            <w:tcW w:w="112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17%</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2,288</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94"/>
        </w:trPr>
        <w:tc>
          <w:tcPr>
            <w:tcW w:w="3720" w:type="dxa"/>
            <w:vAlign w:val="bottom"/>
            <w:gridSpan w:val="3"/>
          </w:tcPr>
          <w:p>
            <w:pPr>
              <w:ind w:left="40"/>
              <w:spacing w:after="0"/>
              <w:rPr>
                <w:sz w:val="20"/>
                <w:szCs w:val="20"/>
                <w:color w:val="auto"/>
              </w:rPr>
            </w:pPr>
            <w:r>
              <w:rPr>
                <w:rFonts w:ascii="Arial" w:cs="Arial" w:eastAsia="Arial" w:hAnsi="Arial"/>
                <w:sz w:val="20"/>
                <w:szCs w:val="20"/>
                <w:color w:val="auto"/>
              </w:rPr>
              <w:t>Other investments</w:t>
            </w: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467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175"/>
        </w:trPr>
        <w:tc>
          <w:tcPr>
            <w:tcW w:w="5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580" w:type="dxa"/>
            <w:vAlign w:val="bottom"/>
          </w:tcPr>
          <w:p>
            <w:pPr>
              <w:spacing w:after="0"/>
              <w:rPr>
                <w:sz w:val="20"/>
                <w:szCs w:val="20"/>
                <w:color w:val="auto"/>
              </w:rPr>
            </w:pPr>
            <w:r>
              <w:rPr>
                <w:rFonts w:ascii="Arial" w:cs="Arial" w:eastAsia="Arial" w:hAnsi="Arial"/>
                <w:sz w:val="13"/>
                <w:szCs w:val="13"/>
                <w:color w:val="auto"/>
              </w:rPr>
              <w:t>(1)</w:t>
            </w:r>
          </w:p>
        </w:tc>
        <w:tc>
          <w:tcPr>
            <w:tcW w:w="3140" w:type="dxa"/>
            <w:vAlign w:val="bottom"/>
            <w:gridSpan w:val="2"/>
            <w:vMerge w:val="restart"/>
          </w:tcPr>
          <w:p>
            <w:pPr>
              <w:ind w:left="120"/>
              <w:spacing w:after="0"/>
              <w:rPr>
                <w:sz w:val="20"/>
                <w:szCs w:val="20"/>
                <w:color w:val="auto"/>
              </w:rPr>
            </w:pPr>
            <w:r>
              <w:rPr>
                <w:rFonts w:ascii="Arial" w:cs="Arial" w:eastAsia="Arial" w:hAnsi="Arial"/>
                <w:sz w:val="20"/>
                <w:szCs w:val="20"/>
                <w:color w:val="auto"/>
                <w:w w:val="98"/>
              </w:rPr>
              <w:t>We serve as operator of the asset.</w:t>
            </w: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3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-2061210</wp:posOffset>
            </wp:positionV>
            <wp:extent cx="6410325" cy="1705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
                      <a:extLst>
                        <a:ext uri="{28A0092B-C50C-407E-A947-70E740481C1C}"/>
                      </a:extLst>
                    </a:blip>
                    <a:srcRect/>
                    <a:stretch>
                      <a:fillRect/>
                    </a:stretch>
                  </pic:blipFill>
                  <pic:spPr bwMode="auto">
                    <a:xfrm>
                      <a:off x="0" y="0"/>
                      <a:ext cx="6410325" cy="1705610"/>
                    </a:xfrm>
                    <a:prstGeom prst="rect">
                      <a:avLst/>
                    </a:prstGeom>
                    <a:noFill/>
                  </pic:spPr>
                </pic:pic>
              </a:graphicData>
            </a:graphic>
          </wp:anchor>
        </w:drawing>
      </w:r>
    </w:p>
    <w:p>
      <w:pPr>
        <w:sectPr>
          <w:pgSz w:w="11880" w:h="15480" w:orient="portrait"/>
          <w:cols w:equalWidth="0" w:num="1">
            <w:col w:w="10047"/>
          </w:cols>
          <w:pgMar w:left="913"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047"/>
          </w:cols>
          <w:pgMar w:left="913" w:top="575" w:right="920" w:bottom="0" w:gutter="0" w:footer="0" w:header="0"/>
          <w:type w:val="continuous"/>
        </w:sectPr>
      </w:pPr>
    </w:p>
    <w:bookmarkStart w:id="89" w:name="page90"/>
    <w:bookmarkEnd w:id="89"/>
    <w:p>
      <w:pPr>
        <w:ind w:left="7"/>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8" w:lineRule="exact"/>
        <w:rPr>
          <w:sz w:val="20"/>
          <w:szCs w:val="20"/>
          <w:color w:val="auto"/>
        </w:rPr>
      </w:pPr>
    </w:p>
    <w:p>
      <w:pPr>
        <w:ind w:left="7" w:right="60" w:firstLine="706"/>
        <w:spacing w:after="0" w:line="303"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66" w:lineRule="exact"/>
        <w:rPr>
          <w:sz w:val="20"/>
          <w:szCs w:val="20"/>
          <w:color w:val="auto"/>
        </w:rPr>
      </w:pPr>
    </w:p>
    <w:p>
      <w:pPr>
        <w:ind w:left="7" w:right="20" w:firstLine="706"/>
        <w:spacing w:after="0" w:line="300" w:lineRule="auto"/>
        <w:rPr>
          <w:sz w:val="20"/>
          <w:szCs w:val="20"/>
          <w:color w:val="auto"/>
        </w:rPr>
      </w:pPr>
      <w:r>
        <w:rPr>
          <w:rFonts w:ascii="Arial" w:cs="Arial" w:eastAsia="Arial" w:hAnsi="Arial"/>
          <w:sz w:val="17"/>
          <w:szCs w:val="17"/>
          <w:color w:val="auto"/>
        </w:rPr>
        <w:t>We believe that the assumptions, judgments and estimates involved in the accounting for our (i) estimated fair value of assets and liabilities acquired and identification of associated goodwill and intangible assets, (ii) fair value of derivatives,</w:t>
      </w:r>
    </w:p>
    <w:p>
      <w:pPr>
        <w:spacing w:after="0" w:line="1" w:lineRule="exact"/>
        <w:rPr>
          <w:sz w:val="20"/>
          <w:szCs w:val="20"/>
          <w:color w:val="auto"/>
        </w:rPr>
      </w:pPr>
    </w:p>
    <w:p>
      <w:pPr>
        <w:ind w:left="7" w:right="20" w:hanging="7"/>
        <w:spacing w:after="0" w:line="298" w:lineRule="auto"/>
        <w:tabs>
          <w:tab w:leader="none" w:pos="35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pacing w:after="0" w:line="169" w:lineRule="exact"/>
        <w:rPr>
          <w:sz w:val="20"/>
          <w:szCs w:val="20"/>
          <w:color w:val="auto"/>
        </w:rPr>
      </w:pPr>
    </w:p>
    <w:p>
      <w:pPr>
        <w:ind w:left="7" w:right="20" w:firstLine="706"/>
        <w:spacing w:after="0" w:line="250" w:lineRule="auto"/>
        <w:rPr>
          <w:sz w:val="20"/>
          <w:szCs w:val="20"/>
          <w:color w:val="auto"/>
        </w:rPr>
      </w:pPr>
      <w:r>
        <w:rPr>
          <w:rFonts w:ascii="Arial" w:cs="Arial" w:eastAsia="Arial" w:hAnsi="Arial"/>
          <w:sz w:val="20"/>
          <w:szCs w:val="20"/>
          <w:b w:val="1"/>
          <w:bCs w:val="1"/>
          <w:i w:val="1"/>
          <w:iCs w:val="1"/>
          <w:color w:val="auto"/>
        </w:rPr>
        <w:t xml:space="preserve">Fair Value of Assets and Liabilities Acquired and Identification of Associated Goodwill and Intangible Assets. </w:t>
      </w:r>
      <w:r>
        <w:rPr>
          <w:rFonts w:ascii="Arial" w:cs="Arial" w:eastAsia="Arial" w:hAnsi="Arial"/>
          <w:sz w:val="20"/>
          <w:szCs w:val="20"/>
          <w:color w:val="auto"/>
        </w:rPr>
        <w:t>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206" w:lineRule="exact"/>
        <w:rPr>
          <w:sz w:val="20"/>
          <w:szCs w:val="20"/>
          <w:color w:val="auto"/>
        </w:rPr>
      </w:pPr>
    </w:p>
    <w:p>
      <w:pPr>
        <w:ind w:left="7" w:right="340" w:firstLine="706"/>
        <w:spacing w:after="0" w:line="254" w:lineRule="auto"/>
        <w:rPr>
          <w:sz w:val="20"/>
          <w:szCs w:val="20"/>
          <w:color w:val="auto"/>
        </w:rPr>
      </w:pPr>
      <w:r>
        <w:rPr>
          <w:rFonts w:ascii="Arial" w:cs="Arial" w:eastAsia="Arial" w:hAnsi="Arial"/>
          <w:sz w:val="20"/>
          <w:szCs w:val="20"/>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202" w:lineRule="exact"/>
        <w:rPr>
          <w:sz w:val="20"/>
          <w:szCs w:val="20"/>
          <w:color w:val="auto"/>
        </w:rPr>
      </w:pPr>
    </w:p>
    <w:p>
      <w:pPr>
        <w:ind w:left="7" w:right="60" w:firstLine="706"/>
        <w:spacing w:after="0" w:line="264" w:lineRule="auto"/>
        <w:rPr>
          <w:sz w:val="20"/>
          <w:szCs w:val="20"/>
          <w:color w:val="auto"/>
        </w:rPr>
      </w:pPr>
      <w:r>
        <w:rPr>
          <w:rFonts w:ascii="Arial" w:cs="Arial" w:eastAsia="Arial" w:hAnsi="Arial"/>
          <w:sz w:val="19"/>
          <w:szCs w:val="19"/>
          <w:color w:val="auto"/>
        </w:rPr>
        <w:t>In the third quarter of 2023, our Permian JV acquired the remaining 43% interest in OMOG JV Holdings LLC (“OMOG”) and certain gathering assets in the Southern Delaware basin from Rattler Midstream Operating LLC.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94" w:lineRule="exact"/>
        <w:rPr>
          <w:sz w:val="20"/>
          <w:szCs w:val="20"/>
          <w:color w:val="auto"/>
        </w:rPr>
      </w:pPr>
    </w:p>
    <w:p>
      <w:pPr>
        <w:ind w:left="7" w:right="20" w:firstLine="706"/>
        <w:spacing w:after="0" w:line="294" w:lineRule="auto"/>
        <w:rPr>
          <w:sz w:val="20"/>
          <w:szCs w:val="20"/>
          <w:color w:val="auto"/>
        </w:rPr>
      </w:pPr>
      <w:r>
        <w:rPr>
          <w:rFonts w:ascii="Arial" w:cs="Arial" w:eastAsia="Arial" w:hAnsi="Arial"/>
          <w:sz w:val="17"/>
          <w:szCs w:val="17"/>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w:t>
      </w:r>
    </w:p>
    <w:p>
      <w:pPr>
        <w:spacing w:after="0" w:line="2" w:lineRule="exact"/>
        <w:rPr>
          <w:sz w:val="20"/>
          <w:szCs w:val="20"/>
          <w:color w:val="auto"/>
        </w:rPr>
      </w:pPr>
    </w:p>
    <w:p>
      <w:pPr>
        <w:ind w:left="7" w:right="320" w:hanging="7"/>
        <w:spacing w:after="0" w:line="300" w:lineRule="auto"/>
        <w:tabs>
          <w:tab w:leader="none" w:pos="187"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spacing w:after="0" w:line="168" w:lineRule="exact"/>
        <w:rPr>
          <w:sz w:val="20"/>
          <w:szCs w:val="20"/>
          <w:color w:val="auto"/>
        </w:rPr>
      </w:pPr>
    </w:p>
    <w:p>
      <w:pPr>
        <w:ind w:left="7" w:firstLine="706"/>
        <w:spacing w:after="0" w:line="298" w:lineRule="auto"/>
        <w:rPr>
          <w:sz w:val="20"/>
          <w:szCs w:val="20"/>
          <w:color w:val="auto"/>
        </w:rPr>
      </w:pPr>
      <w:r>
        <w:rPr>
          <w:rFonts w:ascii="Arial" w:cs="Arial" w:eastAsia="Arial" w:hAnsi="Arial"/>
          <w:sz w:val="17"/>
          <w:szCs w:val="17"/>
          <w:b w:val="1"/>
          <w:bCs w:val="1"/>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particular transaction, and 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ectPr>
          <w:pgSz w:w="11880" w:h="15480" w:orient="portrait"/>
          <w:cols w:equalWidth="0" w:num="1">
            <w:col w:w="10047"/>
          </w:cols>
          <w:pgMar w:left="913" w:top="575" w:right="920" w:bottom="0" w:gutter="0" w:footer="0" w:header="0"/>
        </w:sectPr>
      </w:pPr>
    </w:p>
    <w:p>
      <w:pPr>
        <w:spacing w:after="0" w:line="30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047"/>
          </w:cols>
          <w:pgMar w:left="913" w:top="575" w:right="920" w:bottom="0" w:gutter="0" w:footer="0" w:header="0"/>
          <w:type w:val="continuous"/>
        </w:sectPr>
      </w:pPr>
    </w:p>
    <w:bookmarkStart w:id="90" w:name="page91"/>
    <w:bookmarkEnd w:id="90"/>
    <w:p>
      <w:pPr>
        <w:ind w:right="240" w:firstLine="706"/>
        <w:spacing w:after="0" w:line="312" w:lineRule="auto"/>
        <w:rPr>
          <w:sz w:val="20"/>
          <w:szCs w:val="20"/>
          <w:color w:val="auto"/>
        </w:rPr>
      </w:pPr>
      <w:r>
        <w:rPr>
          <w:rFonts w:ascii="Arial" w:cs="Arial" w:eastAsia="Arial" w:hAnsi="Arial"/>
          <w:sz w:val="17"/>
          <w:szCs w:val="17"/>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spacing w:after="0" w:line="158" w:lineRule="exact"/>
        <w:rPr>
          <w:sz w:val="20"/>
          <w:szCs w:val="20"/>
          <w:color w:val="auto"/>
        </w:rPr>
      </w:pPr>
    </w:p>
    <w:p>
      <w:pPr>
        <w:ind w:right="20" w:firstLine="706"/>
        <w:spacing w:after="0" w:line="294" w:lineRule="auto"/>
        <w:rPr>
          <w:sz w:val="20"/>
          <w:szCs w:val="20"/>
          <w:color w:val="auto"/>
        </w:rPr>
      </w:pPr>
      <w:r>
        <w:rPr>
          <w:rFonts w:ascii="Arial" w:cs="Arial" w:eastAsia="Arial" w:hAnsi="Arial"/>
          <w:sz w:val="17"/>
          <w:szCs w:val="17"/>
          <w:b w:val="1"/>
          <w:bCs w:val="1"/>
          <w:i w:val="1"/>
          <w:iCs w:val="1"/>
          <w:color w:val="auto"/>
        </w:rPr>
        <w:t xml:space="preserve">Accruals and Contingent Liabilities. </w:t>
      </w:r>
      <w:r>
        <w:rPr>
          <w:rFonts w:ascii="Arial" w:cs="Arial" w:eastAsia="Arial" w:hAnsi="Arial"/>
          <w:sz w:val="17"/>
          <w:szCs w:val="17"/>
          <w:color w:val="auto"/>
        </w:rPr>
        <w:t>We record accruals or liabilities for, among other things, environmental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$13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00" w:lineRule="exact"/>
        <w:rPr>
          <w:sz w:val="20"/>
          <w:szCs w:val="20"/>
          <w:color w:val="auto"/>
        </w:rPr>
      </w:pPr>
    </w:p>
    <w:p>
      <w:pPr>
        <w:spacing w:after="0" w:line="211" w:lineRule="exact"/>
        <w:rPr>
          <w:sz w:val="20"/>
          <w:szCs w:val="20"/>
          <w:color w:val="auto"/>
        </w:rPr>
      </w:pPr>
    </w:p>
    <w:p>
      <w:pPr>
        <w:ind w:right="20" w:firstLine="706"/>
        <w:spacing w:after="0" w:line="301" w:lineRule="auto"/>
        <w:rPr>
          <w:sz w:val="20"/>
          <w:szCs w:val="20"/>
          <w:color w:val="auto"/>
        </w:rPr>
      </w:pPr>
      <w:r>
        <w:rPr>
          <w:rFonts w:ascii="Arial" w:cs="Arial" w:eastAsia="Arial" w:hAnsi="Arial"/>
          <w:sz w:val="17"/>
          <w:szCs w:val="17"/>
          <w:b w:val="1"/>
          <w:bCs w:val="1"/>
          <w:i w:val="1"/>
          <w:iCs w:val="1"/>
          <w:color w:val="auto"/>
        </w:rPr>
        <w:t xml:space="preserve">Property and Equipment, Depreciation and Amortization Expense and Asset Retirement Obligations. </w:t>
      </w:r>
      <w:r>
        <w:rPr>
          <w:rFonts w:ascii="Arial" w:cs="Arial" w:eastAsia="Arial" w:hAnsi="Arial"/>
          <w:sz w:val="17"/>
          <w:szCs w:val="17"/>
          <w:color w:val="auto"/>
        </w:rPr>
        <w:t>We compute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67"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$7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9" w:lineRule="exact"/>
        <w:rPr>
          <w:sz w:val="20"/>
          <w:szCs w:val="20"/>
          <w:color w:val="auto"/>
        </w:rPr>
      </w:pPr>
    </w:p>
    <w:p>
      <w:pPr>
        <w:ind w:right="200" w:firstLine="706"/>
        <w:spacing w:after="0" w:line="258" w:lineRule="auto"/>
        <w:rPr>
          <w:sz w:val="20"/>
          <w:szCs w:val="20"/>
          <w:color w:val="auto"/>
        </w:rPr>
      </w:pPr>
      <w:r>
        <w:rPr>
          <w:rFonts w:ascii="Arial" w:cs="Arial" w:eastAsia="Arial" w:hAnsi="Arial"/>
          <w:sz w:val="20"/>
          <w:szCs w:val="20"/>
          <w:color w:val="auto"/>
        </w:rPr>
        <w:t>See Note 6 and Note 9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97" w:lineRule="exact"/>
        <w:rPr>
          <w:sz w:val="20"/>
          <w:szCs w:val="20"/>
          <w:color w:val="auto"/>
        </w:rPr>
      </w:pPr>
    </w:p>
    <w:p>
      <w:pPr>
        <w:ind w:right="80" w:firstLine="706"/>
        <w:spacing w:after="0" w:line="307" w:lineRule="auto"/>
        <w:rPr>
          <w:sz w:val="20"/>
          <w:szCs w:val="20"/>
          <w:color w:val="auto"/>
        </w:rPr>
      </w:pPr>
      <w:r>
        <w:rPr>
          <w:rFonts w:ascii="Arial" w:cs="Arial" w:eastAsia="Arial" w:hAnsi="Arial"/>
          <w:sz w:val="17"/>
          <w:szCs w:val="17"/>
          <w:b w:val="1"/>
          <w:bCs w:val="1"/>
          <w:i w:val="1"/>
          <w:iCs w:val="1"/>
          <w:color w:val="auto"/>
        </w:rPr>
        <w:t xml:space="preserve">Impairment Assessments of Property and Equipment, Investments in Unconsolidated Entities and Intangible Assets. </w:t>
      </w:r>
      <w:r>
        <w:rPr>
          <w:rFonts w:ascii="Arial" w:cs="Arial" w:eastAsia="Arial" w:hAnsi="Arial"/>
          <w:sz w:val="17"/>
          <w:szCs w:val="17"/>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63" w:lineRule="exact"/>
        <w:rPr>
          <w:sz w:val="20"/>
          <w:szCs w:val="20"/>
          <w:color w:val="auto"/>
        </w:rPr>
      </w:pPr>
    </w:p>
    <w:p>
      <w:pPr>
        <w:ind w:left="1060" w:hanging="362"/>
        <w:spacing w:after="0"/>
        <w:tabs>
          <w:tab w:leader="none" w:pos="10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whether there is an event or circumstance that may be indicative of an impairment;</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grouping of assets;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intention of “holding”, “abandoning” or “selling” an asset;</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forecast of undiscounted expected future cash flow over the asset’s estimated useful life;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if an impairment exists, the fair value of the asset or asset group.</w:t>
      </w:r>
    </w:p>
    <w:p>
      <w:pPr>
        <w:spacing w:after="0" w:line="240" w:lineRule="exact"/>
        <w:rPr>
          <w:sz w:val="20"/>
          <w:szCs w:val="20"/>
          <w:color w:val="auto"/>
        </w:rPr>
      </w:pPr>
    </w:p>
    <w:p>
      <w:pPr>
        <w:ind w:right="320" w:firstLine="706"/>
        <w:spacing w:after="0" w:line="271" w:lineRule="auto"/>
        <w:rPr>
          <w:sz w:val="20"/>
          <w:szCs w:val="20"/>
          <w:color w:val="auto"/>
        </w:rPr>
      </w:pPr>
      <w:r>
        <w:rPr>
          <w:rFonts w:ascii="Arial" w:cs="Arial" w:eastAsia="Arial" w:hAnsi="Arial"/>
          <w:sz w:val="20"/>
          <w:szCs w:val="20"/>
          <w:color w:val="auto"/>
        </w:rPr>
        <w:t>In addition, when we evaluate property and equipment and other long-lived assets for recoverability, it may also be necessary to review related depreciation estimates and methods.</w:t>
      </w:r>
    </w:p>
    <w:p>
      <w:pPr>
        <w:sectPr>
          <w:pgSz w:w="11880" w:h="15480" w:orient="portrait"/>
          <w:cols w:equalWidth="0" w:num="1">
            <w:col w:w="10040"/>
          </w:cols>
          <w:pgMar w:left="920" w:top="817" w:right="920" w:bottom="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040"/>
          </w:cols>
          <w:pgMar w:left="920" w:top="817" w:right="920" w:bottom="0" w:gutter="0" w:footer="0" w:header="0"/>
          <w:type w:val="continuous"/>
        </w:sectPr>
      </w:pPr>
    </w:p>
    <w:bookmarkStart w:id="91" w:name="page92"/>
    <w:bookmarkEnd w:id="91"/>
    <w:p>
      <w:pPr>
        <w:ind w:firstLine="706"/>
        <w:spacing w:after="0" w:line="300" w:lineRule="auto"/>
        <w:rPr>
          <w:sz w:val="20"/>
          <w:szCs w:val="20"/>
          <w:color w:val="auto"/>
        </w:rPr>
      </w:pPr>
      <w:r>
        <w:rPr>
          <w:rFonts w:ascii="Arial" w:cs="Arial" w:eastAsia="Arial" w:hAnsi="Arial"/>
          <w:sz w:val="17"/>
          <w:szCs w:val="17"/>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161" w:lineRule="exact"/>
        <w:rPr>
          <w:sz w:val="20"/>
          <w:szCs w:val="20"/>
          <w:color w:val="auto"/>
        </w:rPr>
      </w:pPr>
    </w:p>
    <w:p>
      <w:pPr>
        <w:ind w:left="1060" w:hanging="362"/>
        <w:spacing w:after="0"/>
        <w:tabs>
          <w:tab w:leader="none" w:pos="10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whether there is an event or circumstance that may be indicative of a decline in value of the investment;</w:t>
      </w:r>
    </w:p>
    <w:p>
      <w:pPr>
        <w:spacing w:after="0" w:line="124" w:lineRule="exact"/>
        <w:rPr>
          <w:rFonts w:ascii="Arial" w:cs="Arial" w:eastAsia="Arial" w:hAnsi="Arial"/>
          <w:sz w:val="19"/>
          <w:szCs w:val="19"/>
          <w:color w:val="auto"/>
        </w:rPr>
      </w:pPr>
    </w:p>
    <w:p>
      <w:pPr>
        <w:ind w:left="1060" w:hanging="362"/>
        <w:spacing w:after="0"/>
        <w:tabs>
          <w:tab w:leader="none" w:pos="10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whether the decline in value is other than temporary;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fair value of the investment.</w:t>
      </w:r>
    </w:p>
    <w:p>
      <w:pPr>
        <w:spacing w:after="0" w:line="240" w:lineRule="exact"/>
        <w:rPr>
          <w:sz w:val="20"/>
          <w:szCs w:val="20"/>
          <w:color w:val="auto"/>
        </w:rPr>
      </w:pPr>
    </w:p>
    <w:p>
      <w:pPr>
        <w:ind w:firstLine="706"/>
        <w:spacing w:after="0" w:line="262" w:lineRule="auto"/>
        <w:rPr>
          <w:sz w:val="20"/>
          <w:szCs w:val="20"/>
          <w:color w:val="auto"/>
        </w:rPr>
      </w:pPr>
      <w:r>
        <w:rPr>
          <w:rFonts w:ascii="Arial" w:cs="Arial" w:eastAsia="Arial" w:hAnsi="Arial"/>
          <w:sz w:val="19"/>
          <w:szCs w:val="19"/>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02" w:lineRule="exact"/>
        <w:rPr>
          <w:sz w:val="20"/>
          <w:szCs w:val="20"/>
          <w:color w:val="auto"/>
        </w:rPr>
      </w:pPr>
    </w:p>
    <w:p>
      <w:pPr>
        <w:ind w:right="580" w:firstLine="706"/>
        <w:spacing w:after="0" w:line="258" w:lineRule="auto"/>
        <w:rPr>
          <w:sz w:val="20"/>
          <w:szCs w:val="20"/>
          <w:color w:val="auto"/>
        </w:rPr>
      </w:pPr>
      <w:r>
        <w:rPr>
          <w:rFonts w:ascii="Arial" w:cs="Arial" w:eastAsia="Arial" w:hAnsi="Arial"/>
          <w:sz w:val="20"/>
          <w:szCs w:val="20"/>
          <w:color w:val="auto"/>
        </w:rPr>
        <w:t>A change in our outlook or use could result in impairments that may be material to our results of operations or financial condition. See “—Executive Summary— Market Overview and Outlook” and Note 6, Note 8 and Note 9 to our Consolidated Financial Statements for additional information.</w:t>
      </w:r>
    </w:p>
    <w:p>
      <w:pPr>
        <w:spacing w:after="0" w:line="197" w:lineRule="exact"/>
        <w:rPr>
          <w:sz w:val="20"/>
          <w:szCs w:val="20"/>
          <w:color w:val="auto"/>
        </w:rPr>
      </w:pPr>
    </w:p>
    <w:p>
      <w:pPr>
        <w:ind w:firstLine="706"/>
        <w:spacing w:after="0" w:line="263" w:lineRule="auto"/>
        <w:rPr>
          <w:sz w:val="20"/>
          <w:szCs w:val="20"/>
          <w:color w:val="auto"/>
        </w:rPr>
      </w:pPr>
      <w:r>
        <w:rPr>
          <w:rFonts w:ascii="Arial" w:cs="Arial" w:eastAsia="Arial" w:hAnsi="Arial"/>
          <w:sz w:val="19"/>
          <w:szCs w:val="19"/>
          <w:b w:val="1"/>
          <w:bCs w:val="1"/>
          <w:i w:val="1"/>
          <w:iCs w:val="1"/>
          <w:color w:val="auto"/>
        </w:rPr>
        <w:t xml:space="preserve">Inventory Valuations. </w:t>
      </w:r>
      <w:r>
        <w:rPr>
          <w:rFonts w:ascii="Arial" w:cs="Arial" w:eastAsia="Arial" w:hAnsi="Arial"/>
          <w:sz w:val="19"/>
          <w:szCs w:val="19"/>
          <w:color w:val="auto"/>
        </w:rPr>
        <w:t>Inventory, including long-term inventory, primarily consists of crude oil and NGL and is valued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2024, 2023 and 2022, we did not record any charges related to the valuation adjustment of our inventory. See Note 5 to our Consolidated Financial Statements for further discussion regarding inventory.</w:t>
      </w:r>
    </w:p>
    <w:p>
      <w:pPr>
        <w:spacing w:after="0" w:line="197" w:lineRule="exact"/>
        <w:rPr>
          <w:sz w:val="20"/>
          <w:szCs w:val="20"/>
          <w:color w:val="auto"/>
        </w:rPr>
      </w:pPr>
    </w:p>
    <w:p>
      <w:pPr>
        <w:ind w:right="180" w:firstLine="706"/>
        <w:spacing w:after="0" w:line="303" w:lineRule="auto"/>
        <w:rPr>
          <w:sz w:val="20"/>
          <w:szCs w:val="20"/>
          <w:color w:val="auto"/>
        </w:rPr>
      </w:pPr>
      <w:r>
        <w:rPr>
          <w:rFonts w:ascii="Arial" w:cs="Arial" w:eastAsia="Arial" w:hAnsi="Arial"/>
          <w:sz w:val="17"/>
          <w:szCs w:val="17"/>
          <w:b w:val="1"/>
          <w:bCs w:val="1"/>
          <w:i w:val="1"/>
          <w:iCs w:val="1"/>
          <w:color w:val="auto"/>
        </w:rPr>
        <w:t xml:space="preserve">Line 901 Incident Insurance Receivable. </w:t>
      </w:r>
      <w:r>
        <w:rPr>
          <w:rFonts w:ascii="Arial" w:cs="Arial" w:eastAsia="Arial" w:hAnsi="Arial"/>
          <w:sz w:val="17"/>
          <w:szCs w:val="17"/>
          <w:color w:val="auto"/>
        </w:rPr>
        <w:t>In May 2015, we experienced a crude oil release from our Las Flores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Gaviota Pipeline (Line 901) in Santa Barbara County, California. As of December 31, 2024, we have estimated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and estimated costs associated with our remaining Line 901 lawsuits and claims, as well as estimates for certain legal fees and statutory interest where applicable.</w:t>
      </w:r>
    </w:p>
    <w:p>
      <w:pPr>
        <w:spacing w:after="0" w:line="167" w:lineRule="exact"/>
        <w:rPr>
          <w:sz w:val="20"/>
          <w:szCs w:val="20"/>
          <w:color w:val="auto"/>
        </w:rPr>
      </w:pPr>
    </w:p>
    <w:p>
      <w:pPr>
        <w:ind w:firstLine="706"/>
        <w:spacing w:after="0" w:line="296" w:lineRule="auto"/>
        <w:rPr>
          <w:sz w:val="20"/>
          <w:szCs w:val="20"/>
          <w:color w:val="auto"/>
        </w:rPr>
      </w:pPr>
      <w:r>
        <w:rPr>
          <w:rFonts w:ascii="Arial" w:cs="Arial" w:eastAsia="Arial" w:hAnsi="Arial"/>
          <w:sz w:val="17"/>
          <w:szCs w:val="17"/>
          <w:color w:val="auto"/>
        </w:rPr>
        <w:t>We maintain insurance coverage, which is subject to certain exclusions and deductibles, in the event of such liabilities. In November 2022, we submitted claims to several of our insurance carriers seeking reimbursement for a payment made in October of 2022 to settle a class action lawsuit stemming from the Line 901 incident. As of December 31, 2023, we had recognized a receivable of approximately $225 million, of which we had classified $175 million as a short-term asset with the remaining $50 million recognized as a long-term asset. As of December 31, 2023, we believed that our claim for reimbursement was probable of recovery despite the ongoing arbitration proceedings. However, at that time we also noted that various factors could impact the timing and amount of recovery of our insurance receivable, including future developments that adversely impacted our assessment of the strength of our coverage claims, the outcome of any dispute resolution proceedings with respect to our coverage claims (including arbitration proceedings) and the extent to which insurers may become insolvent in the future. Due to these factors, we noted that we could not provide complete assurance that actual receivable amounts recovered would not vary significantly from our estimated amounts.</w:t>
      </w:r>
    </w:p>
    <w:p>
      <w:pPr>
        <w:sectPr>
          <w:pgSz w:w="11880" w:h="15480" w:orient="portrait"/>
          <w:cols w:equalWidth="0" w:num="1">
            <w:col w:w="10040"/>
          </w:cols>
          <w:pgMar w:left="920" w:top="81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040"/>
          </w:cols>
          <w:pgMar w:left="920" w:top="817" w:right="920" w:bottom="0" w:gutter="0" w:footer="0" w:header="0"/>
          <w:type w:val="continuous"/>
        </w:sectPr>
      </w:pPr>
    </w:p>
    <w:bookmarkStart w:id="92" w:name="page93"/>
    <w:bookmarkEnd w:id="92"/>
    <w:p>
      <w:pPr>
        <w:ind w:firstLine="706"/>
        <w:spacing w:after="0" w:line="299" w:lineRule="auto"/>
        <w:rPr>
          <w:sz w:val="20"/>
          <w:szCs w:val="20"/>
          <w:color w:val="auto"/>
        </w:rPr>
      </w:pPr>
      <w:r>
        <w:rPr>
          <w:rFonts w:ascii="Arial" w:cs="Arial" w:eastAsia="Arial" w:hAnsi="Arial"/>
          <w:sz w:val="17"/>
          <w:szCs w:val="17"/>
          <w:color w:val="auto"/>
        </w:rPr>
        <w:t>A binding arbitration hearing with respect to our insurance claim against insurers representing $175 million of our total $225 million reimbursement claim concluded in early October 2024, and the arbitration panel’s final and binding decision was returned in January 2025. The panel ruled that a substantial portion of our claims subject to the proceeding were not covered under the applicable policy and therefore we were not entitled to reimbursement of our $175 million claim against the applicable insurers. With respect to our remaining $50 million claim against different insurance carriers, we now regard collection of those claims as being less than “probable.” As a result, we wrote off the entire $225 million receivable in the fourth quarter of 2024 and will recognize any future collections as and if they are received. See Note 18 to our Consolidated Financial Statements for further discussion regarding the Line 901 incident and our related insurance receivable.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48" w:lineRule="exact"/>
        <w:rPr>
          <w:sz w:val="20"/>
          <w:szCs w:val="20"/>
          <w:color w:val="auto"/>
        </w:rPr>
      </w:pPr>
    </w:p>
    <w:p>
      <w:pPr>
        <w:ind w:right="720" w:firstLine="706"/>
        <w:spacing w:after="0" w:line="271" w:lineRule="auto"/>
        <w:rPr>
          <w:sz w:val="20"/>
          <w:szCs w:val="20"/>
          <w:color w:val="auto"/>
        </w:rPr>
      </w:pPr>
      <w:r>
        <w:rPr>
          <w:rFonts w:ascii="Arial" w:cs="Arial" w:eastAsia="Arial" w:hAnsi="Arial"/>
          <w:sz w:val="20"/>
          <w:szCs w:val="20"/>
          <w:color w:val="auto"/>
        </w:rPr>
        <w:t>See Note 2 to our Consolidated Financial Statements for information regarding the effect of recent accounting pronouncements on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8" w:lineRule="exact"/>
        <w:rPr>
          <w:sz w:val="20"/>
          <w:szCs w:val="20"/>
          <w:color w:val="auto"/>
        </w:rPr>
      </w:pPr>
    </w:p>
    <w:p>
      <w:pPr>
        <w:ind w:firstLine="706"/>
        <w:spacing w:after="0" w:line="264" w:lineRule="auto"/>
        <w:rPr>
          <w:sz w:val="20"/>
          <w:szCs w:val="20"/>
          <w:color w:val="auto"/>
        </w:rPr>
      </w:pPr>
      <w:r>
        <w:rPr>
          <w:rFonts w:ascii="Arial" w:cs="Arial" w:eastAsia="Arial" w:hAnsi="Arial"/>
          <w:sz w:val="19"/>
          <w:szCs w:val="19"/>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We use derivative instruments to hedge price risk associated with the following commodities:</w:t>
      </w:r>
    </w:p>
    <w:p>
      <w:pPr>
        <w:spacing w:after="0" w:line="121" w:lineRule="exact"/>
        <w:rPr>
          <w:sz w:val="20"/>
          <w:szCs w:val="20"/>
          <w:color w:val="auto"/>
        </w:rPr>
      </w:pPr>
    </w:p>
    <w:p>
      <w:pPr>
        <w:ind w:left="1060" w:hanging="362"/>
        <w:spacing w:after="0"/>
        <w:tabs>
          <w:tab w:leader="none" w:pos="1060" w:val="left"/>
        </w:tabs>
        <w:numPr>
          <w:ilvl w:val="0"/>
          <w:numId w:val="57"/>
        </w:numPr>
        <w:rPr>
          <w:rFonts w:ascii="Arial" w:cs="Arial" w:eastAsia="Arial" w:hAnsi="Arial"/>
          <w:sz w:val="14"/>
          <w:szCs w:val="14"/>
          <w:b w:val="1"/>
          <w:bCs w:val="1"/>
          <w:i w:val="1"/>
          <w:iCs w:val="1"/>
          <w:color w:val="auto"/>
        </w:rPr>
      </w:pPr>
      <w:r>
        <w:rPr>
          <w:rFonts w:ascii="Arial" w:cs="Arial" w:eastAsia="Arial" w:hAnsi="Arial"/>
          <w:sz w:val="20"/>
          <w:szCs w:val="20"/>
          <w:b w:val="1"/>
          <w:bCs w:val="1"/>
          <w:i w:val="1"/>
          <w:iCs w:val="1"/>
          <w:u w:val="single" w:color="auto"/>
          <w:color w:val="auto"/>
        </w:rPr>
        <w:t>Crude oil</w:t>
      </w:r>
    </w:p>
    <w:p>
      <w:pPr>
        <w:spacing w:after="0" w:line="124" w:lineRule="exact"/>
        <w:rPr>
          <w:rFonts w:ascii="Arial" w:cs="Arial" w:eastAsia="Arial" w:hAnsi="Arial"/>
          <w:sz w:val="14"/>
          <w:szCs w:val="14"/>
          <w:b w:val="1"/>
          <w:bCs w:val="1"/>
          <w:i w:val="1"/>
          <w:iCs w:val="1"/>
          <w:color w:val="auto"/>
        </w:rPr>
      </w:pPr>
    </w:p>
    <w:p>
      <w:pPr>
        <w:ind w:left="1060" w:right="40"/>
        <w:spacing w:after="0" w:line="254" w:lineRule="auto"/>
        <w:rPr>
          <w:rFonts w:ascii="Arial" w:cs="Arial" w:eastAsia="Arial" w:hAnsi="Arial"/>
          <w:sz w:val="14"/>
          <w:szCs w:val="14"/>
          <w:b w:val="1"/>
          <w:bCs w:val="1"/>
          <w:i w:val="1"/>
          <w:iCs w:val="1"/>
          <w:color w:val="auto"/>
        </w:rPr>
      </w:pPr>
      <w:r>
        <w:rPr>
          <w:rFonts w:ascii="Arial" w:cs="Arial" w:eastAsia="Arial" w:hAnsi="Arial"/>
          <w:sz w:val="20"/>
          <w:szCs w:val="20"/>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83" w:lineRule="exact"/>
        <w:rPr>
          <w:rFonts w:ascii="Arial" w:cs="Arial" w:eastAsia="Arial" w:hAnsi="Arial"/>
          <w:sz w:val="14"/>
          <w:szCs w:val="14"/>
          <w:b w:val="1"/>
          <w:bCs w:val="1"/>
          <w:i w:val="1"/>
          <w:iCs w:val="1"/>
          <w:color w:val="auto"/>
        </w:rPr>
      </w:pPr>
    </w:p>
    <w:p>
      <w:pPr>
        <w:ind w:left="1060" w:hanging="362"/>
        <w:spacing w:after="0"/>
        <w:tabs>
          <w:tab w:leader="none" w:pos="1060" w:val="left"/>
        </w:tabs>
        <w:numPr>
          <w:ilvl w:val="0"/>
          <w:numId w:val="57"/>
        </w:numPr>
        <w:rPr>
          <w:rFonts w:ascii="Arial" w:cs="Arial" w:eastAsia="Arial" w:hAnsi="Arial"/>
          <w:sz w:val="14"/>
          <w:szCs w:val="14"/>
          <w:color w:val="auto"/>
        </w:rPr>
      </w:pPr>
      <w:r>
        <w:rPr>
          <w:rFonts w:ascii="Arial" w:cs="Arial" w:eastAsia="Arial" w:hAnsi="Arial"/>
          <w:sz w:val="20"/>
          <w:szCs w:val="20"/>
          <w:b w:val="1"/>
          <w:bCs w:val="1"/>
          <w:i w:val="1"/>
          <w:iCs w:val="1"/>
          <w:u w:val="single" w:color="auto"/>
          <w:color w:val="auto"/>
        </w:rPr>
        <w:t>Natural gas</w:t>
      </w:r>
    </w:p>
    <w:p>
      <w:pPr>
        <w:spacing w:after="0" w:line="124" w:lineRule="exact"/>
        <w:rPr>
          <w:rFonts w:ascii="Arial" w:cs="Arial" w:eastAsia="Arial" w:hAnsi="Arial"/>
          <w:sz w:val="14"/>
          <w:szCs w:val="14"/>
          <w:color w:val="auto"/>
        </w:rPr>
      </w:pPr>
    </w:p>
    <w:p>
      <w:pPr>
        <w:ind w:left="1060" w:right="180"/>
        <w:spacing w:after="0" w:line="312" w:lineRule="auto"/>
        <w:rPr>
          <w:rFonts w:ascii="Arial" w:cs="Arial" w:eastAsia="Arial" w:hAnsi="Arial"/>
          <w:sz w:val="14"/>
          <w:szCs w:val="14"/>
          <w:color w:val="auto"/>
        </w:rPr>
      </w:pPr>
      <w:r>
        <w:rPr>
          <w:rFonts w:ascii="Arial" w:cs="Arial" w:eastAsia="Arial" w:hAnsi="Arial"/>
          <w:sz w:val="17"/>
          <w:szCs w:val="17"/>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40" w:lineRule="exact"/>
        <w:rPr>
          <w:rFonts w:ascii="Arial" w:cs="Arial" w:eastAsia="Arial" w:hAnsi="Arial"/>
          <w:sz w:val="14"/>
          <w:szCs w:val="14"/>
          <w:color w:val="auto"/>
        </w:rPr>
      </w:pPr>
    </w:p>
    <w:p>
      <w:pPr>
        <w:ind w:left="1060" w:hanging="362"/>
        <w:spacing w:after="0"/>
        <w:tabs>
          <w:tab w:leader="none" w:pos="1060" w:val="left"/>
        </w:tabs>
        <w:numPr>
          <w:ilvl w:val="0"/>
          <w:numId w:val="57"/>
        </w:numPr>
        <w:rPr>
          <w:rFonts w:ascii="Arial" w:cs="Arial" w:eastAsia="Arial" w:hAnsi="Arial"/>
          <w:sz w:val="14"/>
          <w:szCs w:val="14"/>
          <w:color w:val="auto"/>
        </w:rPr>
      </w:pPr>
      <w:r>
        <w:rPr>
          <w:rFonts w:ascii="Arial" w:cs="Arial" w:eastAsia="Arial" w:hAnsi="Arial"/>
          <w:sz w:val="20"/>
          <w:szCs w:val="20"/>
          <w:b w:val="1"/>
          <w:bCs w:val="1"/>
          <w:i w:val="1"/>
          <w:iCs w:val="1"/>
          <w:u w:val="single" w:color="auto"/>
          <w:color w:val="auto"/>
        </w:rPr>
        <w:t>NGL and other</w:t>
      </w:r>
    </w:p>
    <w:p>
      <w:pPr>
        <w:spacing w:after="0" w:line="124" w:lineRule="exact"/>
        <w:rPr>
          <w:rFonts w:ascii="Arial" w:cs="Arial" w:eastAsia="Arial" w:hAnsi="Arial"/>
          <w:sz w:val="14"/>
          <w:szCs w:val="14"/>
          <w:color w:val="auto"/>
        </w:rPr>
      </w:pPr>
    </w:p>
    <w:p>
      <w:pPr>
        <w:ind w:left="1060" w:right="120"/>
        <w:spacing w:after="0" w:line="266" w:lineRule="auto"/>
        <w:rPr>
          <w:rFonts w:ascii="Arial" w:cs="Arial" w:eastAsia="Arial" w:hAnsi="Arial"/>
          <w:sz w:val="14"/>
          <w:szCs w:val="14"/>
          <w:color w:val="auto"/>
        </w:rPr>
      </w:pPr>
      <w:r>
        <w:rPr>
          <w:rFonts w:ascii="Arial" w:cs="Arial" w:eastAsia="Arial" w:hAnsi="Arial"/>
          <w:sz w:val="19"/>
          <w:szCs w:val="19"/>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93" w:lineRule="exact"/>
        <w:rPr>
          <w:sz w:val="20"/>
          <w:szCs w:val="20"/>
          <w:color w:val="auto"/>
        </w:rPr>
      </w:pPr>
    </w:p>
    <w:p>
      <w:pPr>
        <w:ind w:right="480" w:firstLine="706"/>
        <w:spacing w:after="0" w:line="271" w:lineRule="auto"/>
        <w:rPr>
          <w:sz w:val="20"/>
          <w:szCs w:val="20"/>
          <w:color w:val="auto"/>
        </w:rPr>
      </w:pPr>
      <w:r>
        <w:rPr>
          <w:rFonts w:ascii="Arial" w:cs="Arial" w:eastAsia="Arial" w:hAnsi="Arial"/>
          <w:sz w:val="20"/>
          <w:szCs w:val="20"/>
          <w:color w:val="auto"/>
        </w:rPr>
        <w:t>See Note 12 to our Consolidated Financial Statements for further discussion regarding our hedging strategies and objectives.</w:t>
      </w:r>
    </w:p>
    <w:p>
      <w:pPr>
        <w:spacing w:after="0" w:line="186" w:lineRule="exact"/>
        <w:rPr>
          <w:sz w:val="20"/>
          <w:szCs w:val="20"/>
          <w:color w:val="auto"/>
        </w:rPr>
      </w:pPr>
    </w:p>
    <w:p>
      <w:pPr>
        <w:ind w:right="520" w:firstLine="706"/>
        <w:spacing w:after="0" w:line="271" w:lineRule="auto"/>
        <w:rPr>
          <w:sz w:val="20"/>
          <w:szCs w:val="20"/>
          <w:color w:val="auto"/>
        </w:rPr>
      </w:pPr>
      <w:r>
        <w:rPr>
          <w:rFonts w:ascii="Arial" w:cs="Arial" w:eastAsia="Arial" w:hAnsi="Arial"/>
          <w:sz w:val="20"/>
          <w:szCs w:val="20"/>
          <w:color w:val="auto"/>
        </w:rPr>
        <w:t>The fair value of our commodity derivatives and the change in fair value as of December 31, 2024 that would be expected from a 10% price increase or decrease is shown in the table below (in millions):</w:t>
      </w:r>
    </w:p>
    <w:p>
      <w:pPr>
        <w:sectPr>
          <w:pgSz w:w="11880" w:h="15480" w:orient="portrait"/>
          <w:cols w:equalWidth="0" w:num="1">
            <w:col w:w="10040"/>
          </w:cols>
          <w:pgMar w:left="920" w:top="58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040"/>
          </w:cols>
          <w:pgMar w:left="920" w:top="582" w:right="920" w:bottom="0" w:gutter="0" w:footer="0" w:header="0"/>
          <w:type w:val="continuous"/>
        </w:sectPr>
      </w:pPr>
    </w:p>
    <w:bookmarkStart w:id="93" w:name="page94"/>
    <w:bookmarkEnd w:id="93"/>
    <w:tbl>
      <w:tblPr>
        <w:tblLayout w:type="fixed"/>
        <w:tblInd w:w="6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6"/>
                <w:szCs w:val="16"/>
                <w:b w:val="1"/>
                <w:bCs w:val="1"/>
                <w:color w:val="auto"/>
                <w:w w:val="99"/>
              </w:rPr>
              <w:t>Fair Value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0"/>
              <w:spacing w:after="0"/>
              <w:rPr>
                <w:sz w:val="20"/>
                <w:szCs w:val="20"/>
                <w:color w:val="auto"/>
              </w:rPr>
            </w:pPr>
            <w:r>
              <w:rPr>
                <w:rFonts w:ascii="Arial" w:cs="Arial" w:eastAsia="Arial" w:hAnsi="Arial"/>
                <w:sz w:val="16"/>
                <w:szCs w:val="16"/>
                <w:b w:val="1"/>
                <w:bCs w:val="1"/>
                <w:color w:val="auto"/>
                <w:w w:val="91"/>
              </w:rPr>
              <w:t>Effect of 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Arial" w:cs="Arial" w:eastAsia="Arial" w:hAnsi="Arial"/>
                <w:sz w:val="16"/>
                <w:szCs w:val="16"/>
                <w:b w:val="1"/>
                <w:bCs w:val="1"/>
                <w:color w:val="auto"/>
                <w:w w:val="91"/>
              </w:rPr>
              <w:t>Effect of 10%</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w w:val="86"/>
              </w:rPr>
              <w:t>Price Increase</w:t>
            </w:r>
          </w:p>
        </w:tc>
        <w:tc>
          <w:tcPr>
            <w:tcW w:w="8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6"/>
                <w:szCs w:val="16"/>
                <w:b w:val="1"/>
                <w:bCs w:val="1"/>
                <w:color w:val="auto"/>
                <w:w w:val="97"/>
              </w:rPr>
              <w:t>Price Decrease</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0"/>
                <w:szCs w:val="20"/>
                <w:color w:val="auto"/>
              </w:rPr>
              <w:t>Crude oil</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4"/>
        </w:trPr>
        <w:tc>
          <w:tcPr>
            <w:tcW w:w="6000" w:type="dxa"/>
            <w:vAlign w:val="bottom"/>
          </w:tcPr>
          <w:p>
            <w:pPr>
              <w:spacing w:after="0"/>
              <w:rPr>
                <w:sz w:val="20"/>
                <w:szCs w:val="20"/>
                <w:color w:val="auto"/>
              </w:rPr>
            </w:pPr>
            <w:r>
              <w:rPr>
                <w:rFonts w:ascii="Arial" w:cs="Arial" w:eastAsia="Arial" w:hAnsi="Arial"/>
                <w:sz w:val="20"/>
                <w:szCs w:val="20"/>
                <w:color w:val="auto"/>
              </w:rPr>
              <w:t>Natural gas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8"/>
        </w:trPr>
        <w:tc>
          <w:tcPr>
            <w:tcW w:w="6000" w:type="dxa"/>
            <w:vAlign w:val="bottom"/>
          </w:tcPr>
          <w:p>
            <w:pPr>
              <w:spacing w:after="0"/>
              <w:rPr>
                <w:sz w:val="20"/>
                <w:szCs w:val="20"/>
                <w:color w:val="auto"/>
              </w:rPr>
            </w:pPr>
            <w:r>
              <w:rPr>
                <w:rFonts w:ascii="Arial" w:cs="Arial" w:eastAsia="Arial" w:hAnsi="Arial"/>
                <w:sz w:val="20"/>
                <w:szCs w:val="20"/>
                <w:color w:val="auto"/>
              </w:rPr>
              <w:t>NGL and 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54"/>
        </w:trPr>
        <w:tc>
          <w:tcPr>
            <w:tcW w:w="6000" w:type="dxa"/>
            <w:vAlign w:val="bottom"/>
          </w:tcPr>
          <w:p>
            <w:pPr>
              <w:spacing w:after="0"/>
              <w:rPr>
                <w:sz w:val="20"/>
                <w:szCs w:val="20"/>
                <w:color w:val="auto"/>
              </w:rPr>
            </w:pPr>
            <w:r>
              <w:rPr>
                <w:rFonts w:ascii="Arial" w:cs="Arial" w:eastAsia="Arial" w:hAnsi="Arial"/>
                <w:sz w:val="20"/>
                <w:szCs w:val="20"/>
                <w:color w:val="auto"/>
              </w:rPr>
              <w:t>Total fair value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-777875</wp:posOffset>
            </wp:positionV>
            <wp:extent cx="6400800" cy="784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extLst>
                        <a:ext uri="{28A0092B-C50C-407E-A947-70E740481C1C}"/>
                      </a:extLst>
                    </a:blip>
                    <a:srcRect/>
                    <a:stretch>
                      <a:fillRect/>
                    </a:stretch>
                  </pic:blipFill>
                  <pic:spPr bwMode="auto">
                    <a:xfrm>
                      <a:off x="0" y="0"/>
                      <a:ext cx="6400800" cy="784860"/>
                    </a:xfrm>
                    <a:prstGeom prst="rect">
                      <a:avLst/>
                    </a:prstGeom>
                    <a:noFill/>
                  </pic:spPr>
                </pic:pic>
              </a:graphicData>
            </a:graphic>
          </wp:anchor>
        </w:drawing>
      </w:r>
    </w:p>
    <w:p>
      <w:pPr>
        <w:spacing w:after="0" w:line="223" w:lineRule="exact"/>
        <w:rPr>
          <w:sz w:val="20"/>
          <w:szCs w:val="20"/>
          <w:color w:val="auto"/>
        </w:rPr>
      </w:pPr>
    </w:p>
    <w:p>
      <w:pPr>
        <w:ind w:right="40" w:firstLine="706"/>
        <w:spacing w:after="0" w:line="266" w:lineRule="auto"/>
        <w:rPr>
          <w:sz w:val="20"/>
          <w:szCs w:val="20"/>
          <w:color w:val="auto"/>
        </w:rPr>
      </w:pPr>
      <w:r>
        <w:rPr>
          <w:rFonts w:ascii="Arial" w:cs="Arial" w:eastAsia="Arial" w:hAnsi="Arial"/>
          <w:sz w:val="19"/>
          <w:szCs w:val="19"/>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46" w:lineRule="exact"/>
        <w:rPr>
          <w:sz w:val="20"/>
          <w:szCs w:val="20"/>
          <w:color w:val="auto"/>
        </w:rPr>
      </w:pPr>
    </w:p>
    <w:p>
      <w:pPr>
        <w:ind w:firstLine="706"/>
        <w:spacing w:after="0" w:line="262" w:lineRule="auto"/>
        <w:rPr>
          <w:sz w:val="20"/>
          <w:szCs w:val="20"/>
          <w:color w:val="auto"/>
        </w:rPr>
      </w:pPr>
      <w:r>
        <w:rPr>
          <w:rFonts w:ascii="Arial" w:cs="Arial" w:eastAsia="Arial" w:hAnsi="Arial"/>
          <w:sz w:val="19"/>
          <w:szCs w:val="19"/>
          <w:b w:val="1"/>
          <w:bCs w:val="1"/>
          <w:i w:val="1"/>
          <w:iCs w:val="1"/>
          <w:color w:val="auto"/>
        </w:rPr>
        <w:t>Debt</w:t>
      </w:r>
      <w:r>
        <w:rPr>
          <w:rFonts w:ascii="Arial" w:cs="Arial" w:eastAsia="Arial" w:hAnsi="Arial"/>
          <w:sz w:val="19"/>
          <w:szCs w:val="19"/>
          <w:color w:val="auto"/>
        </w:rPr>
        <w:t>. Our use of variable rate debt and any forecasted issuances of fixed rate debt expose us to interest rate risk.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2024, approximately $393 million, was subject to interest rate resets that generally occur within one week or less. The average interest rate on variable rate debt that was outstanding during the year ended December 31, 2024 was 5.6%, based upon rates in effect during the year. The fair value of our interest rate derivatives was a net asset of $27 million as of December 31, 2024. A 10% increase in the forward SOFR curve as of December 31, 2024 would have resulted in an increase of $13 million to the fair value of our interest rate derivatives. A 10% decrease in the forward SOFR curve as of December 31, 2024 would have resulted in a decrease of $13 million to the fair value of our interest rate derivatives. See Note 12 to our Consolidated Financial Statements for a discussion of our interest rate risk hedging activities.</w:t>
      </w:r>
    </w:p>
    <w:p>
      <w:pPr>
        <w:spacing w:after="0" w:line="199" w:lineRule="exact"/>
        <w:rPr>
          <w:sz w:val="20"/>
          <w:szCs w:val="20"/>
          <w:color w:val="auto"/>
        </w:rPr>
      </w:pPr>
    </w:p>
    <w:p>
      <w:pPr>
        <w:ind w:firstLine="706"/>
        <w:spacing w:after="0" w:line="293" w:lineRule="auto"/>
        <w:rPr>
          <w:sz w:val="20"/>
          <w:szCs w:val="20"/>
          <w:color w:val="auto"/>
        </w:rPr>
      </w:pPr>
      <w:r>
        <w:rPr>
          <w:rFonts w:ascii="Arial" w:cs="Arial" w:eastAsia="Arial" w:hAnsi="Arial"/>
          <w:sz w:val="17"/>
          <w:szCs w:val="17"/>
          <w:b w:val="1"/>
          <w:bCs w:val="1"/>
          <w:i w:val="1"/>
          <w:iCs w:val="1"/>
          <w:color w:val="auto"/>
        </w:rPr>
        <w:t>Series B Preferred Units</w:t>
      </w:r>
      <w:r>
        <w:rPr>
          <w:rFonts w:ascii="Arial" w:cs="Arial" w:eastAsia="Arial" w:hAnsi="Arial"/>
          <w:sz w:val="17"/>
          <w:szCs w:val="17"/>
          <w:color w:val="auto"/>
        </w:rPr>
        <w:t>. Distributions on PAA’s Series B preferred units accumulate and are payable quarterly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arrears on the 15th day of February, May, August and November. Beginning August 15, 2023, distributions on PAA’s Series B preferred units accumulate based on the applicable three-month SOFR, plus certain adjustments. Based upon the Series B preferred units outstanding at December 31, 2024 and the liquidation preference of $1,000 per unit, a change of 100 basis points in interest rates would increase or decrease the annual distributions on PAA’s Series B preferred units by approximately</w:t>
      </w:r>
    </w:p>
    <w:p>
      <w:pPr>
        <w:spacing w:after="0" w:line="4" w:lineRule="exact"/>
        <w:rPr>
          <w:sz w:val="20"/>
          <w:szCs w:val="20"/>
          <w:color w:val="auto"/>
        </w:rPr>
      </w:pPr>
    </w:p>
    <w:p>
      <w:pPr>
        <w:ind w:right="740"/>
        <w:spacing w:after="0" w:line="250" w:lineRule="auto"/>
        <w:rPr>
          <w:sz w:val="20"/>
          <w:szCs w:val="20"/>
          <w:color w:val="auto"/>
        </w:rPr>
      </w:pPr>
      <w:r>
        <w:rPr>
          <w:rFonts w:ascii="Arial" w:cs="Arial" w:eastAsia="Arial" w:hAnsi="Arial"/>
          <w:sz w:val="20"/>
          <w:szCs w:val="20"/>
          <w:color w:val="auto"/>
        </w:rPr>
        <w:t>$8 million. See Note 11 to our Consolidated Financial Statements for additional information regarding PAA’s Series B preferred unit distributions.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8. </w:t>
      </w:r>
      <w:r>
        <w:rPr>
          <w:rFonts w:ascii="Arial" w:cs="Arial" w:eastAsia="Arial" w:hAnsi="Arial"/>
          <w:sz w:val="20"/>
          <w:szCs w:val="20"/>
          <w:b w:val="1"/>
          <w:bCs w:val="1"/>
          <w:i w:val="1"/>
          <w:iCs w:val="1"/>
          <w:color w:val="auto"/>
        </w:rPr>
        <w:t>Financial Statements and Supplementary Data</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See “Index to the Consolidated Financial Statements” on page F-1.</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Disclosure Controls and Procedures</w:t>
      </w:r>
    </w:p>
    <w:p>
      <w:pPr>
        <w:spacing w:after="0" w:line="248" w:lineRule="exact"/>
        <w:rPr>
          <w:sz w:val="20"/>
          <w:szCs w:val="20"/>
          <w:color w:val="auto"/>
        </w:rPr>
      </w:pPr>
    </w:p>
    <w:p>
      <w:pPr>
        <w:ind w:right="180" w:firstLine="706"/>
        <w:spacing w:after="0" w:line="268" w:lineRule="auto"/>
        <w:rPr>
          <w:sz w:val="20"/>
          <w:szCs w:val="20"/>
          <w:color w:val="auto"/>
        </w:rPr>
      </w:pPr>
      <w:r>
        <w:rPr>
          <w:rFonts w:ascii="Arial" w:cs="Arial" w:eastAsia="Arial" w:hAnsi="Arial"/>
          <w:sz w:val="19"/>
          <w:szCs w:val="19"/>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ectPr>
          <w:pgSz w:w="11880" w:h="15480" w:orient="portrait"/>
          <w:cols w:equalWidth="0" w:num="1">
            <w:col w:w="10040"/>
          </w:cols>
          <w:pgMar w:left="920" w:top="65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040"/>
          </w:cols>
          <w:pgMar w:left="920" w:top="651" w:right="920" w:bottom="0" w:gutter="0" w:footer="0" w:header="0"/>
          <w:type w:val="continuous"/>
        </w:sectPr>
      </w:pPr>
    </w:p>
    <w:bookmarkStart w:id="94" w:name="page95"/>
    <w:bookmarkEnd w:id="94"/>
    <w:p>
      <w:pPr>
        <w:ind w:firstLine="706"/>
        <w:spacing w:after="0" w:line="271" w:lineRule="auto"/>
        <w:rPr>
          <w:sz w:val="20"/>
          <w:szCs w:val="20"/>
          <w:color w:val="auto"/>
        </w:rPr>
      </w:pPr>
      <w:r>
        <w:rPr>
          <w:rFonts w:ascii="Arial" w:cs="Arial" w:eastAsia="Arial" w:hAnsi="Arial"/>
          <w:sz w:val="19"/>
          <w:szCs w:val="19"/>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2024, the end of the period covered by this report, and, based on such evaluation, our Chief Executive Officer and Chief Financial Officer have concluded that our DCP is effective.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Internal Control over Financial Reporting</w:t>
      </w:r>
    </w:p>
    <w:p>
      <w:pPr>
        <w:spacing w:after="0" w:line="248" w:lineRule="exact"/>
        <w:rPr>
          <w:sz w:val="20"/>
          <w:szCs w:val="20"/>
          <w:color w:val="auto"/>
        </w:rPr>
      </w:pPr>
    </w:p>
    <w:p>
      <w:pPr>
        <w:ind w:right="100" w:firstLine="706"/>
        <w:spacing w:after="0" w:line="30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2024. See “Management’s Report on Internal Control Over Financial Reporting” on page F-2 of our Consolidated Financial Statements.</w:t>
      </w:r>
    </w:p>
    <w:p>
      <w:pPr>
        <w:spacing w:after="0" w:line="171" w:lineRule="exact"/>
        <w:rPr>
          <w:sz w:val="20"/>
          <w:szCs w:val="20"/>
          <w:color w:val="auto"/>
        </w:rPr>
      </w:pPr>
    </w:p>
    <w:p>
      <w:pPr>
        <w:ind w:right="260" w:firstLine="706"/>
        <w:spacing w:after="0" w:line="258" w:lineRule="auto"/>
        <w:rPr>
          <w:sz w:val="20"/>
          <w:szCs w:val="20"/>
          <w:color w:val="auto"/>
        </w:rPr>
      </w:pPr>
      <w:r>
        <w:rPr>
          <w:rFonts w:ascii="Arial" w:cs="Arial" w:eastAsia="Arial" w:hAnsi="Arial"/>
          <w:sz w:val="20"/>
          <w:szCs w:val="20"/>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248" w:lineRule="exact"/>
        <w:rPr>
          <w:sz w:val="20"/>
          <w:szCs w:val="20"/>
          <w:color w:val="auto"/>
        </w:rPr>
      </w:pPr>
    </w:p>
    <w:p>
      <w:pPr>
        <w:ind w:right="20" w:firstLine="706"/>
        <w:spacing w:after="0" w:line="298" w:lineRule="auto"/>
        <w:rPr>
          <w:sz w:val="20"/>
          <w:szCs w:val="20"/>
          <w:color w:val="auto"/>
        </w:rPr>
      </w:pPr>
      <w:r>
        <w:rPr>
          <w:rFonts w:ascii="Arial" w:cs="Arial" w:eastAsia="Arial" w:hAnsi="Arial"/>
          <w:sz w:val="19"/>
          <w:szCs w:val="19"/>
          <w:color w:val="auto"/>
        </w:rPr>
        <w:t>There have been no changes in our internal control over financial reporting during the fourth quarter of 2024 that have materially affected, or are reasonably likely to materially affect, our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Certifications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The certifications of our Chief Executive Officer and Chief Financial Officer pursuant to Exchange Act</w:t>
      </w:r>
    </w:p>
    <w:p>
      <w:pPr>
        <w:spacing w:after="0" w:line="25" w:lineRule="exact"/>
        <w:rPr>
          <w:sz w:val="20"/>
          <w:szCs w:val="20"/>
          <w:color w:val="auto"/>
        </w:rPr>
      </w:pPr>
    </w:p>
    <w:p>
      <w:pPr>
        <w:ind w:right="320"/>
        <w:spacing w:after="0" w:line="337" w:lineRule="auto"/>
        <w:rPr>
          <w:sz w:val="20"/>
          <w:szCs w:val="20"/>
          <w:color w:val="auto"/>
        </w:rPr>
      </w:pPr>
      <w:r>
        <w:rPr>
          <w:rFonts w:ascii="Arial" w:cs="Arial" w:eastAsia="Arial" w:hAnsi="Arial"/>
          <w:sz w:val="17"/>
          <w:szCs w:val="17"/>
          <w:color w:val="auto"/>
        </w:rPr>
        <w:t>Rules 13a-14(a) and 15d-14(a) are filed with this report as Exhibits 31.1 and 31.2. The certifications of our Chief Executive Officer and Chief Financial Officer pursuant to 18 U.S.C. 1350 are furnished with this report as Exhibits 32.1 and 32.2.</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9B. </w:t>
      </w:r>
      <w:r>
        <w:rPr>
          <w:rFonts w:ascii="Arial" w:cs="Arial" w:eastAsia="Arial" w:hAnsi="Arial"/>
          <w:sz w:val="20"/>
          <w:szCs w:val="20"/>
          <w:b w:val="1"/>
          <w:bCs w:val="1"/>
          <w:i w:val="1"/>
          <w:iCs w:val="1"/>
          <w:color w:val="auto"/>
        </w:rPr>
        <w:t>Other Information</w:t>
      </w:r>
    </w:p>
    <w:p>
      <w:pPr>
        <w:spacing w:after="0" w:line="248" w:lineRule="exact"/>
        <w:rPr>
          <w:sz w:val="20"/>
          <w:szCs w:val="20"/>
          <w:color w:val="auto"/>
        </w:rPr>
      </w:pPr>
    </w:p>
    <w:p>
      <w:pPr>
        <w:ind w:right="440" w:firstLine="706"/>
        <w:spacing w:after="0" w:line="258" w:lineRule="auto"/>
        <w:rPr>
          <w:sz w:val="20"/>
          <w:szCs w:val="20"/>
          <w:color w:val="auto"/>
        </w:rPr>
      </w:pPr>
      <w:r>
        <w:rPr>
          <w:rFonts w:ascii="Arial" w:cs="Arial" w:eastAsia="Arial" w:hAnsi="Arial"/>
          <w:sz w:val="20"/>
          <w:szCs w:val="20"/>
          <w:color w:val="auto"/>
        </w:rPr>
        <w:t>During the quarter ended December 31, 2024,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9C. </w:t>
      </w:r>
      <w:r>
        <w:rPr>
          <w:rFonts w:ascii="Arial" w:cs="Arial" w:eastAsia="Arial" w:hAnsi="Arial"/>
          <w:sz w:val="20"/>
          <w:szCs w:val="20"/>
          <w:b w:val="1"/>
          <w:bCs w:val="1"/>
          <w:i w:val="1"/>
          <w:iCs w:val="1"/>
          <w:color w:val="auto"/>
        </w:rPr>
        <w:t>Disclosure Regarding Foreign Jurisdictions that Prevent Inspections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00"/>
          </w:cols>
          <w:pgMar w:left="920" w:top="58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000"/>
          </w:cols>
          <w:pgMar w:left="920" w:top="582" w:right="960" w:bottom="0" w:gutter="0" w:footer="0" w:header="0"/>
          <w:type w:val="continuous"/>
        </w:sectPr>
      </w:pPr>
    </w:p>
    <w:bookmarkStart w:id="95" w:name="page96"/>
    <w:bookmarkEnd w:id="95"/>
    <w:p>
      <w:pPr>
        <w:jc w:val="center"/>
        <w:ind w:right="-59"/>
        <w:spacing w:after="0"/>
        <w:rPr>
          <w:sz w:val="20"/>
          <w:szCs w:val="20"/>
          <w:color w:val="auto"/>
        </w:rPr>
      </w:pPr>
      <w:r>
        <w:rPr>
          <w:rFonts w:ascii="Arial" w:cs="Arial" w:eastAsia="Arial" w:hAnsi="Arial"/>
          <w:sz w:val="20"/>
          <w:szCs w:val="20"/>
          <w:b w:val="1"/>
          <w:bCs w:val="1"/>
          <w:color w:val="auto"/>
        </w:rPr>
        <w:t>PART III</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Item 10. </w:t>
      </w:r>
      <w:r>
        <w:rPr>
          <w:rFonts w:ascii="Arial" w:cs="Arial" w:eastAsia="Arial" w:hAnsi="Arial"/>
          <w:sz w:val="20"/>
          <w:szCs w:val="20"/>
          <w:b w:val="1"/>
          <w:bCs w:val="1"/>
          <w:i w:val="1"/>
          <w:iCs w:val="1"/>
          <w:color w:val="auto"/>
        </w:rPr>
        <w:t>Directors and Executive Officers of Our General Partner and Corporate Governance</w:t>
      </w:r>
    </w:p>
    <w:p>
      <w:pPr>
        <w:spacing w:after="0" w:line="248" w:lineRule="exact"/>
        <w:rPr>
          <w:sz w:val="20"/>
          <w:szCs w:val="20"/>
          <w:color w:val="auto"/>
        </w:rPr>
      </w:pPr>
    </w:p>
    <w:p>
      <w:pPr>
        <w:ind w:left="40" w:right="60" w:firstLine="706"/>
        <w:spacing w:after="0" w:line="258" w:lineRule="auto"/>
        <w:rPr>
          <w:sz w:val="20"/>
          <w:szCs w:val="20"/>
          <w:color w:val="auto"/>
        </w:rPr>
      </w:pPr>
      <w:r>
        <w:rPr>
          <w:rFonts w:ascii="Arial" w:cs="Arial" w:eastAsia="Arial" w:hAnsi="Arial"/>
          <w:sz w:val="20"/>
          <w:szCs w:val="20"/>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Directors and Executive Officers</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As of the date of filing this report, the following individuals were serving as our executive officers and/or directors: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8"/>
                <w:szCs w:val="18"/>
                <w:color w:val="auto"/>
              </w:rPr>
            </w:pPr>
          </w:p>
        </w:tc>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Principal Occupation or Employment</w:t>
            </w:r>
          </w:p>
        </w:tc>
      </w:tr>
      <w:tr>
        <w:trPr>
          <w:trHeight w:val="284"/>
        </w:trPr>
        <w:tc>
          <w:tcPr>
            <w:tcW w:w="2240" w:type="dxa"/>
            <w:vAlign w:val="bottom"/>
          </w:tcPr>
          <w:p>
            <w:pPr>
              <w:ind w:left="40"/>
              <w:spacing w:after="0" w:line="284" w:lineRule="exact"/>
              <w:rPr>
                <w:sz w:val="20"/>
                <w:szCs w:val="20"/>
                <w:color w:val="auto"/>
              </w:rPr>
            </w:pPr>
            <w:r>
              <w:rPr>
                <w:rFonts w:ascii="Arial" w:cs="Arial" w:eastAsia="Arial" w:hAnsi="Arial"/>
                <w:sz w:val="20"/>
                <w:szCs w:val="20"/>
                <w:color w:val="auto"/>
              </w:rPr>
              <w:t xml:space="preserve">Willie Chiang </w:t>
            </w:r>
            <w:r>
              <w:rPr>
                <w:rFonts w:ascii="Arial" w:cs="Arial" w:eastAsia="Arial" w:hAnsi="Arial"/>
                <w:sz w:val="25"/>
                <w:szCs w:val="25"/>
                <w:color w:val="auto"/>
                <w:vertAlign w:val="superscript"/>
              </w:rPr>
              <w:t>(1)(2)</w:t>
            </w:r>
          </w:p>
        </w:tc>
        <w:tc>
          <w:tcPr>
            <w:tcW w:w="80" w:type="dxa"/>
            <w:vAlign w:val="bottom"/>
          </w:tcPr>
          <w:p>
            <w:pPr>
              <w:spacing w:after="0"/>
              <w:rPr>
                <w:sz w:val="24"/>
                <w:szCs w:val="24"/>
                <w:color w:val="auto"/>
              </w:rPr>
            </w:pPr>
          </w:p>
        </w:tc>
        <w:tc>
          <w:tcPr>
            <w:tcW w:w="772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Chairman of the Board and Chief Executive Officer</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Harry N. Pefanis </w:t>
            </w:r>
            <w:r>
              <w:rPr>
                <w:rFonts w:ascii="Arial" w:cs="Arial" w:eastAsia="Arial" w:hAnsi="Arial"/>
                <w:sz w:val="25"/>
                <w:szCs w:val="25"/>
                <w:color w:val="auto"/>
                <w:vertAlign w:val="superscript"/>
              </w:rPr>
              <w:t>(1)(2)</w:t>
            </w:r>
          </w:p>
        </w:tc>
        <w:tc>
          <w:tcPr>
            <w:tcW w:w="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20"/>
                <w:szCs w:val="20"/>
                <w:color w:val="auto"/>
              </w:rPr>
              <w:t>President and Director</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Chris R. Chandler </w:t>
            </w:r>
            <w:r>
              <w:rPr>
                <w:rFonts w:ascii="Arial" w:cs="Arial" w:eastAsia="Arial" w:hAnsi="Arial"/>
                <w:sz w:val="25"/>
                <w:szCs w:val="25"/>
                <w:color w:val="auto"/>
                <w:vertAlign w:val="superscript"/>
              </w:rPr>
              <w:t>(1)</w:t>
            </w:r>
          </w:p>
        </w:tc>
        <w:tc>
          <w:tcPr>
            <w:tcW w:w="80" w:type="dxa"/>
            <w:vAlign w:val="bottom"/>
          </w:tcPr>
          <w:p>
            <w:pPr>
              <w:spacing w:after="0"/>
              <w:rPr>
                <w:sz w:val="24"/>
                <w:szCs w:val="24"/>
                <w:color w:val="auto"/>
              </w:rPr>
            </w:pPr>
          </w:p>
        </w:tc>
        <w:tc>
          <w:tcPr>
            <w:tcW w:w="772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Executive Vice President and Chief Operating Officer</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Al Swanson </w:t>
            </w:r>
            <w:r>
              <w:rPr>
                <w:rFonts w:ascii="Arial" w:cs="Arial" w:eastAsia="Arial" w:hAnsi="Arial"/>
                <w:sz w:val="25"/>
                <w:szCs w:val="25"/>
                <w:color w:val="auto"/>
                <w:vertAlign w:val="superscript"/>
              </w:rPr>
              <w:t>(1)</w:t>
            </w:r>
          </w:p>
        </w:tc>
        <w:tc>
          <w:tcPr>
            <w:tcW w:w="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20"/>
                <w:szCs w:val="20"/>
                <w:color w:val="auto"/>
              </w:rPr>
              <w:t>Executive Vice President and Chief Financial Officer</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Jeremy L. Goebel </w:t>
            </w:r>
            <w:r>
              <w:rPr>
                <w:rFonts w:ascii="Arial" w:cs="Arial" w:eastAsia="Arial" w:hAnsi="Arial"/>
                <w:sz w:val="25"/>
                <w:szCs w:val="25"/>
                <w:color w:val="auto"/>
                <w:vertAlign w:val="superscript"/>
              </w:rPr>
              <w:t>(1)</w:t>
            </w:r>
          </w:p>
        </w:tc>
        <w:tc>
          <w:tcPr>
            <w:tcW w:w="80" w:type="dxa"/>
            <w:vAlign w:val="bottom"/>
          </w:tcPr>
          <w:p>
            <w:pPr>
              <w:spacing w:after="0"/>
              <w:rPr>
                <w:sz w:val="24"/>
                <w:szCs w:val="24"/>
                <w:color w:val="auto"/>
              </w:rPr>
            </w:pPr>
          </w:p>
        </w:tc>
        <w:tc>
          <w:tcPr>
            <w:tcW w:w="772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Executive Vice President and Chief Commercial Officer</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Richard K. McGee </w:t>
            </w:r>
            <w:r>
              <w:rPr>
                <w:rFonts w:ascii="Arial" w:cs="Arial" w:eastAsia="Arial" w:hAnsi="Arial"/>
                <w:sz w:val="25"/>
                <w:szCs w:val="25"/>
                <w:color w:val="auto"/>
                <w:vertAlign w:val="superscript"/>
              </w:rPr>
              <w:t>(1)</w:t>
            </w:r>
          </w:p>
        </w:tc>
        <w:tc>
          <w:tcPr>
            <w:tcW w:w="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20"/>
                <w:szCs w:val="20"/>
                <w:color w:val="auto"/>
              </w:rPr>
              <w:t>Executive Vice President, General Counsel and Secretary</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Chris Herbold </w:t>
            </w:r>
            <w:r>
              <w:rPr>
                <w:rFonts w:ascii="Arial" w:cs="Arial" w:eastAsia="Arial" w:hAnsi="Arial"/>
                <w:sz w:val="25"/>
                <w:szCs w:val="25"/>
                <w:color w:val="auto"/>
                <w:vertAlign w:val="superscript"/>
              </w:rPr>
              <w:t>(1)</w:t>
            </w:r>
          </w:p>
        </w:tc>
        <w:tc>
          <w:tcPr>
            <w:tcW w:w="80" w:type="dxa"/>
            <w:vAlign w:val="bottom"/>
          </w:tcPr>
          <w:p>
            <w:pPr>
              <w:spacing w:after="0"/>
              <w:rPr>
                <w:sz w:val="24"/>
                <w:szCs w:val="24"/>
                <w:color w:val="auto"/>
              </w:rPr>
            </w:pPr>
          </w:p>
        </w:tc>
        <w:tc>
          <w:tcPr>
            <w:tcW w:w="772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Senior Vice President, Finance and Chief Accounting Officer</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Greg L. Armstrong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20"/>
                <w:szCs w:val="20"/>
                <w:color w:val="auto"/>
                <w:w w:val="94"/>
              </w:rPr>
              <w:t>Senior Advisor to the Chief Executive Officer (former Chairman and Chief Executive Officer)</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Victor Burk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Former Senior Advisor, Alvarez and Marsal</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Ellen R. DeSanctis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20"/>
                <w:szCs w:val="20"/>
                <w:color w:val="auto"/>
              </w:rPr>
              <w:t>Former Senior Vice President, ConocoPhillips</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Kevin McCarthy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Former Vice Chairman, Kayne Anderson Capital Advisors, L.P.</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Gary R. Petersen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20"/>
                <w:szCs w:val="20"/>
                <w:color w:val="auto"/>
              </w:rPr>
              <w:t>Managing Partner, EnCap Investments L.P.</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Alexandra D. Pruner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Senior Advisor, Perella Weinberg Partners</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John T. Raymond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20"/>
                <w:szCs w:val="20"/>
                <w:color w:val="auto"/>
              </w:rPr>
              <w:t>Managing Partner and Chief Executive Officer, The Energy &amp; Minerals Group</w:t>
            </w:r>
          </w:p>
        </w:tc>
      </w:tr>
      <w:tr>
        <w:trPr>
          <w:trHeight w:val="294"/>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Bobby S. Shackouls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Borders>
              <w:right w:val="single" w:sz="8" w:color="E6E6E6"/>
            </w:tcBorders>
          </w:tcPr>
          <w:p>
            <w:pPr>
              <w:ind w:left="40"/>
              <w:spacing w:after="0"/>
              <w:rPr>
                <w:sz w:val="20"/>
                <w:szCs w:val="20"/>
                <w:color w:val="auto"/>
              </w:rPr>
            </w:pPr>
            <w:r>
              <w:rPr>
                <w:rFonts w:ascii="Arial" w:cs="Arial" w:eastAsia="Arial" w:hAnsi="Arial"/>
                <w:sz w:val="20"/>
                <w:szCs w:val="20"/>
                <w:color w:val="auto"/>
              </w:rPr>
              <w:t>Former Chairman and CEO, Burlington Resources Inc.</w:t>
            </w:r>
          </w:p>
        </w:tc>
      </w:tr>
      <w:tr>
        <w:trPr>
          <w:trHeight w:val="343"/>
        </w:trPr>
        <w:tc>
          <w:tcPr>
            <w:tcW w:w="2240" w:type="dxa"/>
            <w:vAlign w:val="bottom"/>
          </w:tcPr>
          <w:p>
            <w:pPr>
              <w:ind w:left="40"/>
              <w:spacing w:after="0"/>
              <w:rPr>
                <w:sz w:val="20"/>
                <w:szCs w:val="20"/>
                <w:color w:val="auto"/>
              </w:rPr>
            </w:pPr>
            <w:r>
              <w:rPr>
                <w:rFonts w:ascii="Arial" w:cs="Arial" w:eastAsia="Arial" w:hAnsi="Arial"/>
                <w:sz w:val="20"/>
                <w:szCs w:val="20"/>
                <w:color w:val="auto"/>
              </w:rPr>
              <w:t xml:space="preserve">Lawrence M. Ziemba </w:t>
            </w:r>
            <w:r>
              <w:rPr>
                <w:rFonts w:ascii="Arial" w:cs="Arial" w:eastAsia="Arial" w:hAnsi="Arial"/>
                <w:sz w:val="25"/>
                <w:szCs w:val="25"/>
                <w:color w:val="auto"/>
                <w:vertAlign w:val="superscript"/>
              </w:rPr>
              <w:t>(2)</w:t>
            </w:r>
          </w:p>
        </w:tc>
        <w:tc>
          <w:tcPr>
            <w:tcW w:w="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20"/>
                <w:szCs w:val="20"/>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-3030220</wp:posOffset>
            </wp:positionV>
            <wp:extent cx="6391275" cy="3239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extLst>
                        <a:ext uri="{28A0092B-C50C-407E-A947-70E740481C1C}"/>
                      </a:extLst>
                    </a:blip>
                    <a:srcRect/>
                    <a:stretch>
                      <a:fillRect/>
                    </a:stretch>
                  </pic:blipFill>
                  <pic:spPr bwMode="auto">
                    <a:xfrm>
                      <a:off x="0" y="0"/>
                      <a:ext cx="6391275" cy="3239135"/>
                    </a:xfrm>
                    <a:prstGeom prst="rect">
                      <a:avLst/>
                    </a:prstGeom>
                    <a:noFill/>
                  </pic:spPr>
                </pic:pic>
              </a:graphicData>
            </a:graphic>
          </wp:anchor>
        </w:drawing>
      </w:r>
    </w:p>
    <w:p>
      <w:pPr>
        <w:sectPr>
          <w:pgSz w:w="11880" w:h="15480" w:orient="portrait"/>
          <w:cols w:equalWidth="0" w:num="1">
            <w:col w:w="10060"/>
          </w:cols>
          <w:pgMar w:left="880" w:top="575" w:right="940" w:bottom="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 (for purposes of Item 401(b) of Regulation S-K)</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ectPr>
          <w:pgSz w:w="11880" w:h="15480" w:orient="portrait"/>
          <w:cols w:equalWidth="0" w:num="2">
            <w:col w:w="140" w:space="600"/>
            <w:col w:w="9320"/>
          </w:cols>
          <w:pgMar w:left="880" w:top="575" w:right="940" w:bottom="0" w:gutter="0" w:footer="0" w:header="0"/>
          <w:type w:val="continuous"/>
        </w:sectPr>
      </w:pPr>
    </w:p>
    <w:p>
      <w:pPr>
        <w:spacing w:after="0" w:line="21" w:lineRule="exact"/>
        <w:rPr>
          <w:sz w:val="20"/>
          <w:szCs w:val="20"/>
          <w:color w:val="auto"/>
        </w:rPr>
      </w:pPr>
    </w:p>
    <w:p>
      <w:pPr>
        <w:ind w:left="40" w:right="1020" w:firstLine="706"/>
        <w:spacing w:after="0" w:line="271" w:lineRule="auto"/>
        <w:rPr>
          <w:sz w:val="20"/>
          <w:szCs w:val="20"/>
          <w:color w:val="auto"/>
        </w:rPr>
      </w:pPr>
      <w:r>
        <w:rPr>
          <w:rFonts w:ascii="Arial" w:cs="Arial" w:eastAsia="Arial" w:hAnsi="Arial"/>
          <w:sz w:val="20"/>
          <w:szCs w:val="20"/>
          <w:color w:val="auto"/>
        </w:rPr>
        <w:t xml:space="preserve">A complete list of our officers, including the executive officers listed above, is available on our website at </w:t>
      </w:r>
      <w:r>
        <w:rPr>
          <w:rFonts w:ascii="Arial" w:cs="Arial" w:eastAsia="Arial" w:hAnsi="Arial"/>
          <w:sz w:val="20"/>
          <w:szCs w:val="20"/>
          <w:b w:val="1"/>
          <w:bCs w:val="1"/>
          <w:i w:val="1"/>
          <w:iCs w:val="1"/>
          <w:color w:val="auto"/>
        </w:rPr>
        <w:t xml:space="preserve">www.plains.com </w:t>
      </w:r>
      <w:r>
        <w:rPr>
          <w:rFonts w:ascii="Arial" w:cs="Arial" w:eastAsia="Arial" w:hAnsi="Arial"/>
          <w:sz w:val="20"/>
          <w:szCs w:val="20"/>
          <w:color w:val="auto"/>
        </w:rPr>
        <w:t>under Who We Are—Leadership.</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Item 11. </w:t>
      </w:r>
      <w:r>
        <w:rPr>
          <w:rFonts w:ascii="Arial" w:cs="Arial" w:eastAsia="Arial" w:hAnsi="Arial"/>
          <w:sz w:val="20"/>
          <w:szCs w:val="20"/>
          <w:b w:val="1"/>
          <w:bCs w:val="1"/>
          <w:i w:val="1"/>
          <w:iCs w:val="1"/>
          <w:color w:val="auto"/>
        </w:rPr>
        <w:t>Executive Compensation</w:t>
      </w:r>
    </w:p>
    <w:p>
      <w:pPr>
        <w:spacing w:after="0" w:line="208" w:lineRule="exact"/>
        <w:rPr>
          <w:sz w:val="20"/>
          <w:szCs w:val="20"/>
          <w:color w:val="auto"/>
        </w:rPr>
      </w:pPr>
    </w:p>
    <w:p>
      <w:pPr>
        <w:ind w:left="40" w:right="60" w:firstLine="706"/>
        <w:spacing w:after="0" w:line="258" w:lineRule="auto"/>
        <w:rPr>
          <w:sz w:val="20"/>
          <w:szCs w:val="20"/>
          <w:color w:val="auto"/>
        </w:rPr>
      </w:pPr>
      <w:r>
        <w:rPr>
          <w:rFonts w:ascii="Arial" w:cs="Arial" w:eastAsia="Arial" w:hAnsi="Arial"/>
          <w:sz w:val="20"/>
          <w:szCs w:val="20"/>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Item 12. </w:t>
      </w:r>
      <w:r>
        <w:rPr>
          <w:rFonts w:ascii="Arial" w:cs="Arial" w:eastAsia="Arial" w:hAnsi="Arial"/>
          <w:sz w:val="19"/>
          <w:szCs w:val="19"/>
          <w:b w:val="1"/>
          <w:bCs w:val="1"/>
          <w:i w:val="1"/>
          <w:iCs w:val="1"/>
          <w:color w:val="auto"/>
        </w:rPr>
        <w:t>Security Ownership of Certain Beneficial Owners and Management and Related Shareholder Matters</w:t>
      </w:r>
    </w:p>
    <w:p>
      <w:pPr>
        <w:spacing w:after="0" w:line="220" w:lineRule="exact"/>
        <w:rPr>
          <w:sz w:val="20"/>
          <w:szCs w:val="20"/>
          <w:color w:val="auto"/>
        </w:rPr>
      </w:pPr>
    </w:p>
    <w:p>
      <w:pPr>
        <w:ind w:left="40" w:right="60" w:firstLine="706"/>
        <w:spacing w:after="0" w:line="258" w:lineRule="auto"/>
        <w:rPr>
          <w:sz w:val="20"/>
          <w:szCs w:val="20"/>
          <w:color w:val="auto"/>
        </w:rPr>
      </w:pPr>
      <w:r>
        <w:rPr>
          <w:rFonts w:ascii="Arial" w:cs="Arial" w:eastAsia="Arial" w:hAnsi="Arial"/>
          <w:sz w:val="20"/>
          <w:szCs w:val="20"/>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ectPr>
          <w:pgSz w:w="11880" w:h="15480" w:orient="portrait"/>
          <w:cols w:equalWidth="0" w:num="1">
            <w:col w:w="10060"/>
          </w:cols>
          <w:pgMar w:left="880" w:top="575"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060"/>
          </w:cols>
          <w:pgMar w:left="880" w:top="575" w:right="940" w:bottom="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248" w:lineRule="exact"/>
        <w:rPr>
          <w:sz w:val="20"/>
          <w:szCs w:val="20"/>
          <w:color w:val="auto"/>
        </w:rPr>
      </w:pPr>
    </w:p>
    <w:p>
      <w:pPr>
        <w:ind w:firstLine="706"/>
        <w:spacing w:after="0" w:line="258" w:lineRule="auto"/>
        <w:rPr>
          <w:sz w:val="20"/>
          <w:szCs w:val="20"/>
          <w:color w:val="auto"/>
        </w:rPr>
      </w:pPr>
      <w:r>
        <w:rPr>
          <w:rFonts w:ascii="Arial" w:cs="Arial" w:eastAsia="Arial" w:hAnsi="Arial"/>
          <w:sz w:val="20"/>
          <w:szCs w:val="20"/>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14. </w:t>
      </w:r>
      <w:r>
        <w:rPr>
          <w:rFonts w:ascii="Arial" w:cs="Arial" w:eastAsia="Arial" w:hAnsi="Arial"/>
          <w:sz w:val="20"/>
          <w:szCs w:val="20"/>
          <w:b w:val="1"/>
          <w:bCs w:val="1"/>
          <w:i w:val="1"/>
          <w:iCs w:val="1"/>
          <w:color w:val="auto"/>
        </w:rPr>
        <w:t>Principal Accountant Fees and Services</w:t>
      </w:r>
    </w:p>
    <w:p>
      <w:pPr>
        <w:spacing w:after="0" w:line="208" w:lineRule="exact"/>
        <w:rPr>
          <w:sz w:val="20"/>
          <w:szCs w:val="20"/>
          <w:color w:val="auto"/>
        </w:rPr>
      </w:pPr>
    </w:p>
    <w:p>
      <w:pPr>
        <w:ind w:firstLine="706"/>
        <w:spacing w:after="0" w:line="258" w:lineRule="auto"/>
        <w:rPr>
          <w:sz w:val="20"/>
          <w:szCs w:val="20"/>
          <w:color w:val="auto"/>
        </w:rPr>
      </w:pPr>
      <w:r>
        <w:rPr>
          <w:rFonts w:ascii="Arial" w:cs="Arial" w:eastAsia="Arial" w:hAnsi="Arial"/>
          <w:sz w:val="20"/>
          <w:szCs w:val="20"/>
          <w:color w:val="auto"/>
        </w:rPr>
        <w:t>The information required by this item will be set forth in the Proxy Statement for our 2025 Annual Meeting, which will be filed with the SEC within 120 days after the end of the fiscal year ended December 31, 2024, and is incorporated herein by reference thereto.</w:t>
      </w:r>
    </w:p>
    <w:p>
      <w:pPr>
        <w:sectPr>
          <w:pgSz w:w="11880" w:h="15480" w:orient="portrait"/>
          <w:cols w:equalWidth="0" w:num="1">
            <w:col w:w="9960"/>
          </w:cols>
          <w:pgMar w:left="920" w:top="57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960"/>
          </w:cols>
          <w:pgMar w:left="920" w:top="575" w:right="1000" w:bottom="0" w:gutter="0" w:footer="0" w:header="0"/>
          <w:type w:val="continuous"/>
        </w:sectPr>
      </w:pPr>
    </w:p>
    <w:bookmarkStart w:id="97" w:name="page98"/>
    <w:bookmarkEnd w:id="97"/>
    <w:p>
      <w:pPr>
        <w:jc w:val="center"/>
        <w:ind w:right="-99"/>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15. </w:t>
      </w:r>
      <w:r>
        <w:rPr>
          <w:rFonts w:ascii="Arial" w:cs="Arial" w:eastAsia="Arial" w:hAnsi="Arial"/>
          <w:sz w:val="20"/>
          <w:szCs w:val="20"/>
          <w:b w:val="1"/>
          <w:bCs w:val="1"/>
          <w:i w:val="1"/>
          <w:iCs w:val="1"/>
          <w:color w:val="auto"/>
        </w:rPr>
        <w:t>Exhibits and Financial Statement Schedules</w:t>
      </w:r>
    </w:p>
    <w:p>
      <w:pPr>
        <w:spacing w:after="0" w:line="244" w:lineRule="exact"/>
        <w:rPr>
          <w:sz w:val="20"/>
          <w:szCs w:val="20"/>
          <w:color w:val="auto"/>
        </w:rPr>
      </w:pPr>
    </w:p>
    <w:p>
      <w:pPr>
        <w:ind w:left="680" w:hanging="335"/>
        <w:spacing w:after="0"/>
        <w:tabs>
          <w:tab w:leader="none" w:pos="68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  </w:t>
      </w:r>
      <w:r>
        <w:rPr>
          <w:rFonts w:ascii="Arial" w:cs="Arial" w:eastAsia="Arial" w:hAnsi="Arial"/>
          <w:sz w:val="20"/>
          <w:szCs w:val="20"/>
          <w:b w:val="1"/>
          <w:bCs w:val="1"/>
          <w:i w:val="1"/>
          <w:iCs w:val="1"/>
          <w:color w:val="auto"/>
        </w:rPr>
        <w:t>Financial Statements</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See “Index to the Consolidated Financial Statements” set forth on Page F-1.</w:t>
      </w:r>
    </w:p>
    <w:p>
      <w:pPr>
        <w:spacing w:after="0" w:line="239" w:lineRule="exact"/>
        <w:rPr>
          <w:sz w:val="20"/>
          <w:szCs w:val="20"/>
          <w:color w:val="auto"/>
        </w:rPr>
      </w:pPr>
    </w:p>
    <w:p>
      <w:pPr>
        <w:ind w:left="1400" w:hanging="702"/>
        <w:spacing w:after="0"/>
        <w:tabs>
          <w:tab w:leader="none" w:pos="140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Financial Statement Schedules</w:t>
      </w:r>
    </w:p>
    <w:p>
      <w:pPr>
        <w:spacing w:after="0" w:line="242" w:lineRule="exact"/>
        <w:rPr>
          <w:sz w:val="20"/>
          <w:szCs w:val="20"/>
          <w:color w:val="auto"/>
        </w:rPr>
      </w:pPr>
    </w:p>
    <w:p>
      <w:pPr>
        <w:ind w:right="860" w:firstLine="706"/>
        <w:spacing w:after="0" w:line="271" w:lineRule="auto"/>
        <w:rPr>
          <w:sz w:val="20"/>
          <w:szCs w:val="20"/>
          <w:color w:val="auto"/>
        </w:rPr>
      </w:pPr>
      <w:r>
        <w:rPr>
          <w:rFonts w:ascii="Arial" w:cs="Arial" w:eastAsia="Arial" w:hAnsi="Arial"/>
          <w:sz w:val="20"/>
          <w:szCs w:val="20"/>
          <w:color w:val="auto"/>
        </w:rPr>
        <w:t>All schedules are omitted because they are either not applicable or the required information is shown in the Consolidated Financial Statements or notes thereto.</w:t>
      </w:r>
    </w:p>
    <w:p>
      <w:pPr>
        <w:spacing w:after="0" w:line="184" w:lineRule="exact"/>
        <w:rPr>
          <w:sz w:val="20"/>
          <w:szCs w:val="20"/>
          <w:color w:val="auto"/>
        </w:rPr>
      </w:pPr>
    </w:p>
    <w:p>
      <w:pPr>
        <w:ind w:left="1400" w:hanging="702"/>
        <w:spacing w:after="0"/>
        <w:tabs>
          <w:tab w:leader="none" w:pos="140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Exhibits</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Exhibit</w:t>
      </w:r>
    </w:p>
    <w:p>
      <w:pPr>
        <w:ind w:left="40"/>
        <w:spacing w:after="0"/>
        <w:tabs>
          <w:tab w:leader="none" w:pos="5200" w:val="left"/>
        </w:tabs>
        <w:rPr>
          <w:sz w:val="20"/>
          <w:szCs w:val="20"/>
          <w:color w:val="auto"/>
        </w:rPr>
      </w:pPr>
      <w:r>
        <w:rPr>
          <w:rFonts w:ascii="Arial" w:cs="Arial" w:eastAsia="Arial" w:hAnsi="Arial"/>
          <w:sz w:val="20"/>
          <w:szCs w:val="20"/>
          <w:b w:val="1"/>
          <w:bCs w:val="1"/>
          <w:color w:val="auto"/>
        </w:rPr>
        <w:t>No.</w:t>
      </w:r>
      <w:r>
        <w:rPr>
          <w:sz w:val="20"/>
          <w:szCs w:val="20"/>
          <w:color w:val="auto"/>
        </w:rPr>
        <w:tab/>
      </w: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10160</wp:posOffset>
                </wp:positionV>
                <wp:extent cx="6064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8pt" to="47.4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890905</wp:posOffset>
                </wp:positionH>
                <wp:positionV relativeFrom="paragraph">
                  <wp:posOffset>10160</wp:posOffset>
                </wp:positionV>
                <wp:extent cx="54610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1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0.15pt,0.8pt" to="500.15pt,0.8pt" o:allowincell="f" strokecolor="#000000" strokeweight="1pt"/>
            </w:pict>
          </mc:Fallback>
        </mc:AlternateContent>
      </w:r>
    </w:p>
    <w:p>
      <w:pPr>
        <w:spacing w:after="0" w:line="9" w:lineRule="exact"/>
        <w:rPr>
          <w:sz w:val="20"/>
          <w:szCs w:val="20"/>
          <w:color w:val="auto"/>
        </w:rPr>
      </w:pPr>
    </w:p>
    <w:p>
      <w:pPr>
        <w:ind w:left="1080" w:hanging="1410"/>
        <w:spacing w:after="0" w:line="219" w:lineRule="auto"/>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 Simplification Agreement, dated as of July 11, 2016, by and among PAA GP Holdings LLC, Plains GP Holdings, L.P., Plains All American GP LLC, Plains AAP, L.P., PAA GP LLC and Plains All American Pipeline, L.P. (incorporated by reference to Exhibit 2.1 to PAA’s Current Report on Form 8-K filed July 14, 2016).</w:t>
      </w:r>
    </w:p>
    <w:p>
      <w:pPr>
        <w:spacing w:after="0" w:line="145" w:lineRule="exact"/>
        <w:rPr>
          <w:sz w:val="20"/>
          <w:szCs w:val="20"/>
          <w:color w:val="auto"/>
        </w:rPr>
      </w:pPr>
    </w:p>
    <w:p>
      <w:pPr>
        <w:ind w:left="1080" w:right="20" w:hanging="1410"/>
        <w:spacing w:after="0" w:line="216" w:lineRule="auto"/>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 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p>
    <w:p>
      <w:pPr>
        <w:spacing w:after="0" w:line="156" w:lineRule="exact"/>
        <w:rPr>
          <w:sz w:val="20"/>
          <w:szCs w:val="20"/>
          <w:color w:val="auto"/>
        </w:rPr>
      </w:pPr>
    </w:p>
    <w:p>
      <w:pPr>
        <w:ind w:left="1080" w:right="40" w:hanging="1410"/>
        <w:spacing w:after="0" w:line="224" w:lineRule="auto"/>
        <w:tabs>
          <w:tab w:leader="none" w:pos="10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 Seventh Amended and Restated Agreement of Limited Partnership of Plains All American Pipeline, L.P. dated as of October 10, 2017 (incorporated by reference to Exhibit 3.1 to PAA’s Current Report on Form 8-K filed October 12, 2017).</w:t>
      </w:r>
    </w:p>
    <w:p>
      <w:pPr>
        <w:spacing w:after="0" w:line="165" w:lineRule="exact"/>
        <w:rPr>
          <w:sz w:val="20"/>
          <w:szCs w:val="20"/>
          <w:color w:val="auto"/>
        </w:rPr>
      </w:pPr>
    </w:p>
    <w:p>
      <w:pPr>
        <w:jc w:val="both"/>
        <w:ind w:left="1080" w:right="280" w:hanging="1410"/>
        <w:spacing w:after="0" w:line="224" w:lineRule="auto"/>
        <w:tabs>
          <w:tab w:leader="none" w:pos="1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 Seventh Amended and Restated Limited Liability Company Agreement of Plains All American GP LLC dated November 15, 2016 (incorporated by reference to Exhibit 3.3 to our Current Report on Form 8-K filed November 21, 2016).</w:t>
      </w:r>
    </w:p>
    <w:p>
      <w:pPr>
        <w:spacing w:after="0" w:line="153" w:lineRule="exact"/>
        <w:rPr>
          <w:sz w:val="20"/>
          <w:szCs w:val="20"/>
          <w:color w:val="auto"/>
        </w:rPr>
      </w:pPr>
    </w:p>
    <w:p>
      <w:pPr>
        <w:ind w:left="40"/>
        <w:spacing w:after="0"/>
        <w:tabs>
          <w:tab w:leader="none" w:pos="1060" w:val="left"/>
          <w:tab w:leader="none" w:pos="14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Eighth Amended and Restated Limited Partnership Agreement of Plains AAP, L.P. dated November 15,</w:t>
      </w:r>
    </w:p>
    <w:p>
      <w:pPr>
        <w:ind w:left="1460"/>
        <w:spacing w:after="0" w:line="215" w:lineRule="auto"/>
        <w:rPr>
          <w:sz w:val="20"/>
          <w:szCs w:val="20"/>
          <w:color w:val="auto"/>
        </w:rPr>
      </w:pPr>
      <w:r>
        <w:rPr>
          <w:rFonts w:ascii="Arial" w:cs="Arial" w:eastAsia="Arial" w:hAnsi="Arial"/>
          <w:sz w:val="19"/>
          <w:szCs w:val="19"/>
          <w:color w:val="auto"/>
        </w:rPr>
        <w:t>2016 (incorporated by reference to Exhibit 3.4 to our Current Report on Form 8-K filed November 21,</w:t>
      </w:r>
    </w:p>
    <w:p>
      <w:pPr>
        <w:ind w:left="1460"/>
        <w:spacing w:after="0"/>
        <w:rPr>
          <w:sz w:val="20"/>
          <w:szCs w:val="20"/>
          <w:color w:val="auto"/>
        </w:rPr>
      </w:pPr>
      <w:r>
        <w:rPr>
          <w:rFonts w:ascii="Arial" w:cs="Arial" w:eastAsia="Arial" w:hAnsi="Arial"/>
          <w:sz w:val="20"/>
          <w:szCs w:val="20"/>
          <w:color w:val="auto"/>
        </w:rPr>
        <w:t>2016).</w:t>
      </w:r>
    </w:p>
    <w:p>
      <w:pPr>
        <w:spacing w:after="0" w:line="165" w:lineRule="exact"/>
        <w:rPr>
          <w:sz w:val="20"/>
          <w:szCs w:val="20"/>
          <w:color w:val="auto"/>
        </w:rPr>
      </w:pPr>
    </w:p>
    <w:p>
      <w:pPr>
        <w:ind w:left="1080" w:right="100" w:hanging="1410"/>
        <w:spacing w:after="0" w:line="224" w:lineRule="auto"/>
        <w:tabs>
          <w:tab w:leader="none" w:pos="10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 Amendment No. 1 dated September 26, 2018 to the Eighth Amended and Restated Limited Partnership Agreement of Plains AAP, L.P. (incorporated by reference to Exhibit 3.1 to our Current Report on Form 8-K filed October 2, 2018).</w:t>
      </w:r>
    </w:p>
    <w:p>
      <w:pPr>
        <w:spacing w:after="0" w:line="165" w:lineRule="exact"/>
        <w:rPr>
          <w:sz w:val="20"/>
          <w:szCs w:val="20"/>
          <w:color w:val="auto"/>
        </w:rPr>
      </w:pPr>
    </w:p>
    <w:p>
      <w:pPr>
        <w:ind w:left="1080" w:right="100" w:hanging="1410"/>
        <w:spacing w:after="0" w:line="231" w:lineRule="auto"/>
        <w:tabs>
          <w:tab w:leader="none" w:pos="106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 Amendment No. 2 dated May 23, 2019 to the Eighth Amended and Restated Limited Partnership Agreement of Plains AAP, L.P. (incorporated by reference to Exhibit 3.1 to our Current Report on Form 8-K filed May 30, 2019).</w:t>
      </w:r>
    </w:p>
    <w:p>
      <w:pPr>
        <w:spacing w:after="0" w:line="144" w:lineRule="exact"/>
        <w:rPr>
          <w:sz w:val="20"/>
          <w:szCs w:val="20"/>
          <w:color w:val="auto"/>
        </w:rPr>
      </w:pPr>
    </w:p>
    <w:p>
      <w:pPr>
        <w:ind w:left="1080" w:right="100" w:hanging="1410"/>
        <w:spacing w:after="0" w:line="224" w:lineRule="auto"/>
        <w:tabs>
          <w:tab w:leader="none" w:pos="106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 Amendment No. 3 dated August 17, 2023 to the Eighth Amended and Restated Limited Partnership Agreement of Plains AAP, L.P. (incorporated by reference to Exhibit 3.1 to our Current Report on Form 8-K filed August 21, 2023).</w:t>
      </w:r>
    </w:p>
    <w:p>
      <w:pPr>
        <w:spacing w:after="0" w:line="165" w:lineRule="exact"/>
        <w:rPr>
          <w:sz w:val="20"/>
          <w:szCs w:val="20"/>
          <w:color w:val="auto"/>
        </w:rPr>
      </w:pPr>
    </w:p>
    <w:p>
      <w:pPr>
        <w:ind w:left="1080" w:right="640" w:hanging="1410"/>
        <w:spacing w:after="0" w:line="255" w:lineRule="auto"/>
        <w:tabs>
          <w:tab w:leader="none" w:pos="106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color w:val="auto"/>
        </w:rPr>
        <w:t>— Limited Liability Company Agreement of PAA GP LLC dated December 28, 2007 (incorporated by reference to Exhibit 3.3 to PAA’s Current Report on Form 8-K filed January 4, 2008).</w:t>
      </w:r>
    </w:p>
    <w:p>
      <w:pPr>
        <w:spacing w:after="0" w:line="138" w:lineRule="exact"/>
        <w:rPr>
          <w:sz w:val="20"/>
          <w:szCs w:val="20"/>
          <w:color w:val="auto"/>
        </w:rPr>
      </w:pPr>
    </w:p>
    <w:p>
      <w:pPr>
        <w:ind w:left="1080" w:right="160" w:hanging="1410"/>
        <w:spacing w:after="0" w:line="235" w:lineRule="auto"/>
        <w:tabs>
          <w:tab w:leader="none" w:pos="106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20"/>
          <w:szCs w:val="20"/>
          <w:color w:val="auto"/>
        </w:rPr>
        <w:t>— Certificate of Limited Partnership of Plains GP Holdings, L.P. (incorporated by reference to Exhibit 3.1 to our Registration Statement on Form S-1 (333-190227) filed July 29, 2013).</w:t>
      </w:r>
    </w:p>
    <w:p>
      <w:pPr>
        <w:spacing w:after="0" w:line="152" w:lineRule="exact"/>
        <w:rPr>
          <w:sz w:val="20"/>
          <w:szCs w:val="20"/>
          <w:color w:val="auto"/>
        </w:rPr>
      </w:pPr>
    </w:p>
    <w:p>
      <w:pPr>
        <w:ind w:left="1080" w:right="180" w:hanging="1410"/>
        <w:spacing w:after="0" w:line="224" w:lineRule="auto"/>
        <w:tabs>
          <w:tab w:leader="none" w:pos="106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20"/>
          <w:szCs w:val="20"/>
          <w:color w:val="auto"/>
        </w:rPr>
        <w:t>— Second Amended and Restated Agreement of Limited Partnership of Plains GP Holdings, L.P. dated as of November 15, 2016 (incorporated by reference to Exhibit 3.2 to our Current Report on Form 8-K filed November 21, 2016).</w:t>
      </w:r>
    </w:p>
    <w:p>
      <w:pPr>
        <w:spacing w:after="0" w:line="165" w:lineRule="exact"/>
        <w:rPr>
          <w:sz w:val="20"/>
          <w:szCs w:val="20"/>
          <w:color w:val="auto"/>
        </w:rPr>
      </w:pPr>
    </w:p>
    <w:p>
      <w:pPr>
        <w:ind w:left="1080" w:right="120" w:hanging="1410"/>
        <w:spacing w:after="0" w:line="224" w:lineRule="auto"/>
        <w:tabs>
          <w:tab w:leader="none" w:pos="106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20"/>
          <w:szCs w:val="20"/>
          <w:color w:val="auto"/>
        </w:rPr>
        <w:t>— Amendment No. 1 dated April 6, 2020 to the Second Amended and Restated Agreement of Limited Partnership of Plains GP Holdings, L.P. (incorporated by reference to Exhibit 3.1 to our Current Report on Form 8-K filed April 9, 2020).</w:t>
      </w:r>
    </w:p>
    <w:p>
      <w:pPr>
        <w:sectPr>
          <w:pgSz w:w="11880" w:h="15480" w:orient="portrait"/>
          <w:cols w:equalWidth="0" w:num="1">
            <w:col w:w="9940"/>
          </w:cols>
          <w:pgMar w:left="920" w:top="575" w:right="102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940"/>
          </w:cols>
          <w:pgMar w:left="920" w:top="575" w:right="1020" w:bottom="0" w:gutter="0" w:footer="0" w:header="0"/>
          <w:type w:val="continuous"/>
        </w:sectPr>
      </w:pPr>
    </w:p>
    <w:bookmarkStart w:id="98" w:name="page99"/>
    <w:bookmarkEnd w:id="98"/>
    <w:p>
      <w:pPr>
        <w:ind w:left="560" w:right="700" w:hanging="1410"/>
        <w:spacing w:after="0" w:line="235" w:lineRule="auto"/>
        <w:tabs>
          <w:tab w:leader="none" w:pos="54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color w:val="auto"/>
        </w:rPr>
        <w:t>— Certificate of Formation of PAA GP Holdings LLC (incorporated by reference to Exhibit 3.3 to our Registration Statement on Form S-1 (333-190227) filed July 29, 2013).</w:t>
      </w:r>
    </w:p>
    <w:p>
      <w:pPr>
        <w:spacing w:after="0" w:line="152" w:lineRule="exact"/>
        <w:rPr>
          <w:sz w:val="20"/>
          <w:szCs w:val="20"/>
          <w:color w:val="auto"/>
        </w:rPr>
      </w:pPr>
    </w:p>
    <w:p>
      <w:pPr>
        <w:ind w:left="560" w:right="380" w:hanging="1410"/>
        <w:spacing w:after="0" w:line="224" w:lineRule="auto"/>
        <w:tabs>
          <w:tab w:leader="none" w:pos="5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color w:val="auto"/>
        </w:rPr>
        <w:t>— Fourth Amended and Restated Limited Liability Company Agreement of PAA GP Holdings LLC dated effective as of August 19, 2021 (incorporated by reference to Exhibit 3.11 to our Annual Report on Form 10-K for the year ended December 31, 2021).</w:t>
      </w:r>
    </w:p>
    <w:p>
      <w:pPr>
        <w:spacing w:after="0" w:line="179" w:lineRule="exact"/>
        <w:rPr>
          <w:sz w:val="20"/>
          <w:szCs w:val="20"/>
          <w:color w:val="auto"/>
        </w:rPr>
      </w:pPr>
    </w:p>
    <w:p>
      <w:pPr>
        <w:ind w:left="560" w:right="340" w:hanging="1410"/>
        <w:spacing w:after="0" w:line="224" w:lineRule="auto"/>
        <w:tabs>
          <w:tab w:leader="none" w:pos="5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 Indenture dated September 25, 2002 among Plains All American Pipeline, L.P., PAA Finance Corp. and Wachovia Bank, National Association, as trustee (incorporated by reference to Exhibit 4.1 to PAA’s Quarterly Report on Form 10-Q for the quarter ended September 30, 2002).</w:t>
      </w:r>
    </w:p>
    <w:p>
      <w:pPr>
        <w:spacing w:after="0" w:line="165" w:lineRule="exact"/>
        <w:rPr>
          <w:sz w:val="20"/>
          <w:szCs w:val="20"/>
          <w:color w:val="auto"/>
        </w:rPr>
      </w:pPr>
    </w:p>
    <w:p>
      <w:pPr>
        <w:jc w:val="both"/>
        <w:ind w:left="560" w:right="260" w:hanging="1410"/>
        <w:spacing w:after="0" w:line="219" w:lineRule="auto"/>
        <w:tabs>
          <w:tab w:leader="none" w:pos="5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p>
    <w:p>
      <w:pPr>
        <w:spacing w:after="0" w:line="160" w:lineRule="exact"/>
        <w:rPr>
          <w:sz w:val="20"/>
          <w:szCs w:val="20"/>
          <w:color w:val="auto"/>
        </w:rPr>
      </w:pPr>
    </w:p>
    <w:p>
      <w:pPr>
        <w:ind w:left="560" w:right="220" w:hanging="1410"/>
        <w:spacing w:after="0" w:line="219" w:lineRule="auto"/>
        <w:tabs>
          <w:tab w:leader="none" w:pos="5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p>
    <w:p>
      <w:pPr>
        <w:spacing w:after="0" w:line="160" w:lineRule="exact"/>
        <w:rPr>
          <w:sz w:val="20"/>
          <w:szCs w:val="20"/>
          <w:color w:val="auto"/>
        </w:rPr>
      </w:pPr>
    </w:p>
    <w:p>
      <w:pPr>
        <w:ind w:left="560" w:right="160" w:hanging="1410"/>
        <w:spacing w:after="0" w:line="236" w:lineRule="auto"/>
        <w:tabs>
          <w:tab w:leader="none" w:pos="5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 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p>
    <w:p>
      <w:pPr>
        <w:spacing w:after="0" w:line="193" w:lineRule="exact"/>
        <w:rPr>
          <w:sz w:val="20"/>
          <w:szCs w:val="20"/>
          <w:color w:val="auto"/>
        </w:rPr>
      </w:pPr>
    </w:p>
    <w:p>
      <w:pPr>
        <w:ind w:left="560" w:right="100" w:hanging="1410"/>
        <w:spacing w:after="0" w:line="219" w:lineRule="auto"/>
        <w:tabs>
          <w:tab w:leader="none" w:pos="5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color w:val="auto"/>
        </w:rPr>
        <w:t>— 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p>
    <w:p>
      <w:pPr>
        <w:spacing w:after="0" w:line="160" w:lineRule="exact"/>
        <w:rPr>
          <w:sz w:val="20"/>
          <w:szCs w:val="20"/>
          <w:color w:val="auto"/>
        </w:rPr>
      </w:pPr>
    </w:p>
    <w:p>
      <w:pPr>
        <w:ind w:left="560" w:right="140" w:hanging="1410"/>
        <w:spacing w:after="0" w:line="236" w:lineRule="auto"/>
        <w:tabs>
          <w:tab w:leader="none" w:pos="5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9"/>
          <w:szCs w:val="19"/>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193" w:lineRule="exact"/>
        <w:rPr>
          <w:sz w:val="20"/>
          <w:szCs w:val="20"/>
          <w:color w:val="auto"/>
        </w:rPr>
      </w:pPr>
    </w:p>
    <w:p>
      <w:pPr>
        <w:ind w:left="560" w:right="280" w:hanging="1410"/>
        <w:spacing w:after="0" w:line="219" w:lineRule="auto"/>
        <w:tabs>
          <w:tab w:leader="none" w:pos="54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160" w:lineRule="exact"/>
        <w:rPr>
          <w:sz w:val="20"/>
          <w:szCs w:val="20"/>
          <w:color w:val="auto"/>
        </w:rPr>
      </w:pPr>
    </w:p>
    <w:p>
      <w:pPr>
        <w:jc w:val="both"/>
        <w:ind w:left="560" w:right="340" w:hanging="1410"/>
        <w:spacing w:after="0" w:line="219" w:lineRule="auto"/>
        <w:tabs>
          <w:tab w:leader="none" w:pos="54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color w:val="auto"/>
        </w:rPr>
        <w:t>— 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p>
    <w:p>
      <w:pPr>
        <w:spacing w:after="0" w:line="160" w:lineRule="exact"/>
        <w:rPr>
          <w:sz w:val="20"/>
          <w:szCs w:val="20"/>
          <w:color w:val="auto"/>
        </w:rPr>
      </w:pPr>
    </w:p>
    <w:p>
      <w:pPr>
        <w:ind w:left="560" w:right="80" w:hanging="1410"/>
        <w:spacing w:after="0" w:line="276" w:lineRule="auto"/>
        <w:tabs>
          <w:tab w:leader="none" w:pos="54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7"/>
          <w:szCs w:val="17"/>
          <w:color w:val="auto"/>
        </w:rPr>
        <w:t>— 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p>
    <w:p>
      <w:pPr>
        <w:spacing w:after="0" w:line="208" w:lineRule="exact"/>
        <w:rPr>
          <w:sz w:val="20"/>
          <w:szCs w:val="20"/>
          <w:color w:val="auto"/>
        </w:rPr>
      </w:pPr>
    </w:p>
    <w:p>
      <w:pPr>
        <w:ind w:left="560" w:right="60" w:hanging="1410"/>
        <w:spacing w:after="0" w:line="219" w:lineRule="auto"/>
        <w:tabs>
          <w:tab w:leader="none" w:pos="54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20"/>
          <w:szCs w:val="20"/>
          <w:color w:val="auto"/>
        </w:rPr>
        <w:t>— 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p>
    <w:p>
      <w:pPr>
        <w:spacing w:after="0" w:line="160" w:lineRule="exact"/>
        <w:rPr>
          <w:sz w:val="20"/>
          <w:szCs w:val="20"/>
          <w:color w:val="auto"/>
        </w:rPr>
      </w:pPr>
    </w:p>
    <w:p>
      <w:pPr>
        <w:ind w:left="560" w:right="100" w:hanging="1410"/>
        <w:spacing w:after="0" w:line="276" w:lineRule="auto"/>
        <w:tabs>
          <w:tab w:leader="none" w:pos="54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7"/>
          <w:szCs w:val="17"/>
          <w:color w:val="auto"/>
        </w:rPr>
        <w:t>— 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p>
    <w:p>
      <w:pPr>
        <w:spacing w:after="0" w:line="134" w:lineRule="exact"/>
        <w:rPr>
          <w:sz w:val="20"/>
          <w:szCs w:val="20"/>
          <w:color w:val="auto"/>
        </w:rPr>
      </w:pPr>
    </w:p>
    <w:p>
      <w:pPr>
        <w:ind w:left="560" w:hanging="1410"/>
        <w:spacing w:after="0" w:line="219" w:lineRule="auto"/>
        <w:tabs>
          <w:tab w:leader="none" w:pos="54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20"/>
          <w:szCs w:val="20"/>
          <w:color w:val="auto"/>
        </w:rPr>
        <w:t>— Thirty-Third Supplemental Indenture (5.70% Senior Notes due 2034) dated June 27, 2024, by and among Plains All American Pipeline, L.P., PAA Finance Corp. and U.S. Bank Trust Company, National Association, as trustee (incorporated by reference to Exhibit 4.1 to PAA’s Current Report on Form 8-K filed June 27, 2024).</w:t>
      </w:r>
    </w:p>
    <w:p>
      <w:pPr>
        <w:spacing w:after="0" w:line="160" w:lineRule="exact"/>
        <w:rPr>
          <w:sz w:val="20"/>
          <w:szCs w:val="20"/>
          <w:color w:val="auto"/>
        </w:rPr>
      </w:pPr>
    </w:p>
    <w:p>
      <w:pPr>
        <w:jc w:val="both"/>
        <w:ind w:left="560" w:right="280" w:hanging="1410"/>
        <w:spacing w:after="0" w:line="219" w:lineRule="auto"/>
        <w:tabs>
          <w:tab w:leader="none" w:pos="54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20"/>
          <w:szCs w:val="20"/>
          <w:color w:val="auto"/>
        </w:rPr>
        <w:t>— Thirty-Fourth Supplemental Indenture (5.950% Senior Notes due 2035) dated January 15, 2025, by and among Plains All American Pipeline, L.P., PAA Finance Corp. and U.S. Bank Trust Company, National Association, as trustee (incorporated by reference to Exhibit 4.1 to our Current Report on Form 8-K filed January 15, 2025).</w:t>
      </w:r>
    </w:p>
    <w:p>
      <w:pPr>
        <w:sectPr>
          <w:pgSz w:w="11880" w:h="15480" w:orient="portrait"/>
          <w:cols w:equalWidth="0" w:num="1">
            <w:col w:w="9440"/>
          </w:cols>
          <w:pgMar w:left="1440" w:top="65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440"/>
          </w:cols>
          <w:pgMar w:left="1440" w:top="656" w:right="1000" w:bottom="0" w:gutter="0" w:footer="0" w:header="0"/>
          <w:type w:val="continuous"/>
        </w:sectPr>
      </w:pPr>
    </w:p>
    <w:bookmarkStart w:id="99" w:name="page100"/>
    <w:bookmarkEnd w:id="99"/>
    <w:p>
      <w:pPr>
        <w:ind w:left="1040" w:right="40" w:hanging="1410"/>
        <w:spacing w:after="0" w:line="224" w:lineRule="auto"/>
        <w:tabs>
          <w:tab w:leader="none" w:pos="102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20"/>
          <w:szCs w:val="20"/>
          <w:color w:val="auto"/>
        </w:rPr>
        <w:t>— Shareholder and Registration Rights Agreement dated October 21, 2013 by and among Plains GP Holdings, L.P. and the other parties signatory thereto (incorporated by reference to Exhibit 4.1 to our Current Report on Form 8-K filed October 25, 2013).</w:t>
      </w:r>
    </w:p>
    <w:p>
      <w:pPr>
        <w:spacing w:after="0" w:line="194"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4.15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Description of Our Securities.</w:t>
      </w:r>
    </w:p>
    <w:p>
      <w:pPr>
        <w:spacing w:after="0" w:line="182" w:lineRule="exact"/>
        <w:rPr>
          <w:sz w:val="20"/>
          <w:szCs w:val="20"/>
          <w:color w:val="auto"/>
        </w:rPr>
      </w:pPr>
    </w:p>
    <w:p>
      <w:pPr>
        <w:ind w:left="1040" w:hanging="1410"/>
        <w:spacing w:after="0" w:line="226" w:lineRule="auto"/>
        <w:tabs>
          <w:tab w:leader="none" w:pos="10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color w:val="auto"/>
        </w:rPr>
        <w:t>— 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p>
    <w:p>
      <w:pPr>
        <w:spacing w:after="0" w:line="250" w:lineRule="exact"/>
        <w:rPr>
          <w:sz w:val="20"/>
          <w:szCs w:val="20"/>
          <w:color w:val="auto"/>
        </w:rPr>
      </w:pPr>
    </w:p>
    <w:p>
      <w:pPr>
        <w:ind w:left="1040" w:right="180" w:hanging="1410"/>
        <w:spacing w:after="0" w:line="213" w:lineRule="auto"/>
        <w:tabs>
          <w:tab w:leader="none" w:pos="10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 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25, 2022).</w:t>
      </w:r>
    </w:p>
    <w:p>
      <w:pPr>
        <w:spacing w:after="0" w:line="174" w:lineRule="exact"/>
        <w:rPr>
          <w:sz w:val="20"/>
          <w:szCs w:val="20"/>
          <w:color w:val="auto"/>
        </w:rPr>
      </w:pPr>
    </w:p>
    <w:p>
      <w:pPr>
        <w:ind w:left="1040" w:right="60" w:hanging="1410"/>
        <w:spacing w:after="0" w:line="215" w:lineRule="auto"/>
        <w:tabs>
          <w:tab w:leader="none" w:pos="10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 Second Amendment to Credit Agreement dated as of August 19, 2024,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22, 2024).</w:t>
      </w:r>
    </w:p>
    <w:p>
      <w:pPr>
        <w:spacing w:after="0" w:line="145" w:lineRule="exact"/>
        <w:rPr>
          <w:sz w:val="20"/>
          <w:szCs w:val="20"/>
          <w:color w:val="auto"/>
        </w:rPr>
      </w:pPr>
    </w:p>
    <w:p>
      <w:pPr>
        <w:ind w:left="1040" w:hanging="1410"/>
        <w:spacing w:after="0" w:line="217" w:lineRule="auto"/>
        <w:tabs>
          <w:tab w:leader="none" w:pos="10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 Fourth Amended and Restated Credit Agreement dated as of August 20, 2021,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26, 2021).</w:t>
      </w:r>
    </w:p>
    <w:p>
      <w:pPr>
        <w:spacing w:after="0" w:line="149" w:lineRule="exact"/>
        <w:rPr>
          <w:sz w:val="20"/>
          <w:szCs w:val="20"/>
          <w:color w:val="auto"/>
        </w:rPr>
      </w:pPr>
    </w:p>
    <w:p>
      <w:pPr>
        <w:ind w:left="1040" w:right="20" w:hanging="1410"/>
        <w:spacing w:after="0" w:line="214" w:lineRule="auto"/>
        <w:tabs>
          <w:tab w:leader="none" w:pos="10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color w:val="auto"/>
        </w:rPr>
        <w:t>— 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25, 2022).</w:t>
      </w:r>
    </w:p>
    <w:p>
      <w:pPr>
        <w:spacing w:after="0" w:line="284" w:lineRule="exact"/>
        <w:rPr>
          <w:sz w:val="20"/>
          <w:szCs w:val="20"/>
          <w:color w:val="auto"/>
        </w:rPr>
      </w:pPr>
    </w:p>
    <w:p>
      <w:pPr>
        <w:ind w:left="1040" w:hanging="1410"/>
        <w:spacing w:after="0" w:line="214" w:lineRule="auto"/>
        <w:tabs>
          <w:tab w:leader="none" w:pos="102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 Second Amendment to Fourth Amended and Restated Credit Agreement dated as of August 19, 2024,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22, 2024).</w:t>
      </w:r>
    </w:p>
    <w:p>
      <w:pPr>
        <w:spacing w:after="0" w:line="254" w:lineRule="exact"/>
        <w:rPr>
          <w:sz w:val="20"/>
          <w:szCs w:val="20"/>
          <w:color w:val="auto"/>
        </w:rPr>
      </w:pPr>
    </w:p>
    <w:p>
      <w:pPr>
        <w:ind w:left="1040" w:right="120" w:hanging="1410"/>
        <w:spacing w:after="0" w:line="224" w:lineRule="auto"/>
        <w:tabs>
          <w:tab w:leader="none" w:pos="10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color w:val="auto"/>
        </w:rPr>
        <w:t>— Contribution and Assumption Agreement dated December 28, 2007, by and between Plains AAP, L.P. and PAA GP LLC (incorporated by reference to Exhibit 10.2 to PAA’s Current Report on Form 8-K filed January 4, 2008).</w:t>
      </w:r>
    </w:p>
    <w:p>
      <w:pPr>
        <w:spacing w:after="0" w:line="165" w:lineRule="exact"/>
        <w:rPr>
          <w:sz w:val="20"/>
          <w:szCs w:val="20"/>
          <w:color w:val="auto"/>
        </w:rPr>
      </w:pPr>
    </w:p>
    <w:p>
      <w:pPr>
        <w:ind w:left="1040" w:hanging="1410"/>
        <w:spacing w:after="0" w:line="219" w:lineRule="auto"/>
        <w:tabs>
          <w:tab w:leader="none" w:pos="102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 Omnibus Agreement by and among PAA GP Holdings LLC, Plains GP Holdings, L.P., Plains All American GP LLC, Plains AAP, L.P., PAA GP LLC, and Plains All American Pipeline, L.P., dated November 15, 2016 (incorporated by reference to Exhibit 10.1 to our Current Report on Form 8-K filed November 21, 2016).</w:t>
      </w:r>
    </w:p>
    <w:p>
      <w:pPr>
        <w:spacing w:after="0" w:line="160" w:lineRule="exact"/>
        <w:rPr>
          <w:sz w:val="20"/>
          <w:szCs w:val="20"/>
          <w:color w:val="auto"/>
        </w:rPr>
      </w:pPr>
    </w:p>
    <w:p>
      <w:pPr>
        <w:ind w:left="1040" w:right="200" w:hanging="1410"/>
        <w:spacing w:after="0" w:line="219" w:lineRule="auto"/>
        <w:tabs>
          <w:tab w:leader="none" w:pos="102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color w:val="auto"/>
        </w:rPr>
        <w:t>— Amended and Restated Administrative Agreement by and among PAA GP Holdings LLC, Plains GP Holdings, L.P., Plains All American GP LLC, Plains AAP, L.P., PAA GP LLC, and Plains All American Pipeline, L.P., dated November 15, 2016 (incorporated by reference to Exhibit 10.2 to our Current Report on Form 8-K filed November 21, 2016).</w:t>
      </w:r>
    </w:p>
    <w:p>
      <w:pPr>
        <w:spacing w:after="0" w:line="145" w:lineRule="exact"/>
        <w:rPr>
          <w:sz w:val="20"/>
          <w:szCs w:val="20"/>
          <w:color w:val="auto"/>
        </w:rPr>
      </w:pPr>
    </w:p>
    <w:p>
      <w:pPr>
        <w:ind w:left="1040" w:right="80" w:hanging="1410"/>
        <w:spacing w:after="0" w:line="224" w:lineRule="auto"/>
        <w:tabs>
          <w:tab w:leader="none" w:pos="102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20"/>
          <w:szCs w:val="20"/>
          <w:color w:val="auto"/>
        </w:rPr>
        <w:t>— Amended and Restated Employment Agreement between Plains All American GP LLC and Greg L. Armstrong dated as of June 30, 2001 (incorporated by reference to Exhibit 10.1 to PAA’s Quarterly Report on Form 10-Q for the quarter ended September 30, 2001).</w:t>
      </w:r>
    </w:p>
    <w:p>
      <w:pPr>
        <w:sectPr>
          <w:pgSz w:w="11880" w:h="15480" w:orient="portrait"/>
          <w:cols w:equalWidth="0" w:num="1">
            <w:col w:w="9900"/>
          </w:cols>
          <w:pgMar w:left="960" w:top="656" w:right="102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900"/>
          </w:cols>
          <w:pgMar w:left="960" w:top="656" w:right="1020" w:bottom="0" w:gutter="0" w:footer="0" w:header="0"/>
          <w:type w:val="continuous"/>
        </w:sectPr>
      </w:pPr>
    </w:p>
    <w:bookmarkStart w:id="100" w:name="page101"/>
    <w:bookmarkEnd w:id="100"/>
    <w:p>
      <w:pPr>
        <w:ind w:left="1040" w:right="40" w:hanging="1410"/>
        <w:spacing w:after="0" w:line="224" w:lineRule="auto"/>
        <w:tabs>
          <w:tab w:leader="none" w:pos="102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20"/>
          <w:szCs w:val="20"/>
          <w:color w:val="auto"/>
        </w:rPr>
        <w:t>— First Amendment to Amended and Restated Employment Agreement dated December 4, 2008 between Plains All American GP LLC and Greg L. Armstrong (incorporated by reference to Exhibit 10.49 to PAA’s Annual Report on Form 10-K for the year ended December 31, 2008).</w:t>
      </w:r>
    </w:p>
    <w:p>
      <w:pPr>
        <w:spacing w:after="0" w:line="194" w:lineRule="exact"/>
        <w:rPr>
          <w:sz w:val="20"/>
          <w:szCs w:val="20"/>
          <w:color w:val="auto"/>
        </w:rPr>
      </w:pPr>
    </w:p>
    <w:p>
      <w:pPr>
        <w:ind w:left="1040" w:right="60" w:hanging="1410"/>
        <w:spacing w:after="0" w:line="224" w:lineRule="auto"/>
        <w:tabs>
          <w:tab w:leader="none" w:pos="102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20"/>
          <w:szCs w:val="20"/>
          <w:color w:val="auto"/>
        </w:rPr>
        <w:t>— Waiver Agreement dated as of December 23, 2010 between Plains All American GP LLC and Greg L. Armstrong (incorporated by reference to Exhibit 10.31 to PAA’s Annual Report on Form 10-K for the year ended December 31, 2010).</w:t>
      </w:r>
    </w:p>
    <w:p>
      <w:pPr>
        <w:spacing w:after="0" w:line="165" w:lineRule="exact"/>
        <w:rPr>
          <w:sz w:val="20"/>
          <w:szCs w:val="20"/>
          <w:color w:val="auto"/>
        </w:rPr>
      </w:pPr>
    </w:p>
    <w:p>
      <w:pPr>
        <w:jc w:val="both"/>
        <w:ind w:left="1040" w:right="280" w:hanging="1410"/>
        <w:spacing w:after="0" w:line="224" w:lineRule="auto"/>
        <w:tabs>
          <w:tab w:leader="none" w:pos="102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20"/>
          <w:szCs w:val="20"/>
          <w:color w:val="auto"/>
        </w:rPr>
        <w:t>— Waiver Agreement dated October 21, 2013 to the Amended and Restated Employment Agreement dated June 30, 2001 of Greg L. Armstrong (incorporated by reference to Exhibit 10.4 to our Current Report on Form 8-K filed October 25, 2013).</w:t>
      </w:r>
    </w:p>
    <w:p>
      <w:pPr>
        <w:spacing w:after="0" w:line="165" w:lineRule="exact"/>
        <w:rPr>
          <w:sz w:val="20"/>
          <w:szCs w:val="20"/>
          <w:color w:val="auto"/>
        </w:rPr>
      </w:pPr>
    </w:p>
    <w:p>
      <w:pPr>
        <w:ind w:left="1040" w:hanging="1410"/>
        <w:spacing w:after="0" w:line="224" w:lineRule="auto"/>
        <w:tabs>
          <w:tab w:leader="none" w:pos="102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20"/>
          <w:szCs w:val="20"/>
          <w:color w:val="auto"/>
        </w:rPr>
        <w:t>— Second Amended and Restated Employment Agreement dated effective October 1, 2018 between Plains All American GP LLC and Greg L. Armstrong (incorporated by reference to Exhibit 10.6 to our Quarterly Report on Form 10-Q for the quarter ended September 30, 2018).</w:t>
      </w:r>
    </w:p>
    <w:p>
      <w:pPr>
        <w:spacing w:after="0" w:line="165" w:lineRule="exact"/>
        <w:rPr>
          <w:sz w:val="20"/>
          <w:szCs w:val="20"/>
          <w:color w:val="auto"/>
        </w:rPr>
      </w:pPr>
    </w:p>
    <w:p>
      <w:pPr>
        <w:ind w:left="1040" w:right="160" w:hanging="1410"/>
        <w:spacing w:after="0" w:line="224" w:lineRule="auto"/>
        <w:tabs>
          <w:tab w:leader="none" w:pos="102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20"/>
          <w:szCs w:val="20"/>
          <w:color w:val="auto"/>
        </w:rPr>
        <w:t>— Third Amended and Restated Employment Agreement dated effective January 1, 2020 between Plains All American GP LLC and Greg L. Armstrong (incorporated by reference to Exhibit 10.31 to our Annual Report on Form 10-K for the year ended December 31, 2019).</w:t>
      </w:r>
    </w:p>
    <w:p>
      <w:pPr>
        <w:spacing w:after="0" w:line="153"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Amendment No. 1 to Third Amended and Restated Employment Agreement dated effective December 31,</w:t>
      </w:r>
    </w:p>
    <w:p>
      <w:pPr>
        <w:ind w:left="1420"/>
        <w:spacing w:after="0"/>
        <w:rPr>
          <w:sz w:val="20"/>
          <w:szCs w:val="20"/>
          <w:color w:val="auto"/>
        </w:rPr>
      </w:pPr>
      <w:r>
        <w:rPr>
          <w:rFonts w:ascii="Arial" w:cs="Arial" w:eastAsia="Arial" w:hAnsi="Arial"/>
          <w:sz w:val="17"/>
          <w:szCs w:val="17"/>
          <w:color w:val="auto"/>
        </w:rPr>
        <w:t>2021 between Plains All American GP LLC and Greg L. Armstrong (incorporated by reference to Exhibit</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10.12 to our Annual Report on Form 10-K for the year ended December 31, 2021).</w:t>
      </w:r>
    </w:p>
    <w:p>
      <w:pPr>
        <w:spacing w:after="0" w:line="223" w:lineRule="exact"/>
        <w:rPr>
          <w:sz w:val="20"/>
          <w:szCs w:val="20"/>
          <w:color w:val="auto"/>
        </w:rPr>
      </w:pPr>
    </w:p>
    <w:p>
      <w:pPr>
        <w:ind w:left="1040" w:right="100" w:hanging="1410"/>
        <w:spacing w:after="0" w:line="224" w:lineRule="auto"/>
        <w:tabs>
          <w:tab w:leader="none" w:pos="102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20"/>
          <w:szCs w:val="20"/>
          <w:color w:val="auto"/>
        </w:rPr>
        <w:t>— Amended and Restated Employment Agreement between Plains All American GP LLC and Harry N. Pefanis dated as of June 30, 2001 (incorporated by reference to Exhibit 10.2 to PAA’s Quarterly Report on Form 10-Q for the quarter ended September 30, 2001).</w:t>
      </w:r>
    </w:p>
    <w:p>
      <w:pPr>
        <w:spacing w:after="0" w:line="165" w:lineRule="exact"/>
        <w:rPr>
          <w:sz w:val="20"/>
          <w:szCs w:val="20"/>
          <w:color w:val="auto"/>
        </w:rPr>
      </w:pPr>
    </w:p>
    <w:p>
      <w:pPr>
        <w:ind w:left="1040" w:right="220" w:hanging="1410"/>
        <w:spacing w:after="0" w:line="224" w:lineRule="auto"/>
        <w:tabs>
          <w:tab w:leader="none" w:pos="102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20"/>
          <w:szCs w:val="20"/>
          <w:color w:val="auto"/>
        </w:rPr>
        <w:t>— First Amendment to Amended and Restated Employment Agreement dated December 4, 2008 between Plains All American GP LLC and Harry N. Pefanis (incorporated by reference to Exhibit 10.50 to PAA’s Annual Report on Form 10-K for the year ended December 31, 2008).</w:t>
      </w:r>
    </w:p>
    <w:p>
      <w:pPr>
        <w:spacing w:after="0" w:line="165" w:lineRule="exact"/>
        <w:rPr>
          <w:sz w:val="20"/>
          <w:szCs w:val="20"/>
          <w:color w:val="auto"/>
        </w:rPr>
      </w:pPr>
    </w:p>
    <w:p>
      <w:pPr>
        <w:ind w:left="1040" w:right="20" w:hanging="1410"/>
        <w:spacing w:after="0" w:line="231" w:lineRule="auto"/>
        <w:tabs>
          <w:tab w:leader="none" w:pos="102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20"/>
          <w:szCs w:val="20"/>
          <w:color w:val="auto"/>
        </w:rPr>
        <w:t>— Amendment No. 2 dated August 15, 2019 to Harry Pefanis Amended and Restated Employment Agreement (incorporated by reference to Exhibit 10.1 to our Quarterly Report on Form 10-Q for the quarter ended September 30, 2019).</w:t>
      </w:r>
    </w:p>
    <w:p>
      <w:pPr>
        <w:spacing w:after="0" w:line="144" w:lineRule="exact"/>
        <w:rPr>
          <w:sz w:val="20"/>
          <w:szCs w:val="20"/>
          <w:color w:val="auto"/>
        </w:rPr>
      </w:pPr>
    </w:p>
    <w:p>
      <w:pPr>
        <w:jc w:val="both"/>
        <w:ind w:left="1040" w:right="340" w:hanging="1410"/>
        <w:spacing w:after="0" w:line="224" w:lineRule="auto"/>
        <w:tabs>
          <w:tab w:leader="none" w:pos="102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20"/>
          <w:szCs w:val="20"/>
          <w:color w:val="auto"/>
        </w:rPr>
        <w:t>— Waiver Agreement dated as of December 23, 2010 between Plains All American GP LLC and Harry N. Pefanis (incorporated by reference to Exhibit 10.32 to PAA’s Annual Report on Form 10-K for the year ended December 31, 2010).</w:t>
      </w:r>
    </w:p>
    <w:p>
      <w:pPr>
        <w:spacing w:after="0" w:line="165" w:lineRule="exact"/>
        <w:rPr>
          <w:sz w:val="20"/>
          <w:szCs w:val="20"/>
          <w:color w:val="auto"/>
        </w:rPr>
      </w:pPr>
    </w:p>
    <w:p>
      <w:pPr>
        <w:ind w:left="1040" w:right="280" w:hanging="1410"/>
        <w:spacing w:after="0" w:line="224" w:lineRule="auto"/>
        <w:tabs>
          <w:tab w:leader="none" w:pos="102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20"/>
          <w:szCs w:val="20"/>
          <w:color w:val="auto"/>
        </w:rPr>
        <w:t>— Waiver Agreement dated October 21, 2013 to the Amended and Restated Employment Agreement dated June 30, 2001 of Harry N. Pefanis (incorporated by reference to Exhibit 10.5 to our Current Report on Form 8-K filed October 25, 2013).</w:t>
      </w:r>
    </w:p>
    <w:p>
      <w:pPr>
        <w:spacing w:after="0" w:line="165" w:lineRule="exact"/>
        <w:rPr>
          <w:sz w:val="20"/>
          <w:szCs w:val="20"/>
          <w:color w:val="auto"/>
        </w:rPr>
      </w:pPr>
    </w:p>
    <w:p>
      <w:pPr>
        <w:jc w:val="both"/>
        <w:ind w:left="1040" w:right="400" w:hanging="1410"/>
        <w:spacing w:after="0" w:line="224" w:lineRule="auto"/>
        <w:tabs>
          <w:tab w:leader="none" w:pos="102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20"/>
          <w:szCs w:val="20"/>
          <w:color w:val="auto"/>
        </w:rPr>
        <w:t>— Employment Agreement between Plains All American GP LLC and Willie Chiang dated July 10, 2015 (incorporated by reference to Exhibit 10.53 to PAA’s Annual Report on Form 10-K for the year ended December 31, 2015).</w:t>
      </w:r>
    </w:p>
    <w:p>
      <w:pPr>
        <w:spacing w:after="0" w:line="165" w:lineRule="exact"/>
        <w:rPr>
          <w:sz w:val="20"/>
          <w:szCs w:val="20"/>
          <w:color w:val="auto"/>
        </w:rPr>
      </w:pPr>
    </w:p>
    <w:p>
      <w:pPr>
        <w:ind w:left="1040" w:hanging="1410"/>
        <w:spacing w:after="0" w:line="224" w:lineRule="auto"/>
        <w:tabs>
          <w:tab w:leader="none" w:pos="102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20"/>
          <w:szCs w:val="20"/>
          <w:color w:val="auto"/>
        </w:rPr>
        <w:t>— Amended and Restated Employment Agreement dated effective October 1, 2018 between Plains All American GP LLC and Willie Chiang (incorporated by reference to Exhibit 10.7 to our Quarterly Report on Form 10-Q for the quarter ended September 30, 2018).</w:t>
      </w:r>
    </w:p>
    <w:p>
      <w:pPr>
        <w:spacing w:after="0" w:line="165" w:lineRule="exact"/>
        <w:rPr>
          <w:sz w:val="20"/>
          <w:szCs w:val="20"/>
          <w:color w:val="auto"/>
        </w:rPr>
      </w:pPr>
    </w:p>
    <w:p>
      <w:pPr>
        <w:ind w:left="1040" w:right="140" w:hanging="1410"/>
        <w:spacing w:after="0" w:line="235" w:lineRule="auto"/>
        <w:tabs>
          <w:tab w:leader="none" w:pos="102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20"/>
          <w:szCs w:val="20"/>
          <w:color w:val="auto"/>
        </w:rPr>
        <w:t>— LTIP Grant Letter dated August 16, 2018 (Willie Chiang) incorporated by reference to Exhibit 10.8 to our Quarterly Report on Form 10-Q for the quarter ended September 30, 2018).</w:t>
      </w:r>
    </w:p>
    <w:p>
      <w:pPr>
        <w:spacing w:after="0" w:line="152" w:lineRule="exact"/>
        <w:rPr>
          <w:sz w:val="20"/>
          <w:szCs w:val="20"/>
          <w:color w:val="auto"/>
        </w:rPr>
      </w:pPr>
    </w:p>
    <w:p>
      <w:pPr>
        <w:ind w:left="1040" w:right="380" w:hanging="1410"/>
        <w:spacing w:after="0" w:line="235" w:lineRule="auto"/>
        <w:tabs>
          <w:tab w:leader="none" w:pos="102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20"/>
          <w:szCs w:val="20"/>
          <w:color w:val="auto"/>
        </w:rPr>
        <w:t>— Plains All American 2021 Long-Term Incentive Plan (incorporated by reference to Exhibit A to PAA’s Definitive Proxy Statement filed on April 12, 2021).</w:t>
      </w:r>
    </w:p>
    <w:p>
      <w:pPr>
        <w:spacing w:after="0" w:line="255" w:lineRule="exact"/>
        <w:rPr>
          <w:sz w:val="20"/>
          <w:szCs w:val="20"/>
          <w:color w:val="auto"/>
        </w:rPr>
      </w:pPr>
    </w:p>
    <w:p>
      <w:pPr>
        <w:ind w:left="1040" w:right="380" w:hanging="1410"/>
        <w:spacing w:after="0" w:line="235" w:lineRule="auto"/>
        <w:tabs>
          <w:tab w:leader="none" w:pos="1020" w:val="left"/>
        </w:tabs>
        <w:rPr>
          <w:sz w:val="20"/>
          <w:szCs w:val="20"/>
          <w:color w:val="auto"/>
        </w:rPr>
      </w:pPr>
      <w:r>
        <w:rPr>
          <w:rFonts w:ascii="Arial" w:cs="Arial" w:eastAsia="Arial" w:hAnsi="Arial"/>
          <w:sz w:val="20"/>
          <w:szCs w:val="20"/>
          <w:color w:val="auto"/>
        </w:rPr>
        <w:t>10.26**</w:t>
      </w:r>
      <w:r>
        <w:rPr>
          <w:sz w:val="20"/>
          <w:szCs w:val="20"/>
          <w:color w:val="auto"/>
        </w:rPr>
        <w:tab/>
      </w:r>
      <w:r>
        <w:rPr>
          <w:rFonts w:ascii="Arial" w:cs="Arial" w:eastAsia="Arial" w:hAnsi="Arial"/>
          <w:sz w:val="20"/>
          <w:szCs w:val="20"/>
          <w:color w:val="auto"/>
        </w:rPr>
        <w:t>— Plains All American 2013 Long-Term Incentive Plan (incorporated by reference to Exhibit A to PAA’s Definitive Proxy Statement filed on October 3, 2013).</w:t>
      </w:r>
    </w:p>
    <w:p>
      <w:pPr>
        <w:spacing w:after="0" w:line="255" w:lineRule="exact"/>
        <w:rPr>
          <w:sz w:val="20"/>
          <w:szCs w:val="20"/>
          <w:color w:val="auto"/>
        </w:rPr>
      </w:pPr>
    </w:p>
    <w:p>
      <w:pPr>
        <w:ind w:left="1040" w:right="20" w:hanging="1410"/>
        <w:spacing w:after="0" w:line="235" w:lineRule="auto"/>
        <w:tabs>
          <w:tab w:leader="none" w:pos="1020" w:val="left"/>
        </w:tabs>
        <w:rPr>
          <w:sz w:val="20"/>
          <w:szCs w:val="20"/>
          <w:color w:val="auto"/>
        </w:rPr>
      </w:pPr>
      <w:r>
        <w:rPr>
          <w:rFonts w:ascii="Arial" w:cs="Arial" w:eastAsia="Arial" w:hAnsi="Arial"/>
          <w:sz w:val="20"/>
          <w:szCs w:val="20"/>
          <w:color w:val="auto"/>
        </w:rPr>
        <w:t>10.27**</w:t>
      </w:r>
      <w:r>
        <w:rPr>
          <w:sz w:val="20"/>
          <w:szCs w:val="20"/>
          <w:color w:val="auto"/>
        </w:rPr>
        <w:tab/>
      </w:r>
      <w:r>
        <w:rPr>
          <w:rFonts w:ascii="Arial" w:cs="Arial" w:eastAsia="Arial" w:hAnsi="Arial"/>
          <w:sz w:val="20"/>
          <w:szCs w:val="20"/>
          <w:color w:val="auto"/>
        </w:rPr>
        <w:t>— Plains All American PNG Successor Long-Term Incentive Plan (incorporated by reference to Exhibit 4.4 to PAA’s Registration Statement on Form S-8 (333-193139) filed December 31, 2013).</w:t>
      </w:r>
    </w:p>
    <w:p>
      <w:pPr>
        <w:sectPr>
          <w:pgSz w:w="11880" w:h="15480" w:orient="portrait"/>
          <w:cols w:equalWidth="0" w:num="1">
            <w:col w:w="9880"/>
          </w:cols>
          <w:pgMar w:left="960" w:top="77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9880"/>
          </w:cols>
          <w:pgMar w:left="960" w:top="773" w:right="1040" w:bottom="0" w:gutter="0" w:footer="0" w:header="0"/>
          <w:type w:val="continuous"/>
        </w:sectPr>
      </w:pPr>
    </w:p>
    <w:bookmarkStart w:id="101" w:name="page102"/>
    <w:bookmarkEnd w:id="101"/>
    <w:p>
      <w:pPr>
        <w:ind w:left="1040" w:right="20" w:hanging="1410"/>
        <w:spacing w:after="0" w:line="235" w:lineRule="auto"/>
        <w:tabs>
          <w:tab w:leader="none" w:pos="1020" w:val="left"/>
        </w:tabs>
        <w:rPr>
          <w:sz w:val="20"/>
          <w:szCs w:val="20"/>
          <w:color w:val="auto"/>
        </w:rPr>
      </w:pPr>
      <w:r>
        <w:rPr>
          <w:rFonts w:ascii="Arial" w:cs="Arial" w:eastAsia="Arial" w:hAnsi="Arial"/>
          <w:sz w:val="20"/>
          <w:szCs w:val="20"/>
          <w:color w:val="auto"/>
        </w:rPr>
        <w:t>10.28**</w:t>
      </w:r>
      <w:r>
        <w:rPr>
          <w:sz w:val="20"/>
          <w:szCs w:val="20"/>
          <w:color w:val="auto"/>
        </w:rPr>
        <w:tab/>
      </w:r>
      <w:r>
        <w:rPr>
          <w:rFonts w:ascii="Arial" w:cs="Arial" w:eastAsia="Arial" w:hAnsi="Arial"/>
          <w:sz w:val="20"/>
          <w:szCs w:val="20"/>
          <w:color w:val="auto"/>
        </w:rPr>
        <w:t>— PAA Natural Gas Storage, L.P. 2010 Long-Term Incentive Plan (incorporated by reference to Exhibit 10.2 to PNG’s Current Report on Form 8-K filed May 11, 2010).</w:t>
      </w:r>
    </w:p>
    <w:p>
      <w:pPr>
        <w:spacing w:after="0" w:line="255" w:lineRule="exact"/>
        <w:rPr>
          <w:sz w:val="20"/>
          <w:szCs w:val="20"/>
          <w:color w:val="auto"/>
        </w:rPr>
      </w:pPr>
    </w:p>
    <w:p>
      <w:pPr>
        <w:ind w:left="1040" w:right="440" w:hanging="1410"/>
        <w:spacing w:after="0" w:line="235" w:lineRule="auto"/>
        <w:tabs>
          <w:tab w:leader="none" w:pos="1020" w:val="left"/>
        </w:tabs>
        <w:rPr>
          <w:sz w:val="20"/>
          <w:szCs w:val="20"/>
          <w:color w:val="auto"/>
        </w:rPr>
      </w:pPr>
      <w:r>
        <w:rPr>
          <w:rFonts w:ascii="Arial" w:cs="Arial" w:eastAsia="Arial" w:hAnsi="Arial"/>
          <w:sz w:val="20"/>
          <w:szCs w:val="20"/>
          <w:color w:val="auto"/>
        </w:rPr>
        <w:t>10.29**</w:t>
      </w:r>
      <w:r>
        <w:rPr>
          <w:sz w:val="20"/>
          <w:szCs w:val="20"/>
          <w:color w:val="auto"/>
        </w:rPr>
        <w:tab/>
      </w:r>
      <w:r>
        <w:rPr>
          <w:rFonts w:ascii="Arial" w:cs="Arial" w:eastAsia="Arial" w:hAnsi="Arial"/>
          <w:sz w:val="20"/>
          <w:szCs w:val="20"/>
          <w:color w:val="auto"/>
        </w:rPr>
        <w:t>— Plains GP Holdings, L.P. Long Term Incentive Plan (incorporated by reference to Exhibit 10.3 to our Current Report on Form 8-K filed October 25, 2013).</w:t>
      </w:r>
    </w:p>
    <w:p>
      <w:pPr>
        <w:spacing w:after="0" w:line="255" w:lineRule="exact"/>
        <w:rPr>
          <w:sz w:val="20"/>
          <w:szCs w:val="20"/>
          <w:color w:val="auto"/>
        </w:rPr>
      </w:pPr>
    </w:p>
    <w:p>
      <w:pPr>
        <w:ind w:left="1040" w:right="80" w:hanging="1410"/>
        <w:spacing w:after="0" w:line="235" w:lineRule="auto"/>
        <w:tabs>
          <w:tab w:leader="none" w:pos="1020" w:val="left"/>
        </w:tabs>
        <w:rPr>
          <w:sz w:val="20"/>
          <w:szCs w:val="20"/>
          <w:color w:val="auto"/>
        </w:rPr>
      </w:pPr>
      <w:r>
        <w:rPr>
          <w:rFonts w:ascii="Arial" w:cs="Arial" w:eastAsia="Arial" w:hAnsi="Arial"/>
          <w:sz w:val="20"/>
          <w:szCs w:val="20"/>
          <w:color w:val="auto"/>
        </w:rPr>
        <w:t>10.30**</w:t>
      </w:r>
      <w:r>
        <w:rPr>
          <w:sz w:val="20"/>
          <w:szCs w:val="20"/>
          <w:color w:val="auto"/>
        </w:rPr>
        <w:tab/>
      </w:r>
      <w:r>
        <w:rPr>
          <w:rFonts w:ascii="Arial" w:cs="Arial" w:eastAsia="Arial" w:hAnsi="Arial"/>
          <w:sz w:val="20"/>
          <w:szCs w:val="20"/>
          <w:color w:val="auto"/>
        </w:rPr>
        <w:t>— Form of LTIP Grant Letter dated August 15, 2019 (Officers) (incorporated by reference to Exhibit 10.2 to our Quarterly Report on Form 10-Q for the quarter ended September 30, 2019).</w:t>
      </w:r>
    </w:p>
    <w:p>
      <w:pPr>
        <w:spacing w:after="0" w:line="152" w:lineRule="exact"/>
        <w:rPr>
          <w:sz w:val="20"/>
          <w:szCs w:val="20"/>
          <w:color w:val="auto"/>
        </w:rPr>
      </w:pPr>
    </w:p>
    <w:p>
      <w:pPr>
        <w:ind w:left="1040" w:hanging="1410"/>
        <w:spacing w:after="0" w:line="235" w:lineRule="auto"/>
        <w:tabs>
          <w:tab w:leader="none" w:pos="1020" w:val="left"/>
        </w:tabs>
        <w:rPr>
          <w:sz w:val="20"/>
          <w:szCs w:val="20"/>
          <w:color w:val="auto"/>
        </w:rPr>
      </w:pPr>
      <w:r>
        <w:rPr>
          <w:rFonts w:ascii="Arial" w:cs="Arial" w:eastAsia="Arial" w:hAnsi="Arial"/>
          <w:sz w:val="20"/>
          <w:szCs w:val="20"/>
          <w:color w:val="auto"/>
        </w:rPr>
        <w:t>10.31**</w:t>
      </w:r>
      <w:r>
        <w:rPr>
          <w:sz w:val="20"/>
          <w:szCs w:val="20"/>
          <w:color w:val="auto"/>
        </w:rPr>
        <w:tab/>
      </w:r>
      <w:r>
        <w:rPr>
          <w:rFonts w:ascii="Arial" w:cs="Arial" w:eastAsia="Arial" w:hAnsi="Arial"/>
          <w:sz w:val="20"/>
          <w:szCs w:val="20"/>
          <w:color w:val="auto"/>
        </w:rPr>
        <w:t>— Form of LTIP Grant Letter dated August 13, 2020 (Directors) (incorporated by reference to Exhibit 10.2 to our Quarterly Report on Form 10-Q for the quarter ended September 30, 2020).</w:t>
      </w:r>
    </w:p>
    <w:p>
      <w:pPr>
        <w:spacing w:after="0" w:line="182" w:lineRule="exact"/>
        <w:rPr>
          <w:sz w:val="20"/>
          <w:szCs w:val="20"/>
          <w:color w:val="auto"/>
        </w:rPr>
      </w:pPr>
    </w:p>
    <w:p>
      <w:pPr>
        <w:ind w:left="1040" w:right="380" w:hanging="1410"/>
        <w:spacing w:after="0" w:line="224" w:lineRule="auto"/>
        <w:tabs>
          <w:tab w:leader="none" w:pos="1020" w:val="left"/>
        </w:tabs>
        <w:rPr>
          <w:sz w:val="20"/>
          <w:szCs w:val="20"/>
          <w:color w:val="auto"/>
        </w:rPr>
      </w:pPr>
      <w:r>
        <w:rPr>
          <w:rFonts w:ascii="Arial" w:cs="Arial" w:eastAsia="Arial" w:hAnsi="Arial"/>
          <w:sz w:val="20"/>
          <w:szCs w:val="20"/>
          <w:color w:val="auto"/>
        </w:rPr>
        <w:t>10.32</w:t>
      </w:r>
      <w:r>
        <w:rPr>
          <w:sz w:val="20"/>
          <w:szCs w:val="20"/>
          <w:color w:val="auto"/>
        </w:rPr>
        <w:tab/>
      </w:r>
      <w:r>
        <w:rPr>
          <w:rFonts w:ascii="Arial" w:cs="Arial" w:eastAsia="Arial" w:hAnsi="Arial"/>
          <w:sz w:val="20"/>
          <w:szCs w:val="20"/>
          <w:color w:val="auto"/>
        </w:rPr>
        <w:t>— Contribution Agreement dated October 21, 2013, by and among Plains GP Holdings, L.P., PAA GP Holdings LLC and the other parties signatory thereto (incorporated by reference to Exhibit 10.2 to our Current Report on Form 8-K filed October 25, 2013).</w:t>
      </w:r>
    </w:p>
    <w:p>
      <w:pPr>
        <w:spacing w:after="0" w:line="165" w:lineRule="exact"/>
        <w:rPr>
          <w:sz w:val="20"/>
          <w:szCs w:val="20"/>
          <w:color w:val="auto"/>
        </w:rPr>
      </w:pPr>
    </w:p>
    <w:p>
      <w:pPr>
        <w:ind w:left="1040" w:right="420" w:hanging="1410"/>
        <w:spacing w:after="0" w:line="313" w:lineRule="auto"/>
        <w:tabs>
          <w:tab w:leader="none" w:pos="1020" w:val="left"/>
        </w:tabs>
        <w:rPr>
          <w:sz w:val="20"/>
          <w:szCs w:val="20"/>
          <w:color w:val="auto"/>
        </w:rPr>
      </w:pPr>
      <w:r>
        <w:rPr>
          <w:rFonts w:ascii="Arial" w:cs="Arial" w:eastAsia="Arial" w:hAnsi="Arial"/>
          <w:sz w:val="20"/>
          <w:szCs w:val="20"/>
          <w:color w:val="auto"/>
        </w:rPr>
        <w:t>10.33**</w:t>
      </w:r>
      <w:r>
        <w:rPr>
          <w:sz w:val="20"/>
          <w:szCs w:val="20"/>
          <w:color w:val="auto"/>
        </w:rPr>
        <w:tab/>
      </w:r>
      <w:r>
        <w:rPr>
          <w:rFonts w:ascii="Arial" w:cs="Arial" w:eastAsia="Arial" w:hAnsi="Arial"/>
          <w:sz w:val="17"/>
          <w:szCs w:val="17"/>
          <w:color w:val="auto"/>
        </w:rPr>
        <w:t>— Form of Special Retention LTIP Grant Letter dated November 20, 2019 (incorporated by reference to Exhibit 10.54 to our Annual Report on Form 10-K for the year ended December 31, 2020).</w:t>
      </w:r>
    </w:p>
    <w:p>
      <w:pPr>
        <w:spacing w:after="0" w:line="122" w:lineRule="exact"/>
        <w:rPr>
          <w:sz w:val="20"/>
          <w:szCs w:val="20"/>
          <w:color w:val="auto"/>
        </w:rPr>
      </w:pPr>
    </w:p>
    <w:p>
      <w:pPr>
        <w:ind w:left="1040" w:right="340" w:hanging="1410"/>
        <w:spacing w:after="0" w:line="224" w:lineRule="auto"/>
        <w:tabs>
          <w:tab w:leader="none" w:pos="1020" w:val="left"/>
        </w:tabs>
        <w:rPr>
          <w:sz w:val="20"/>
          <w:szCs w:val="20"/>
          <w:color w:val="auto"/>
        </w:rPr>
      </w:pPr>
      <w:r>
        <w:rPr>
          <w:rFonts w:ascii="Arial" w:cs="Arial" w:eastAsia="Arial" w:hAnsi="Arial"/>
          <w:sz w:val="20"/>
          <w:szCs w:val="20"/>
          <w:color w:val="auto"/>
        </w:rPr>
        <w:t>10.34**</w:t>
      </w:r>
      <w:r>
        <w:rPr>
          <w:sz w:val="20"/>
          <w:szCs w:val="20"/>
          <w:color w:val="auto"/>
        </w:rPr>
        <w:tab/>
      </w:r>
      <w:r>
        <w:rPr>
          <w:rFonts w:ascii="Arial" w:cs="Arial" w:eastAsia="Arial" w:hAnsi="Arial"/>
          <w:sz w:val="20"/>
          <w:szCs w:val="20"/>
          <w:color w:val="auto"/>
        </w:rPr>
        <w:t>— Form of Amended and Restated Special Retention LTIP Grant Letter Dated February 24, 2022 (incorporated by reference to Exhibit 10.1 to our Quarterly Report on Form 10-Q for the quarter ended March 31, 2022).</w:t>
      </w:r>
    </w:p>
    <w:p>
      <w:pPr>
        <w:spacing w:after="0" w:line="179" w:lineRule="exact"/>
        <w:rPr>
          <w:sz w:val="20"/>
          <w:szCs w:val="20"/>
          <w:color w:val="auto"/>
        </w:rPr>
      </w:pPr>
    </w:p>
    <w:p>
      <w:pPr>
        <w:ind w:left="1040" w:right="60" w:hanging="1410"/>
        <w:spacing w:after="0" w:line="313" w:lineRule="auto"/>
        <w:tabs>
          <w:tab w:leader="none" w:pos="1020" w:val="left"/>
        </w:tabs>
        <w:rPr>
          <w:sz w:val="20"/>
          <w:szCs w:val="20"/>
          <w:color w:val="auto"/>
        </w:rPr>
      </w:pPr>
      <w:r>
        <w:rPr>
          <w:rFonts w:ascii="Arial" w:cs="Arial" w:eastAsia="Arial" w:hAnsi="Arial"/>
          <w:sz w:val="20"/>
          <w:szCs w:val="20"/>
          <w:color w:val="auto"/>
        </w:rPr>
        <w:t>10.35**</w:t>
      </w:r>
      <w:r>
        <w:rPr>
          <w:sz w:val="20"/>
          <w:szCs w:val="20"/>
          <w:color w:val="auto"/>
        </w:rPr>
        <w:tab/>
      </w:r>
      <w:r>
        <w:rPr>
          <w:rFonts w:ascii="Arial" w:cs="Arial" w:eastAsia="Arial" w:hAnsi="Arial"/>
          <w:sz w:val="17"/>
          <w:szCs w:val="17"/>
          <w:color w:val="auto"/>
        </w:rPr>
        <w:t>— Form of LTIP Grant Letter dated August 19, 2021 (Named Executive Officers) (incorporated by reference to Exhibit 10.3 to our Quarterly Report on Form 10-Q for the quarter ended September 30, 2021).</w:t>
      </w:r>
    </w:p>
    <w:p>
      <w:pPr>
        <w:spacing w:after="0" w:line="122" w:lineRule="exact"/>
        <w:rPr>
          <w:sz w:val="20"/>
          <w:szCs w:val="20"/>
          <w:color w:val="auto"/>
        </w:rPr>
      </w:pPr>
    </w:p>
    <w:p>
      <w:pPr>
        <w:ind w:left="1040" w:hanging="1410"/>
        <w:spacing w:after="0" w:line="235" w:lineRule="auto"/>
        <w:tabs>
          <w:tab w:leader="none" w:pos="1020" w:val="left"/>
        </w:tabs>
        <w:rPr>
          <w:sz w:val="20"/>
          <w:szCs w:val="20"/>
          <w:color w:val="auto"/>
        </w:rPr>
      </w:pPr>
      <w:r>
        <w:rPr>
          <w:rFonts w:ascii="Arial" w:cs="Arial" w:eastAsia="Arial" w:hAnsi="Arial"/>
          <w:sz w:val="20"/>
          <w:szCs w:val="20"/>
          <w:color w:val="auto"/>
        </w:rPr>
        <w:t>10.36**</w:t>
      </w:r>
      <w:r>
        <w:rPr>
          <w:sz w:val="20"/>
          <w:szCs w:val="20"/>
          <w:color w:val="auto"/>
        </w:rPr>
        <w:tab/>
      </w:r>
      <w:r>
        <w:rPr>
          <w:rFonts w:ascii="Arial" w:cs="Arial" w:eastAsia="Arial" w:hAnsi="Arial"/>
          <w:sz w:val="20"/>
          <w:szCs w:val="20"/>
          <w:color w:val="auto"/>
        </w:rPr>
        <w:t>— Form of LTIP Grant Letter dated August 19, 2021 (Directors) (incorporated by reference to Exhibit 10.4 to our Quarterly Report on Form 10-Q for the quarter ended September 30, 2021).</w:t>
      </w:r>
    </w:p>
    <w:p>
      <w:pPr>
        <w:spacing w:after="0" w:line="182" w:lineRule="exact"/>
        <w:rPr>
          <w:sz w:val="20"/>
          <w:szCs w:val="20"/>
          <w:color w:val="auto"/>
        </w:rPr>
      </w:pPr>
    </w:p>
    <w:p>
      <w:pPr>
        <w:ind w:left="1040" w:right="60" w:hanging="1410"/>
        <w:spacing w:after="0" w:line="313" w:lineRule="auto"/>
        <w:tabs>
          <w:tab w:leader="none" w:pos="1020" w:val="left"/>
        </w:tabs>
        <w:rPr>
          <w:sz w:val="20"/>
          <w:szCs w:val="20"/>
          <w:color w:val="auto"/>
        </w:rPr>
      </w:pPr>
      <w:r>
        <w:rPr>
          <w:rFonts w:ascii="Arial" w:cs="Arial" w:eastAsia="Arial" w:hAnsi="Arial"/>
          <w:sz w:val="20"/>
          <w:szCs w:val="20"/>
          <w:color w:val="auto"/>
        </w:rPr>
        <w:t>10.37**</w:t>
      </w:r>
      <w:r>
        <w:rPr>
          <w:sz w:val="20"/>
          <w:szCs w:val="20"/>
          <w:color w:val="auto"/>
        </w:rPr>
        <w:tab/>
      </w:r>
      <w:r>
        <w:rPr>
          <w:rFonts w:ascii="Arial" w:cs="Arial" w:eastAsia="Arial" w:hAnsi="Arial"/>
          <w:sz w:val="17"/>
          <w:szCs w:val="17"/>
          <w:color w:val="auto"/>
        </w:rPr>
        <w:t>— Form of LTIP Grant Letter dated August 18, 2022 (Named Executive Officers) (incorporated by reference to Exhibit 10.4 to our Quarterly Report on Form 10-Q for the quarter ended September 30, 2022).</w:t>
      </w:r>
    </w:p>
    <w:p>
      <w:pPr>
        <w:spacing w:after="0" w:line="93" w:lineRule="exact"/>
        <w:rPr>
          <w:sz w:val="20"/>
          <w:szCs w:val="20"/>
          <w:color w:val="auto"/>
        </w:rPr>
      </w:pPr>
    </w:p>
    <w:p>
      <w:pPr>
        <w:ind w:left="1040" w:right="60" w:hanging="1410"/>
        <w:spacing w:after="0" w:line="313" w:lineRule="auto"/>
        <w:tabs>
          <w:tab w:leader="none" w:pos="1020" w:val="left"/>
        </w:tabs>
        <w:rPr>
          <w:sz w:val="20"/>
          <w:szCs w:val="20"/>
          <w:color w:val="auto"/>
        </w:rPr>
      </w:pPr>
      <w:r>
        <w:rPr>
          <w:rFonts w:ascii="Arial" w:cs="Arial" w:eastAsia="Arial" w:hAnsi="Arial"/>
          <w:sz w:val="20"/>
          <w:szCs w:val="20"/>
          <w:color w:val="auto"/>
        </w:rPr>
        <w:t>10.38**</w:t>
      </w:r>
      <w:r>
        <w:rPr>
          <w:sz w:val="20"/>
          <w:szCs w:val="20"/>
          <w:color w:val="auto"/>
        </w:rPr>
        <w:tab/>
      </w:r>
      <w:r>
        <w:rPr>
          <w:rFonts w:ascii="Arial" w:cs="Arial" w:eastAsia="Arial" w:hAnsi="Arial"/>
          <w:sz w:val="17"/>
          <w:szCs w:val="17"/>
          <w:color w:val="auto"/>
        </w:rPr>
        <w:t>— Form of LTIP Grant Letter dated August 17, 2023 (Named Executive Officers) (incorporated by reference to Exhibit 10.1 to our Quarterly Report on Form 10-Q for the quarter ended September 30, 2023).</w:t>
      </w:r>
    </w:p>
    <w:p>
      <w:pPr>
        <w:spacing w:after="0" w:line="122" w:lineRule="exact"/>
        <w:rPr>
          <w:sz w:val="20"/>
          <w:szCs w:val="20"/>
          <w:color w:val="auto"/>
        </w:rPr>
      </w:pPr>
    </w:p>
    <w:p>
      <w:pPr>
        <w:ind w:left="1040" w:hanging="1410"/>
        <w:spacing w:after="0" w:line="235" w:lineRule="auto"/>
        <w:tabs>
          <w:tab w:leader="none" w:pos="1020" w:val="left"/>
        </w:tabs>
        <w:rPr>
          <w:sz w:val="20"/>
          <w:szCs w:val="20"/>
          <w:color w:val="auto"/>
        </w:rPr>
      </w:pPr>
      <w:r>
        <w:rPr>
          <w:rFonts w:ascii="Arial" w:cs="Arial" w:eastAsia="Arial" w:hAnsi="Arial"/>
          <w:sz w:val="20"/>
          <w:szCs w:val="20"/>
          <w:color w:val="auto"/>
        </w:rPr>
        <w:t>10.39**</w:t>
      </w:r>
      <w:r>
        <w:rPr>
          <w:sz w:val="20"/>
          <w:szCs w:val="20"/>
          <w:color w:val="auto"/>
        </w:rPr>
        <w:tab/>
      </w:r>
      <w:r>
        <w:rPr>
          <w:rFonts w:ascii="Arial" w:cs="Arial" w:eastAsia="Arial" w:hAnsi="Arial"/>
          <w:sz w:val="20"/>
          <w:szCs w:val="20"/>
          <w:color w:val="auto"/>
        </w:rPr>
        <w:t>— Form of LTIP Grant Letter dated August 17, 2023 (Directors) (incorporated by reference to Exhibit 10.2 to our Quarterly Report on Form 10-Q for the quarter ended September 30, 2023).</w:t>
      </w:r>
    </w:p>
    <w:p>
      <w:pPr>
        <w:spacing w:after="0" w:line="182" w:lineRule="exact"/>
        <w:rPr>
          <w:sz w:val="20"/>
          <w:szCs w:val="20"/>
          <w:color w:val="auto"/>
        </w:rPr>
      </w:pPr>
    </w:p>
    <w:p>
      <w:pPr>
        <w:ind w:left="1040" w:right="60" w:hanging="1410"/>
        <w:spacing w:after="0" w:line="234" w:lineRule="auto"/>
        <w:tabs>
          <w:tab w:leader="none" w:pos="1020" w:val="left"/>
        </w:tabs>
        <w:rPr>
          <w:sz w:val="20"/>
          <w:szCs w:val="20"/>
          <w:color w:val="auto"/>
        </w:rPr>
      </w:pPr>
      <w:r>
        <w:rPr>
          <w:rFonts w:ascii="Arial" w:cs="Arial" w:eastAsia="Arial" w:hAnsi="Arial"/>
          <w:sz w:val="39"/>
          <w:szCs w:val="39"/>
          <w:color w:val="auto"/>
          <w:vertAlign w:val="superscript"/>
        </w:rPr>
        <w:t>10.40**</w:t>
      </w:r>
      <w:r>
        <w:rPr>
          <w:sz w:val="20"/>
          <w:szCs w:val="20"/>
          <w:color w:val="auto"/>
        </w:rPr>
        <w:tab/>
      </w:r>
      <w:r>
        <w:rPr>
          <w:rFonts w:ascii="Arial" w:cs="Arial" w:eastAsia="Arial" w:hAnsi="Arial"/>
          <w:sz w:val="23"/>
          <w:szCs w:val="23"/>
          <w:color w:val="auto"/>
          <w:vertAlign w:val="superscript"/>
        </w:rPr>
        <w:t xml:space="preserve">— </w:t>
      </w:r>
      <w:r>
        <w:rPr>
          <w:rFonts w:ascii="Arial" w:cs="Arial" w:eastAsia="Arial" w:hAnsi="Arial"/>
          <w:sz w:val="23"/>
          <w:szCs w:val="23"/>
          <w:color w:val="auto"/>
        </w:rPr>
        <w:t xml:space="preserve">Form of LTIP Grant Letter dated August 15, 2024 (Named Executive Officers) (incorporated by reference </w:t>
      </w:r>
      <w:r>
        <w:rPr>
          <w:rFonts w:ascii="Arial" w:cs="Arial" w:eastAsia="Arial" w:hAnsi="Arial"/>
          <w:sz w:val="13"/>
          <w:szCs w:val="13"/>
          <w:color w:val="auto"/>
        </w:rPr>
        <w:t>to Exhibit 10.3 to our Quarterly Report on Form 10-Q for the quarter ended September 30, 2024).</w:t>
      </w:r>
    </w:p>
    <w:p>
      <w:pPr>
        <w:spacing w:after="0" w:line="116" w:lineRule="exact"/>
        <w:rPr>
          <w:sz w:val="20"/>
          <w:szCs w:val="20"/>
          <w:color w:val="auto"/>
        </w:rPr>
      </w:pPr>
    </w:p>
    <w:p>
      <w:pPr>
        <w:ind w:left="1040" w:hanging="1410"/>
        <w:spacing w:after="0" w:line="215" w:lineRule="auto"/>
        <w:tabs>
          <w:tab w:leader="none" w:pos="1020" w:val="left"/>
        </w:tabs>
        <w:rPr>
          <w:sz w:val="20"/>
          <w:szCs w:val="20"/>
          <w:color w:val="auto"/>
        </w:rPr>
      </w:pPr>
      <w:r>
        <w:rPr>
          <w:rFonts w:ascii="Arial" w:cs="Arial" w:eastAsia="Arial" w:hAnsi="Arial"/>
          <w:sz w:val="39"/>
          <w:szCs w:val="39"/>
          <w:color w:val="auto"/>
          <w:vertAlign w:val="superscript"/>
        </w:rPr>
        <w:t>10.41**</w:t>
      </w:r>
      <w:r>
        <w:rPr>
          <w:sz w:val="20"/>
          <w:szCs w:val="20"/>
          <w:color w:val="auto"/>
        </w:rPr>
        <w:tab/>
      </w:r>
      <w:r>
        <w:rPr>
          <w:rFonts w:ascii="Arial" w:cs="Arial" w:eastAsia="Arial" w:hAnsi="Arial"/>
          <w:sz w:val="25"/>
          <w:szCs w:val="25"/>
          <w:color w:val="auto"/>
          <w:vertAlign w:val="superscript"/>
        </w:rPr>
        <w:t xml:space="preserve">— </w:t>
      </w:r>
      <w:r>
        <w:rPr>
          <w:rFonts w:ascii="Arial" w:cs="Arial" w:eastAsia="Arial" w:hAnsi="Arial"/>
          <w:sz w:val="25"/>
          <w:szCs w:val="25"/>
          <w:color w:val="auto"/>
        </w:rPr>
        <w:t xml:space="preserve">Form of LTIP Grant Letter dated August 15, 2024 (Directors) (incorporated by reference to Exhibit 10.4 to </w:t>
      </w:r>
      <w:r>
        <w:rPr>
          <w:rFonts w:ascii="Arial" w:cs="Arial" w:eastAsia="Arial" w:hAnsi="Arial"/>
          <w:sz w:val="14"/>
          <w:szCs w:val="14"/>
          <w:color w:val="auto"/>
        </w:rPr>
        <w:t>our Quarterly Report on Form 10-Q for the quarter ended September 30, 2024).</w:t>
      </w:r>
    </w:p>
    <w:p>
      <w:pPr>
        <w:spacing w:after="0" w:line="116"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19.1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Policy on Insider Trading.</w:t>
      </w:r>
    </w:p>
    <w:p>
      <w:pPr>
        <w:spacing w:after="0" w:line="182"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19.2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Policy Regarding Special Trading Procedures.</w:t>
      </w:r>
    </w:p>
    <w:p>
      <w:pPr>
        <w:spacing w:after="0" w:line="182"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21.1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List of Subsidiaries of Plains GP Holdings, L.P.</w:t>
      </w:r>
    </w:p>
    <w:p>
      <w:pPr>
        <w:spacing w:after="0" w:line="182"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23.1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Consent of PricewaterhouseCoopers LLP.</w:t>
      </w:r>
    </w:p>
    <w:p>
      <w:pPr>
        <w:spacing w:after="0" w:line="182"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31.1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Certification of Principal Executive Officer pursuant to Exchange Act Rules 13a-14(a) and 15d-14(a).</w:t>
      </w:r>
    </w:p>
    <w:p>
      <w:pPr>
        <w:spacing w:after="0" w:line="182"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31.2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Certification of Principal Financial Officer pursuant to Exchange Act Rules 13a-14(a) and 15d-14(a).</w:t>
      </w:r>
    </w:p>
    <w:p>
      <w:pPr>
        <w:spacing w:after="0" w:line="182"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32.1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Certification of Principal Executive Officer pursuant to 18 U.S.C. 1350.</w:t>
      </w:r>
    </w:p>
    <w:p>
      <w:pPr>
        <w:spacing w:after="0" w:line="182"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20"/>
          <w:szCs w:val="20"/>
          <w:color w:val="auto"/>
        </w:rPr>
        <w:t>32.2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Certification of Principal Financial Officer pursuant to 18 U.S.C. 1350.</w:t>
      </w:r>
    </w:p>
    <w:p>
      <w:pPr>
        <w:spacing w:after="0" w:line="182" w:lineRule="exact"/>
        <w:rPr>
          <w:sz w:val="20"/>
          <w:szCs w:val="20"/>
          <w:color w:val="auto"/>
        </w:rPr>
      </w:pPr>
    </w:p>
    <w:p>
      <w:pPr>
        <w:ind w:left="1040" w:right="120" w:hanging="1410"/>
        <w:spacing w:after="0" w:line="235" w:lineRule="auto"/>
        <w:tabs>
          <w:tab w:leader="none" w:pos="1020" w:val="left"/>
        </w:tabs>
        <w:rPr>
          <w:sz w:val="20"/>
          <w:szCs w:val="20"/>
          <w:color w:val="auto"/>
        </w:rPr>
      </w:pPr>
      <w:r>
        <w:rPr>
          <w:rFonts w:ascii="Arial" w:cs="Arial" w:eastAsia="Arial" w:hAnsi="Arial"/>
          <w:sz w:val="20"/>
          <w:szCs w:val="20"/>
          <w:color w:val="auto"/>
        </w:rPr>
        <w:t>97.1</w:t>
      </w:r>
      <w:r>
        <w:rPr>
          <w:sz w:val="20"/>
          <w:szCs w:val="20"/>
          <w:color w:val="auto"/>
        </w:rPr>
        <w:tab/>
      </w:r>
      <w:r>
        <w:rPr>
          <w:rFonts w:ascii="Arial" w:cs="Arial" w:eastAsia="Arial" w:hAnsi="Arial"/>
          <w:sz w:val="20"/>
          <w:szCs w:val="20"/>
          <w:color w:val="auto"/>
        </w:rPr>
        <w:t>— Amended and Restated Clawback Policy (incorporated by reference to Exhibit 97.1 to our Annual Report on Form 10-K for the year ended December 31, 2023).</w:t>
      </w:r>
    </w:p>
    <w:p>
      <w:pPr>
        <w:spacing w:after="0" w:line="152" w:lineRule="exact"/>
        <w:rPr>
          <w:sz w:val="20"/>
          <w:szCs w:val="20"/>
          <w:color w:val="auto"/>
        </w:rPr>
      </w:pPr>
    </w:p>
    <w:p>
      <w:pPr>
        <w:ind w:left="1420" w:right="60" w:hanging="1416"/>
        <w:spacing w:after="0" w:line="235" w:lineRule="auto"/>
        <w:tabs>
          <w:tab w:leader="none" w:pos="401"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INS† — XBRL Instance Document - the instance document does not appear in the Interactive Data File because its XBRL tags are embedded within the Inline XBRL document.</w:t>
      </w:r>
    </w:p>
    <w:p>
      <w:pPr>
        <w:sectPr>
          <w:pgSz w:w="11880" w:h="15480" w:orient="portrait"/>
          <w:cols w:equalWidth="0" w:num="1">
            <w:col w:w="9800"/>
          </w:cols>
          <w:pgMar w:left="960" w:top="656" w:right="112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9800"/>
          </w:cols>
          <w:pgMar w:left="960" w:top="656" w:right="1120" w:bottom="0" w:gutter="0" w:footer="0" w:header="0"/>
          <w:type w:val="continuous"/>
        </w:sectPr>
      </w:pPr>
    </w:p>
    <w:bookmarkStart w:id="102" w:name="page103"/>
    <w:bookmarkEnd w:id="102"/>
    <w:p>
      <w:pPr>
        <w:ind w:left="47"/>
        <w:spacing w:after="0"/>
        <w:tabs>
          <w:tab w:leader="none" w:pos="1067" w:val="left"/>
          <w:tab w:leader="none" w:pos="1447" w:val="left"/>
        </w:tabs>
        <w:rPr>
          <w:sz w:val="20"/>
          <w:szCs w:val="20"/>
          <w:color w:val="auto"/>
        </w:rPr>
      </w:pPr>
      <w:r>
        <w:rPr>
          <w:rFonts w:ascii="Arial" w:cs="Arial" w:eastAsia="Arial" w:hAnsi="Arial"/>
          <w:sz w:val="20"/>
          <w:szCs w:val="20"/>
          <w:color w:val="auto"/>
        </w:rPr>
        <w:t>101.SCH†</w:t>
        <w:tab/>
        <w:t>—</w:t>
      </w:r>
      <w:r>
        <w:rPr>
          <w:sz w:val="20"/>
          <w:szCs w:val="20"/>
          <w:color w:val="auto"/>
        </w:rPr>
        <w:tab/>
      </w:r>
      <w:r>
        <w:rPr>
          <w:rFonts w:ascii="Arial" w:cs="Arial" w:eastAsia="Arial" w:hAnsi="Arial"/>
          <w:sz w:val="17"/>
          <w:szCs w:val="17"/>
          <w:color w:val="auto"/>
        </w:rPr>
        <w:t>Inline XBRL Taxonomy Extension Schema Document</w:t>
      </w:r>
    </w:p>
    <w:p>
      <w:pPr>
        <w:spacing w:after="0" w:line="182" w:lineRule="exact"/>
        <w:rPr>
          <w:sz w:val="20"/>
          <w:szCs w:val="20"/>
          <w:color w:val="auto"/>
        </w:rPr>
      </w:pPr>
    </w:p>
    <w:p>
      <w:pPr>
        <w:ind w:left="47"/>
        <w:spacing w:after="0"/>
        <w:tabs>
          <w:tab w:leader="none" w:pos="1067" w:val="left"/>
          <w:tab w:leader="none" w:pos="1447" w:val="left"/>
        </w:tabs>
        <w:rPr>
          <w:sz w:val="20"/>
          <w:szCs w:val="20"/>
          <w:color w:val="auto"/>
        </w:rPr>
      </w:pPr>
      <w:r>
        <w:rPr>
          <w:rFonts w:ascii="Arial" w:cs="Arial" w:eastAsia="Arial" w:hAnsi="Arial"/>
          <w:sz w:val="20"/>
          <w:szCs w:val="20"/>
          <w:color w:val="auto"/>
        </w:rPr>
        <w:t>101.CAL†</w:t>
        <w:tab/>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182" w:lineRule="exact"/>
        <w:rPr>
          <w:sz w:val="20"/>
          <w:szCs w:val="20"/>
          <w:color w:val="auto"/>
        </w:rPr>
      </w:pPr>
    </w:p>
    <w:p>
      <w:pPr>
        <w:ind w:left="47"/>
        <w:spacing w:after="0"/>
        <w:tabs>
          <w:tab w:leader="none" w:pos="1067" w:val="left"/>
          <w:tab w:leader="none" w:pos="1447" w:val="left"/>
        </w:tabs>
        <w:rPr>
          <w:sz w:val="20"/>
          <w:szCs w:val="20"/>
          <w:color w:val="auto"/>
        </w:rPr>
      </w:pPr>
      <w:r>
        <w:rPr>
          <w:rFonts w:ascii="Arial" w:cs="Arial" w:eastAsia="Arial" w:hAnsi="Arial"/>
          <w:sz w:val="20"/>
          <w:szCs w:val="20"/>
          <w:color w:val="auto"/>
        </w:rPr>
        <w:t>101.DEF†</w:t>
        <w:tab/>
        <w:t>—</w:t>
      </w:r>
      <w:r>
        <w:rPr>
          <w:sz w:val="20"/>
          <w:szCs w:val="20"/>
          <w:color w:val="auto"/>
        </w:rPr>
        <w:tab/>
      </w:r>
      <w:r>
        <w:rPr>
          <w:rFonts w:ascii="Arial" w:cs="Arial" w:eastAsia="Arial" w:hAnsi="Arial"/>
          <w:sz w:val="17"/>
          <w:szCs w:val="17"/>
          <w:color w:val="auto"/>
        </w:rPr>
        <w:t>Inline XBRL Taxonomy Extension Definition Linkbase Document</w:t>
      </w:r>
    </w:p>
    <w:p>
      <w:pPr>
        <w:spacing w:after="0" w:line="182" w:lineRule="exact"/>
        <w:rPr>
          <w:sz w:val="20"/>
          <w:szCs w:val="20"/>
          <w:color w:val="auto"/>
        </w:rPr>
      </w:pPr>
    </w:p>
    <w:p>
      <w:pPr>
        <w:ind w:left="47"/>
        <w:spacing w:after="0"/>
        <w:tabs>
          <w:tab w:leader="none" w:pos="1067" w:val="left"/>
          <w:tab w:leader="none" w:pos="1447" w:val="left"/>
        </w:tabs>
        <w:rPr>
          <w:sz w:val="20"/>
          <w:szCs w:val="20"/>
          <w:color w:val="auto"/>
        </w:rPr>
      </w:pPr>
      <w:r>
        <w:rPr>
          <w:rFonts w:ascii="Arial" w:cs="Arial" w:eastAsia="Arial" w:hAnsi="Arial"/>
          <w:sz w:val="20"/>
          <w:szCs w:val="20"/>
          <w:color w:val="auto"/>
        </w:rPr>
        <w:t>101.LAB†</w:t>
        <w:tab/>
        <w:t>—</w:t>
      </w:r>
      <w:r>
        <w:rPr>
          <w:sz w:val="20"/>
          <w:szCs w:val="20"/>
          <w:color w:val="auto"/>
        </w:rPr>
        <w:tab/>
      </w:r>
      <w:r>
        <w:rPr>
          <w:rFonts w:ascii="Arial" w:cs="Arial" w:eastAsia="Arial" w:hAnsi="Arial"/>
          <w:sz w:val="17"/>
          <w:szCs w:val="17"/>
          <w:color w:val="auto"/>
        </w:rPr>
        <w:t>Inline XBRL Taxonomy Extension Label Linkbase Document</w:t>
      </w:r>
    </w:p>
    <w:p>
      <w:pPr>
        <w:spacing w:after="0" w:line="182" w:lineRule="exact"/>
        <w:rPr>
          <w:sz w:val="20"/>
          <w:szCs w:val="20"/>
          <w:color w:val="auto"/>
        </w:rPr>
      </w:pPr>
    </w:p>
    <w:p>
      <w:pPr>
        <w:ind w:left="47"/>
        <w:spacing w:after="0"/>
        <w:tabs>
          <w:tab w:leader="none" w:pos="1067" w:val="left"/>
          <w:tab w:leader="none" w:pos="1447" w:val="left"/>
        </w:tabs>
        <w:rPr>
          <w:sz w:val="20"/>
          <w:szCs w:val="20"/>
          <w:color w:val="auto"/>
        </w:rPr>
      </w:pPr>
      <w:r>
        <w:rPr>
          <w:rFonts w:ascii="Arial" w:cs="Arial" w:eastAsia="Arial" w:hAnsi="Arial"/>
          <w:sz w:val="20"/>
          <w:szCs w:val="20"/>
          <w:color w:val="auto"/>
        </w:rPr>
        <w:t>101.PRE†</w:t>
        <w:tab/>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182" w:lineRule="exact"/>
        <w:rPr>
          <w:sz w:val="20"/>
          <w:szCs w:val="20"/>
          <w:color w:val="auto"/>
        </w:rPr>
      </w:pPr>
    </w:p>
    <w:p>
      <w:pPr>
        <w:ind w:left="47"/>
        <w:spacing w:after="0"/>
        <w:tabs>
          <w:tab w:leader="none" w:pos="1067" w:val="left"/>
          <w:tab w:leader="none" w:pos="1447"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205359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3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61.7pt,11.1pt" o:allowincell="f" strokecolor="#000000" strokeweight="1pt"/>
            </w:pict>
          </mc:Fallback>
        </mc:AlternateContent>
      </w:r>
    </w:p>
    <w:p>
      <w:pPr>
        <w:spacing w:after="0" w:line="358" w:lineRule="exact"/>
        <w:rPr>
          <w:sz w:val="20"/>
          <w:szCs w:val="20"/>
          <w:color w:val="auto"/>
        </w:rPr>
      </w:pPr>
    </w:p>
    <w:p>
      <w:pPr>
        <w:ind w:left="347" w:hanging="347"/>
        <w:spacing w:after="0"/>
        <w:tabs>
          <w:tab w:leader="none" w:pos="347" w:val="left"/>
        </w:tabs>
        <w:numPr>
          <w:ilvl w:val="0"/>
          <w:numId w:val="62"/>
        </w:numPr>
        <w:rPr>
          <w:rFonts w:ascii="Arial" w:cs="Arial" w:eastAsia="Arial" w:hAnsi="Arial"/>
          <w:sz w:val="14"/>
          <w:szCs w:val="14"/>
          <w:color w:val="auto"/>
        </w:rPr>
      </w:pPr>
      <w:r>
        <w:rPr>
          <w:rFonts w:ascii="Arial" w:cs="Arial" w:eastAsia="Arial" w:hAnsi="Arial"/>
          <w:sz w:val="20"/>
          <w:szCs w:val="20"/>
          <w:color w:val="auto"/>
        </w:rPr>
        <w:t>Filed herewith.</w:t>
      </w:r>
    </w:p>
    <w:p>
      <w:pPr>
        <w:spacing w:after="0" w:line="123" w:lineRule="exact"/>
        <w:rPr>
          <w:sz w:val="20"/>
          <w:szCs w:val="20"/>
          <w:color w:val="auto"/>
        </w:rPr>
      </w:pPr>
    </w:p>
    <w:p>
      <w:pPr>
        <w:ind w:left="347" w:hanging="347"/>
        <w:spacing w:after="0"/>
        <w:tabs>
          <w:tab w:leader="none" w:pos="347" w:val="left"/>
        </w:tabs>
        <w:numPr>
          <w:ilvl w:val="0"/>
          <w:numId w:val="63"/>
        </w:numPr>
        <w:rPr>
          <w:rFonts w:ascii="Arial" w:cs="Arial" w:eastAsia="Arial" w:hAnsi="Arial"/>
          <w:sz w:val="14"/>
          <w:szCs w:val="14"/>
          <w:color w:val="auto"/>
        </w:rPr>
      </w:pPr>
      <w:r>
        <w:rPr>
          <w:rFonts w:ascii="Arial" w:cs="Arial" w:eastAsia="Arial" w:hAnsi="Arial"/>
          <w:sz w:val="20"/>
          <w:szCs w:val="20"/>
          <w:color w:val="auto"/>
        </w:rPr>
        <w:t>Furnished herewith.</w:t>
      </w:r>
    </w:p>
    <w:p>
      <w:pPr>
        <w:spacing w:after="0" w:line="123" w:lineRule="exact"/>
        <w:rPr>
          <w:sz w:val="20"/>
          <w:szCs w:val="20"/>
          <w:color w:val="auto"/>
        </w:rPr>
      </w:pPr>
    </w:p>
    <w:p>
      <w:pPr>
        <w:ind w:left="707" w:hanging="707"/>
        <w:spacing w:after="0" w:line="271" w:lineRule="auto"/>
        <w:tabs>
          <w:tab w:leader="none" w:pos="707" w:val="left"/>
        </w:tabs>
        <w:numPr>
          <w:ilvl w:val="0"/>
          <w:numId w:val="64"/>
        </w:numPr>
        <w:rPr>
          <w:rFonts w:ascii="Arial" w:cs="Arial" w:eastAsia="Arial" w:hAnsi="Arial"/>
          <w:sz w:val="20"/>
          <w:szCs w:val="20"/>
          <w:color w:val="auto"/>
        </w:rPr>
      </w:pPr>
      <w:r>
        <w:rPr>
          <w:rFonts w:ascii="Arial" w:cs="Arial" w:eastAsia="Arial" w:hAnsi="Arial"/>
          <w:sz w:val="20"/>
          <w:szCs w:val="20"/>
          <w:color w:val="auto"/>
        </w:rPr>
        <w:t>Certain schedules have been omitted pursuant to Item 601(b)(2) of Regulation S-K. A copy of any omitted schedule will be furnished supplementally to the SEC upon request.</w:t>
      </w:r>
    </w:p>
    <w:p>
      <w:pPr>
        <w:spacing w:after="0" w:line="69" w:lineRule="exact"/>
        <w:rPr>
          <w:sz w:val="20"/>
          <w:szCs w:val="20"/>
          <w:color w:val="auto"/>
        </w:rPr>
      </w:pPr>
    </w:p>
    <w:p>
      <w:pPr>
        <w:ind w:left="707" w:hanging="707"/>
        <w:spacing w:after="0"/>
        <w:tabs>
          <w:tab w:leader="none" w:pos="707" w:val="left"/>
        </w:tabs>
        <w:numPr>
          <w:ilvl w:val="0"/>
          <w:numId w:val="65"/>
        </w:numPr>
        <w:rPr>
          <w:rFonts w:ascii="Arial" w:cs="Arial" w:eastAsia="Arial" w:hAnsi="Arial"/>
          <w:sz w:val="20"/>
          <w:szCs w:val="20"/>
          <w:color w:val="auto"/>
        </w:rPr>
      </w:pPr>
      <w:r>
        <w:rPr>
          <w:rFonts w:ascii="Arial" w:cs="Arial" w:eastAsia="Arial" w:hAnsi="Arial"/>
          <w:sz w:val="20"/>
          <w:szCs w:val="20"/>
          <w:color w:val="auto"/>
        </w:rPr>
        <w:t>Management compensatory plan or arrangement.</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 xml:space="preserve">Item 16. </w:t>
      </w:r>
      <w:r>
        <w:rPr>
          <w:rFonts w:ascii="Arial" w:cs="Arial" w:eastAsia="Arial" w:hAnsi="Arial"/>
          <w:sz w:val="20"/>
          <w:szCs w:val="20"/>
          <w:b w:val="1"/>
          <w:bCs w:val="1"/>
          <w:i w:val="1"/>
          <w:iCs w:val="1"/>
          <w:color w:val="auto"/>
        </w:rPr>
        <w:t>Form 10-K Summary</w:t>
      </w:r>
    </w:p>
    <w:p>
      <w:pPr>
        <w:spacing w:after="0" w:line="248" w:lineRule="exact"/>
        <w:rPr>
          <w:sz w:val="20"/>
          <w:szCs w:val="20"/>
          <w:color w:val="auto"/>
        </w:rPr>
      </w:pPr>
    </w:p>
    <w:p>
      <w:pPr>
        <w:ind w:left="707"/>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787"/>
          </w:cols>
          <w:pgMar w:left="913" w:top="65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66"/>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9787"/>
          </w:cols>
          <w:pgMar w:left="913" w:top="656" w:right="1180" w:bottom="0" w:gutter="0" w:footer="0" w:header="0"/>
          <w:type w:val="continuous"/>
        </w:sectPr>
      </w:pPr>
    </w:p>
    <w:bookmarkStart w:id="103" w:name="page104"/>
    <w:bookmarkEnd w:id="103"/>
    <w:p>
      <w:pPr>
        <w:jc w:val="center"/>
        <w:ind w:right="-179"/>
        <w:spacing w:after="0"/>
        <w:rPr>
          <w:sz w:val="20"/>
          <w:szCs w:val="20"/>
          <w:color w:val="auto"/>
        </w:rPr>
      </w:pPr>
      <w:r>
        <w:rPr>
          <w:rFonts w:ascii="Arial" w:cs="Arial" w:eastAsia="Arial" w:hAnsi="Arial"/>
          <w:sz w:val="20"/>
          <w:szCs w:val="20"/>
          <w:b w:val="1"/>
          <w:bCs w:val="1"/>
          <w:color w:val="auto"/>
        </w:rPr>
        <w:t>SIGNATURES</w:t>
      </w:r>
    </w:p>
    <w:p>
      <w:pPr>
        <w:spacing w:after="0" w:line="248" w:lineRule="exact"/>
        <w:rPr>
          <w:sz w:val="20"/>
          <w:szCs w:val="20"/>
          <w:color w:val="auto"/>
        </w:rPr>
      </w:pPr>
    </w:p>
    <w:p>
      <w:pPr>
        <w:ind w:right="180" w:firstLine="706"/>
        <w:spacing w:after="0" w:line="298"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PLAINS GP HOLDINGS, L.P.</w:t>
      </w:r>
    </w:p>
    <w:p>
      <w:pPr>
        <w:spacing w:after="0" w:line="5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PAA GP HOLDINGS LLC,</w:t>
      </w:r>
    </w:p>
    <w:p>
      <w:pPr>
        <w:spacing w:after="0" w:line="62" w:lineRule="exact"/>
        <w:rPr>
          <w:sz w:val="20"/>
          <w:szCs w:val="20"/>
          <w:color w:val="auto"/>
        </w:rPr>
      </w:pPr>
    </w:p>
    <w:p>
      <w:pPr>
        <w:ind w:left="5440"/>
        <w:spacing w:after="0"/>
        <w:rPr>
          <w:sz w:val="20"/>
          <w:szCs w:val="20"/>
          <w:color w:val="auto"/>
        </w:rPr>
      </w:pPr>
      <w:r>
        <w:rPr>
          <w:rFonts w:ascii="Arial" w:cs="Arial" w:eastAsia="Arial" w:hAnsi="Arial"/>
          <w:sz w:val="20"/>
          <w:szCs w:val="20"/>
          <w:b w:val="1"/>
          <w:bCs w:val="1"/>
          <w:i w:val="1"/>
          <w:iCs w:val="1"/>
          <w:color w:val="auto"/>
        </w:rPr>
        <w:t>its general partner</w:t>
      </w:r>
    </w:p>
    <w:p>
      <w:pPr>
        <w:spacing w:after="0" w:line="301"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3425190</wp:posOffset>
                </wp:positionH>
                <wp:positionV relativeFrom="paragraph">
                  <wp:posOffset>32385</wp:posOffset>
                </wp:positionV>
                <wp:extent cx="29495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9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7pt,2.55pt" to="501.95pt,2.55pt" o:allowincell="f" strokecolor="#000000" strokeweight="1pt"/>
            </w:pict>
          </mc:Fallback>
        </mc:AlternateContent>
      </w:r>
    </w:p>
    <w:p>
      <w:pPr>
        <w:spacing w:after="0" w:line="37"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Willie Chiang,</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Chairman of the Board and Chief Executive Officer of</w:t>
      </w:r>
    </w:p>
    <w:p>
      <w:pPr>
        <w:ind w:left="5440"/>
        <w:spacing w:after="0"/>
        <w:rPr>
          <w:sz w:val="20"/>
          <w:szCs w:val="20"/>
          <w:color w:val="auto"/>
        </w:rPr>
      </w:pPr>
      <w:r>
        <w:rPr>
          <w:rFonts w:ascii="Arial" w:cs="Arial" w:eastAsia="Arial" w:hAnsi="Arial"/>
          <w:sz w:val="20"/>
          <w:szCs w:val="20"/>
          <w:b w:val="1"/>
          <w:bCs w:val="1"/>
          <w:i w:val="1"/>
          <w:iCs w:val="1"/>
          <w:color w:val="auto"/>
        </w:rPr>
        <w:t>PAA GP Holdings LLC</w:t>
      </w:r>
    </w:p>
    <w:p>
      <w:pPr>
        <w:spacing w:after="0" w:line="33" w:lineRule="exact"/>
        <w:rPr>
          <w:sz w:val="20"/>
          <w:szCs w:val="20"/>
          <w:color w:val="auto"/>
        </w:rPr>
      </w:pPr>
    </w:p>
    <w:p>
      <w:pPr>
        <w:ind w:left="5440"/>
        <w:spacing w:after="0"/>
        <w:rPr>
          <w:sz w:val="20"/>
          <w:szCs w:val="20"/>
          <w:color w:val="auto"/>
        </w:rPr>
      </w:pPr>
      <w:r>
        <w:rPr>
          <w:rFonts w:ascii="Arial" w:cs="Arial" w:eastAsia="Arial" w:hAnsi="Arial"/>
          <w:sz w:val="20"/>
          <w:szCs w:val="20"/>
          <w:b w:val="1"/>
          <w:bCs w:val="1"/>
          <w:i w:val="1"/>
          <w:iCs w:val="1"/>
          <w:color w:val="auto"/>
        </w:rPr>
        <w:t>(Principal Executive Officer)</w:t>
      </w:r>
    </w:p>
    <w:p>
      <w:pPr>
        <w:spacing w:after="0" w:line="292" w:lineRule="exact"/>
        <w:rPr>
          <w:sz w:val="20"/>
          <w:szCs w:val="20"/>
          <w:color w:val="auto"/>
        </w:rPr>
      </w:pPr>
    </w:p>
    <w:p>
      <w:pPr>
        <w:ind w:left="60"/>
        <w:spacing w:after="0"/>
        <w:rPr>
          <w:sz w:val="20"/>
          <w:szCs w:val="20"/>
          <w:color w:val="auto"/>
        </w:rPr>
      </w:pPr>
      <w:r>
        <w:rPr>
          <w:rFonts w:ascii="Arial" w:cs="Arial" w:eastAsia="Arial" w:hAnsi="Arial"/>
          <w:sz w:val="20"/>
          <w:szCs w:val="20"/>
          <w:color w:val="auto"/>
        </w:rPr>
        <w:t>February 27, 2025</w:t>
      </w:r>
    </w:p>
    <w:p>
      <w:pPr>
        <w:spacing w:after="0" w:line="358"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3425190</wp:posOffset>
                </wp:positionH>
                <wp:positionV relativeFrom="paragraph">
                  <wp:posOffset>32385</wp:posOffset>
                </wp:positionV>
                <wp:extent cx="29495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9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7pt,2.55pt" to="501.95pt,2.55pt" o:allowincell="f" strokecolor="#000000" strokeweight="1pt"/>
            </w:pict>
          </mc:Fallback>
        </mc:AlternateContent>
      </w:r>
    </w:p>
    <w:p>
      <w:pPr>
        <w:spacing w:after="0" w:line="37"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Al Swanson,</w:t>
      </w:r>
    </w:p>
    <w:p>
      <w:pPr>
        <w:spacing w:after="0" w:line="49" w:lineRule="exact"/>
        <w:rPr>
          <w:sz w:val="20"/>
          <w:szCs w:val="20"/>
          <w:color w:val="auto"/>
        </w:rPr>
      </w:pPr>
    </w:p>
    <w:p>
      <w:pPr>
        <w:ind w:left="5440"/>
        <w:spacing w:after="0"/>
        <w:rPr>
          <w:sz w:val="20"/>
          <w:szCs w:val="20"/>
          <w:color w:val="auto"/>
        </w:rPr>
      </w:pPr>
      <w:r>
        <w:rPr>
          <w:rFonts w:ascii="Arial" w:cs="Arial" w:eastAsia="Arial" w:hAnsi="Arial"/>
          <w:sz w:val="17"/>
          <w:szCs w:val="17"/>
          <w:b w:val="1"/>
          <w:bCs w:val="1"/>
          <w:i w:val="1"/>
          <w:iCs w:val="1"/>
          <w:color w:val="auto"/>
        </w:rPr>
        <w:t>Executive Vice President and Chief Financial Officer</w:t>
      </w:r>
    </w:p>
    <w:p>
      <w:pPr>
        <w:spacing w:after="0" w:line="84" w:lineRule="exact"/>
        <w:rPr>
          <w:sz w:val="20"/>
          <w:szCs w:val="20"/>
          <w:color w:val="auto"/>
        </w:rPr>
      </w:pPr>
    </w:p>
    <w:p>
      <w:pPr>
        <w:ind w:left="5440"/>
        <w:spacing w:after="0"/>
        <w:rPr>
          <w:sz w:val="20"/>
          <w:szCs w:val="20"/>
          <w:color w:val="auto"/>
        </w:rPr>
      </w:pPr>
      <w:r>
        <w:rPr>
          <w:rFonts w:ascii="Arial" w:cs="Arial" w:eastAsia="Arial" w:hAnsi="Arial"/>
          <w:sz w:val="20"/>
          <w:szCs w:val="20"/>
          <w:b w:val="1"/>
          <w:bCs w:val="1"/>
          <w:i w:val="1"/>
          <w:iCs w:val="1"/>
          <w:color w:val="auto"/>
        </w:rPr>
        <w:t>of PAA GP Holdings LLC</w:t>
      </w:r>
    </w:p>
    <w:p>
      <w:pPr>
        <w:spacing w:after="0" w:line="49" w:lineRule="exact"/>
        <w:rPr>
          <w:sz w:val="20"/>
          <w:szCs w:val="20"/>
          <w:color w:val="auto"/>
        </w:rPr>
      </w:pPr>
    </w:p>
    <w:p>
      <w:pPr>
        <w:ind w:left="5440"/>
        <w:spacing w:after="0"/>
        <w:rPr>
          <w:sz w:val="20"/>
          <w:szCs w:val="20"/>
          <w:color w:val="auto"/>
        </w:rPr>
      </w:pPr>
      <w:r>
        <w:rPr>
          <w:rFonts w:ascii="Arial" w:cs="Arial" w:eastAsia="Arial" w:hAnsi="Arial"/>
          <w:sz w:val="20"/>
          <w:szCs w:val="20"/>
          <w:b w:val="1"/>
          <w:bCs w:val="1"/>
          <w:i w:val="1"/>
          <w:iCs w:val="1"/>
          <w:color w:val="auto"/>
        </w:rPr>
        <w:t>(Principal Financial Officer)</w:t>
      </w:r>
    </w:p>
    <w:p>
      <w:pPr>
        <w:spacing w:after="0" w:line="292" w:lineRule="exact"/>
        <w:rPr>
          <w:sz w:val="20"/>
          <w:szCs w:val="20"/>
          <w:color w:val="auto"/>
        </w:rPr>
      </w:pPr>
    </w:p>
    <w:p>
      <w:pPr>
        <w:ind w:left="60"/>
        <w:spacing w:after="0"/>
        <w:rPr>
          <w:sz w:val="20"/>
          <w:szCs w:val="20"/>
          <w:color w:val="auto"/>
        </w:rPr>
      </w:pPr>
      <w:r>
        <w:rPr>
          <w:rFonts w:ascii="Arial" w:cs="Arial" w:eastAsia="Arial" w:hAnsi="Arial"/>
          <w:sz w:val="20"/>
          <w:szCs w:val="20"/>
          <w:color w:val="auto"/>
        </w:rPr>
        <w:t>February 27, 2025</w:t>
      </w:r>
    </w:p>
    <w:p>
      <w:pPr>
        <w:spacing w:after="0" w:line="358"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3425190</wp:posOffset>
                </wp:positionH>
                <wp:positionV relativeFrom="paragraph">
                  <wp:posOffset>32385</wp:posOffset>
                </wp:positionV>
                <wp:extent cx="29495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9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7pt,2.55pt" to="501.95pt,2.55pt" o:allowincell="f" strokecolor="#000000" strokeweight="1pt"/>
            </w:pict>
          </mc:Fallback>
        </mc:AlternateContent>
      </w:r>
    </w:p>
    <w:p>
      <w:pPr>
        <w:spacing w:after="0" w:line="37" w:lineRule="exact"/>
        <w:rPr>
          <w:sz w:val="20"/>
          <w:szCs w:val="20"/>
          <w:color w:val="auto"/>
        </w:rPr>
      </w:pPr>
    </w:p>
    <w:p>
      <w:pPr>
        <w:ind w:left="5440"/>
        <w:spacing w:after="0"/>
        <w:rPr>
          <w:sz w:val="20"/>
          <w:szCs w:val="20"/>
          <w:color w:val="auto"/>
        </w:rPr>
      </w:pPr>
      <w:r>
        <w:rPr>
          <w:rFonts w:ascii="Arial" w:cs="Arial" w:eastAsia="Arial" w:hAnsi="Arial"/>
          <w:sz w:val="20"/>
          <w:szCs w:val="20"/>
          <w:b w:val="1"/>
          <w:bCs w:val="1"/>
          <w:color w:val="auto"/>
        </w:rPr>
        <w:t>Chris Herbold,</w:t>
      </w:r>
    </w:p>
    <w:p>
      <w:pPr>
        <w:spacing w:after="0" w:line="49" w:lineRule="exact"/>
        <w:rPr>
          <w:sz w:val="20"/>
          <w:szCs w:val="20"/>
          <w:color w:val="auto"/>
        </w:rPr>
      </w:pPr>
    </w:p>
    <w:p>
      <w:pPr>
        <w:ind w:left="5440"/>
        <w:spacing w:after="0"/>
        <w:rPr>
          <w:sz w:val="20"/>
          <w:szCs w:val="20"/>
          <w:color w:val="auto"/>
        </w:rPr>
      </w:pPr>
      <w:r>
        <w:rPr>
          <w:rFonts w:ascii="Arial" w:cs="Arial" w:eastAsia="Arial" w:hAnsi="Arial"/>
          <w:sz w:val="17"/>
          <w:szCs w:val="17"/>
          <w:b w:val="1"/>
          <w:bCs w:val="1"/>
          <w:i w:val="1"/>
          <w:iCs w:val="1"/>
          <w:color w:val="auto"/>
        </w:rPr>
        <w:t>Senior Vice President, Finance and Chief Accounting</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20"/>
          <w:szCs w:val="20"/>
          <w:b w:val="1"/>
          <w:bCs w:val="1"/>
          <w:i w:val="1"/>
          <w:iCs w:val="1"/>
          <w:color w:val="auto"/>
        </w:rPr>
        <w:t>Officer of PAA GP Holdings LLC</w:t>
      </w:r>
    </w:p>
    <w:p>
      <w:pPr>
        <w:spacing w:after="0" w:line="18" w:lineRule="exact"/>
        <w:rPr>
          <w:sz w:val="20"/>
          <w:szCs w:val="20"/>
          <w:color w:val="auto"/>
        </w:rPr>
      </w:pPr>
    </w:p>
    <w:p>
      <w:pPr>
        <w:ind w:left="5440"/>
        <w:spacing w:after="0"/>
        <w:rPr>
          <w:sz w:val="20"/>
          <w:szCs w:val="20"/>
          <w:color w:val="auto"/>
        </w:rPr>
      </w:pPr>
      <w:r>
        <w:rPr>
          <w:rFonts w:ascii="Arial" w:cs="Arial" w:eastAsia="Arial" w:hAnsi="Arial"/>
          <w:sz w:val="20"/>
          <w:szCs w:val="20"/>
          <w:b w:val="1"/>
          <w:bCs w:val="1"/>
          <w:i w:val="1"/>
          <w:iCs w:val="1"/>
          <w:color w:val="auto"/>
        </w:rPr>
        <w:t>(Principal Accounting Officer)</w:t>
      </w:r>
    </w:p>
    <w:p>
      <w:pPr>
        <w:spacing w:after="0" w:line="350" w:lineRule="exact"/>
        <w:rPr>
          <w:sz w:val="20"/>
          <w:szCs w:val="20"/>
          <w:color w:val="auto"/>
        </w:rPr>
      </w:pPr>
    </w:p>
    <w:p>
      <w:pPr>
        <w:ind w:left="60"/>
        <w:spacing w:after="0"/>
        <w:rPr>
          <w:sz w:val="20"/>
          <w:szCs w:val="20"/>
          <w:color w:val="auto"/>
        </w:rPr>
      </w:pPr>
      <w:r>
        <w:rPr>
          <w:rFonts w:ascii="Arial" w:cs="Arial" w:eastAsia="Arial" w:hAnsi="Arial"/>
          <w:sz w:val="20"/>
          <w:szCs w:val="20"/>
          <w:color w:val="auto"/>
        </w:rPr>
        <w:t>February 27, 2025</w:t>
      </w:r>
    </w:p>
    <w:p>
      <w:pPr>
        <w:sectPr>
          <w:pgSz w:w="11880" w:h="15480" w:orient="portrait"/>
          <w:cols w:equalWidth="0" w:num="1">
            <w:col w:w="9860"/>
          </w:cols>
          <w:pgMar w:left="920" w:top="575"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9860"/>
          </w:cols>
          <w:pgMar w:left="920" w:top="575" w:right="1100" w:bottom="0" w:gutter="0" w:footer="0" w:header="0"/>
          <w:type w:val="continuous"/>
        </w:sectPr>
      </w:pPr>
    </w:p>
    <w:bookmarkStart w:id="104" w:name="page105"/>
    <w:bookmarkEnd w:id="104"/>
    <w:p>
      <w:pPr>
        <w:ind w:right="640" w:firstLine="706"/>
        <w:spacing w:after="0" w:line="298"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51" w:lineRule="exact"/>
        <w:rPr>
          <w:sz w:val="20"/>
          <w:szCs w:val="20"/>
          <w:color w:val="auto"/>
        </w:rPr>
      </w:pPr>
    </w:p>
    <w:p>
      <w:pPr>
        <w:jc w:val="both"/>
        <w:ind w:left="980"/>
        <w:spacing w:after="0"/>
        <w:tabs>
          <w:tab w:leader="none" w:pos="5220" w:val="left"/>
          <w:tab w:leader="none" w:pos="908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1530350</wp:posOffset>
                </wp:positionH>
                <wp:positionV relativeFrom="paragraph">
                  <wp:posOffset>24130</wp:posOffset>
                </wp:positionV>
                <wp:extent cx="379920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992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0.5pt,1.9pt" to="419.65pt,1.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5376545</wp:posOffset>
                </wp:positionH>
                <wp:positionV relativeFrom="paragraph">
                  <wp:posOffset>24130</wp:posOffset>
                </wp:positionV>
                <wp:extent cx="99822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35pt,1.9pt" to="501.95pt,1.9pt" o:allowincell="f" strokecolor="#000000" strokeweight="1pt"/>
            </w:pict>
          </mc:Fallback>
        </mc:AlternateContent>
      </w:r>
    </w:p>
    <w:p>
      <w:pPr>
        <w:sectPr>
          <w:pgSz w:w="11880" w:h="15480" w:orient="portrait"/>
          <w:cols w:equalWidth="0" w:num="1">
            <w:col w:w="9960"/>
          </w:cols>
          <w:pgMar w:left="920" w:top="582" w:right="1000" w:bottom="0" w:gutter="0" w:footer="0" w:header="0"/>
        </w:sectPr>
      </w:pPr>
    </w:p>
    <w:p>
      <w:pPr>
        <w:spacing w:after="0" w:line="315"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w:r>
    </w:p>
    <w:p>
      <w:pPr>
        <w:spacing w:after="0" w:line="4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Willie Chiang</w:t>
      </w:r>
    </w:p>
    <w:p>
      <w:pPr>
        <w:spacing w:after="0" w:line="31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Harry N. Pefanis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w:r>
    </w:p>
    <w:p>
      <w:pPr>
        <w:spacing w:after="0" w:line="4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Harry N. Pefanis</w:t>
      </w:r>
    </w:p>
    <w:p>
      <w:pPr>
        <w:spacing w:after="0" w:line="31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w:r>
    </w:p>
    <w:p>
      <w:pPr>
        <w:spacing w:after="0" w:line="4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Al Swanson</w:t>
      </w:r>
    </w:p>
    <w:p>
      <w:pPr>
        <w:spacing w:after="0" w:line="31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Chris Herbold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w:r>
    </w:p>
    <w:p>
      <w:pPr>
        <w:spacing w:after="0" w:line="4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Chris Herbold</w:t>
      </w:r>
    </w:p>
    <w:p>
      <w:pPr>
        <w:spacing w:after="0" w:line="31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Greg L. Armstrong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w:r>
    </w:p>
    <w:p>
      <w:pPr>
        <w:spacing w:after="0" w:line="4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Greg L. Armstrong</w:t>
      </w:r>
    </w:p>
    <w:p>
      <w:pPr>
        <w:spacing w:after="0" w:line="31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Victor Burk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w:r>
    </w:p>
    <w:p>
      <w:pPr>
        <w:spacing w:after="0" w:line="4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Victor Burk</w:t>
      </w:r>
    </w:p>
    <w:p>
      <w:pPr>
        <w:spacing w:after="0" w:line="270"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Ellen R. DeSanctis</w:t>
      </w:r>
    </w:p>
    <w:p>
      <w:pPr>
        <w:spacing w:after="0" w:line="25"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Ellen R. DeSanctis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-137160</wp:posOffset>
                </wp:positionV>
                <wp:extent cx="148399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999pt" to="116.85pt,-10.7999pt" o:allowincell="f" strokecolor="#000000" strokeweight="1pt"/>
            </w:pict>
          </mc:Fallback>
        </mc:AlternateContent>
      </w:r>
    </w:p>
    <w:p>
      <w:pPr>
        <w:spacing w:after="0" w:line="289"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Kevin McCarthy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w:r>
    </w:p>
    <w:p>
      <w:pPr>
        <w:spacing w:after="0" w:line="4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Kevin McCarthy</w:t>
      </w:r>
    </w:p>
    <w:p>
      <w:pPr>
        <w:spacing w:after="0" w:line="329"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Gary R. Petersen</w:t>
      </w:r>
    </w:p>
    <w:p>
      <w:pPr>
        <w:spacing w:after="0" w:line="25"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Gary R. Petersen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-137160</wp:posOffset>
                </wp:positionV>
                <wp:extent cx="148399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999pt" to="116.85pt,-10.7999pt" o:allowincell="f" strokecolor="#000000" strokeweight="1pt"/>
            </w:pict>
          </mc:Fallback>
        </mc:AlternateContent>
      </w:r>
    </w:p>
    <w:p>
      <w:pPr>
        <w:spacing w:after="0" w:line="28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Alexandra D. Pruner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45720</wp:posOffset>
                </wp:positionV>
                <wp:extent cx="148399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pt" to="116.85pt,3.6pt" o:allowincell="f" strokecolor="#000000" strokeweight="1pt"/>
            </w:pict>
          </mc:Fallback>
        </mc:AlternateContent>
      </w:r>
    </w:p>
    <w:p>
      <w:pPr>
        <w:spacing w:after="0" w:line="79"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Alexandra D. Pruner</w:t>
      </w:r>
    </w:p>
    <w:p>
      <w:pPr>
        <w:spacing w:after="0" w:line="31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/s/ John T. Raymond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148399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116.85pt,1.9pt" o:allowincell="f" strokecolor="#000000" strokeweight="1pt"/>
            </w:pict>
          </mc:Fallback>
        </mc:AlternateContent>
      </w:r>
    </w:p>
    <w:p>
      <w:pPr>
        <w:spacing w:after="0" w:line="44"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John T. Raymond</w:t>
      </w:r>
    </w:p>
    <w:p>
      <w:pPr>
        <w:spacing w:after="0" w:line="314"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Bobby S. Shackouls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45720</wp:posOffset>
                </wp:positionV>
                <wp:extent cx="148399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pt" to="116.85pt,3.6pt" o:allowincell="f" strokecolor="#000000" strokeweight="1pt"/>
            </w:pict>
          </mc:Fallback>
        </mc:AlternateContent>
      </w:r>
    </w:p>
    <w:p>
      <w:pPr>
        <w:spacing w:after="0" w:line="79"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Bobby S. Shackouls</w:t>
      </w:r>
    </w:p>
    <w:p>
      <w:pPr>
        <w:spacing w:after="0" w:line="314"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Lawrence M. Ziemba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45720</wp:posOffset>
                </wp:positionV>
                <wp:extent cx="148399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39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pt" to="116.85pt,3.6pt" o:allowincell="f" strokecolor="#000000" strokeweight="1pt"/>
            </w:pict>
          </mc:Fallback>
        </mc:AlternateContent>
      </w:r>
    </w:p>
    <w:p>
      <w:pPr>
        <w:spacing w:after="0" w:line="79" w:lineRule="exact"/>
        <w:rPr>
          <w:sz w:val="20"/>
          <w:szCs w:val="20"/>
          <w:color w:val="auto"/>
        </w:rPr>
      </w:pPr>
    </w:p>
    <w:p>
      <w:pPr>
        <w:jc w:val="center"/>
        <w:ind w:left="200"/>
        <w:spacing w:after="0"/>
        <w:rPr>
          <w:sz w:val="20"/>
          <w:szCs w:val="20"/>
          <w:color w:val="auto"/>
        </w:rPr>
      </w:pPr>
      <w:r>
        <w:rPr>
          <w:rFonts w:ascii="Arial" w:cs="Arial" w:eastAsia="Arial" w:hAnsi="Arial"/>
          <w:sz w:val="20"/>
          <w:szCs w:val="20"/>
          <w:color w:val="auto"/>
        </w:rPr>
        <w:t>Lawrence M. Ziemba</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Chairman of the Board and Chief Executive Officer of PAA GP Holdings February 27, 2025 LLC (Principal Executive Officer)</w:t>
      </w:r>
    </w:p>
    <w:p>
      <w:pPr>
        <w:spacing w:after="0" w:line="388"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and President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396"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Executive Vice President and Chief Financial Officer of PAA GP</w:t>
      </w:r>
      <w:r>
        <w:rPr>
          <w:sz w:val="20"/>
          <w:szCs w:val="20"/>
          <w:color w:val="auto"/>
        </w:rPr>
        <w:tab/>
      </w:r>
      <w:r>
        <w:rPr>
          <w:rFonts w:ascii="Arial" w:cs="Arial" w:eastAsia="Arial" w:hAnsi="Arial"/>
          <w:sz w:val="17"/>
          <w:szCs w:val="17"/>
          <w:color w:val="auto"/>
        </w:rPr>
        <w:t>February 27, 2025</w:t>
      </w:r>
    </w:p>
    <w:p>
      <w:pPr>
        <w:spacing w:after="0"/>
        <w:rPr>
          <w:sz w:val="20"/>
          <w:szCs w:val="20"/>
          <w:color w:val="auto"/>
        </w:rPr>
      </w:pPr>
      <w:r>
        <w:rPr>
          <w:rFonts w:ascii="Arial" w:cs="Arial" w:eastAsia="Arial" w:hAnsi="Arial"/>
          <w:sz w:val="20"/>
          <w:szCs w:val="20"/>
          <w:color w:val="auto"/>
        </w:rPr>
        <w:t>Holdings LLC (Principal Financial Officer)</w:t>
      </w:r>
    </w:p>
    <w:p>
      <w:pPr>
        <w:spacing w:after="0" w:line="390"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Senior Vice President, Finance and Chief Accounting Officer of PAA GP February 27, 2025 Holdings LLC (Principal Accounting Officer)</w:t>
      </w:r>
    </w:p>
    <w:p>
      <w:pPr>
        <w:spacing w:after="0" w:line="388"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320"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320"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040" w:val="left"/>
        </w:tabs>
        <w:rPr>
          <w:sz w:val="20"/>
          <w:szCs w:val="20"/>
          <w:color w:val="auto"/>
        </w:rPr>
      </w:pPr>
      <w:r>
        <w:rPr>
          <w:rFonts w:ascii="Arial" w:cs="Arial" w:eastAsia="Arial" w:hAnsi="Arial"/>
          <w:sz w:val="20"/>
          <w:szCs w:val="20"/>
          <w:color w:val="auto"/>
        </w:rPr>
        <w:t>Director of PAA GP Holdings LLC</w:t>
      </w:r>
      <w:r>
        <w:rPr>
          <w:sz w:val="20"/>
          <w:szCs w:val="20"/>
          <w:color w:val="auto"/>
        </w:rPr>
        <w:tab/>
      </w:r>
      <w:r>
        <w:rPr>
          <w:rFonts w:ascii="Arial" w:cs="Arial" w:eastAsia="Arial" w:hAnsi="Arial"/>
          <w:sz w:val="17"/>
          <w:szCs w:val="17"/>
          <w:color w:val="auto"/>
        </w:rPr>
        <w:t>February 27, 2025</w:t>
      </w:r>
    </w:p>
    <w:p>
      <w:pPr>
        <w:spacing w:after="0" w:line="507" w:lineRule="exact"/>
        <w:rPr>
          <w:sz w:val="20"/>
          <w:szCs w:val="20"/>
          <w:color w:val="auto"/>
        </w:rPr>
      </w:pPr>
    </w:p>
    <w:p>
      <w:pPr>
        <w:sectPr>
          <w:pgSz w:w="11880" w:h="15480" w:orient="portrait"/>
          <w:cols w:equalWidth="0" w:num="2">
            <w:col w:w="2140" w:space="320"/>
            <w:col w:w="7500"/>
          </w:cols>
          <w:pgMar w:left="920" w:top="582"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9960"/>
          </w:cols>
          <w:pgMar w:left="920" w:top="582" w:right="1000" w:bottom="0" w:gutter="0" w:footer="0" w:header="0"/>
          <w:type w:val="continuous"/>
        </w:sectPr>
      </w:pPr>
    </w:p>
    <w:bookmarkStart w:id="105" w:name="page106"/>
    <w:bookmarkEnd w:id="10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6" w:name="page107"/>
    <w:bookmarkEnd w:id="106"/>
    <w:p>
      <w:pPr>
        <w:jc w:val="center"/>
        <w:ind w:left="960"/>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left="960"/>
        <w:spacing w:after="0"/>
        <w:rPr>
          <w:sz w:val="20"/>
          <w:szCs w:val="20"/>
          <w:color w:val="auto"/>
        </w:rPr>
      </w:pPr>
      <w:r>
        <w:rPr>
          <w:rFonts w:ascii="Arial" w:cs="Arial" w:eastAsia="Arial" w:hAnsi="Arial"/>
          <w:sz w:val="20"/>
          <w:szCs w:val="20"/>
          <w:b w:val="1"/>
          <w:bCs w:val="1"/>
          <w:color w:val="auto"/>
        </w:rPr>
        <w:t>INDEX TO THE CONSOLIDATED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Consolidated Financial Statements</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Management’s Report on Internal Control Over Financial Reporting</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Report of Independent Registered Public Accounting Firm (PCAOB ID: 238)</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Consolidated Balance Sheets as of December 31, 2024 and 2023</w:t>
      </w:r>
    </w:p>
    <w:p>
      <w:pPr>
        <w:spacing w:after="0" w:line="64" w:lineRule="exact"/>
        <w:rPr>
          <w:sz w:val="20"/>
          <w:szCs w:val="20"/>
          <w:color w:val="auto"/>
        </w:rPr>
      </w:pPr>
    </w:p>
    <w:p>
      <w:pPr>
        <w:ind w:left="120" w:right="380"/>
        <w:spacing w:after="0" w:line="360" w:lineRule="auto"/>
        <w:rPr>
          <w:sz w:val="20"/>
          <w:szCs w:val="20"/>
          <w:color w:val="auto"/>
        </w:rPr>
      </w:pPr>
      <w:r>
        <w:rPr>
          <w:rFonts w:ascii="Arial" w:cs="Arial" w:eastAsia="Arial" w:hAnsi="Arial"/>
          <w:sz w:val="17"/>
          <w:szCs w:val="17"/>
          <w:color w:val="auto"/>
        </w:rPr>
        <w:t>Consolidated Statements of Operations for the years ended December 31, 2024, 2023 and 2022 Consolidated Statements of Comprehensive Income for the years ended December 31, 2024, 2023 and 2022</w:t>
      </w:r>
    </w:p>
    <w:p>
      <w:pPr>
        <w:spacing w:after="0" w:line="2" w:lineRule="exact"/>
        <w:rPr>
          <w:sz w:val="20"/>
          <w:szCs w:val="20"/>
          <w:color w:val="auto"/>
        </w:rPr>
      </w:pPr>
    </w:p>
    <w:p>
      <w:pPr>
        <w:ind w:left="300" w:right="160" w:hanging="175"/>
        <w:spacing w:after="0" w:line="235" w:lineRule="auto"/>
        <w:rPr>
          <w:sz w:val="20"/>
          <w:szCs w:val="20"/>
          <w:color w:val="auto"/>
        </w:rPr>
      </w:pPr>
      <w:r>
        <w:rPr>
          <w:rFonts w:ascii="Arial" w:cs="Arial" w:eastAsia="Arial" w:hAnsi="Arial"/>
          <w:sz w:val="20"/>
          <w:szCs w:val="20"/>
          <w:color w:val="auto"/>
        </w:rPr>
        <w:t>Consolidated Statements of Changes in Accumulated Other Comprehensive Income/(Loss) for the years ended December 31, 2024, 2023 and 2022</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Consolidated Statements of Cash Flows for the years ended December 31, 2024, 2023 and 2022</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Consolidated Statements of Changes in Partners’ Capital for the years ended December 31, 2024, 2023 and 2022</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Notes to the Consolidated Financial Statements:</w:t>
      </w:r>
    </w:p>
    <w:p>
      <w:pPr>
        <w:spacing w:after="0" w:line="64" w:lineRule="exact"/>
        <w:rPr>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Organization and Basis of Consolidation and Presentation</w:t>
      </w:r>
    </w:p>
    <w:p>
      <w:pPr>
        <w:spacing w:after="0" w:line="64" w:lineRule="exact"/>
        <w:rPr>
          <w:rFonts w:ascii="Arial" w:cs="Arial" w:eastAsia="Arial" w:hAnsi="Arial"/>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Summary of Significant Accounting Policies</w:t>
      </w:r>
    </w:p>
    <w:p>
      <w:pPr>
        <w:spacing w:after="0" w:line="64" w:lineRule="exact"/>
        <w:rPr>
          <w:rFonts w:ascii="Arial" w:cs="Arial" w:eastAsia="Arial" w:hAnsi="Arial"/>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Revenues and Accounts Receivable</w:t>
      </w:r>
    </w:p>
    <w:p>
      <w:pPr>
        <w:spacing w:after="0" w:line="64" w:lineRule="exact"/>
        <w:rPr>
          <w:rFonts w:ascii="Arial" w:cs="Arial" w:eastAsia="Arial" w:hAnsi="Arial"/>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Net Income Per Class A Share</w:t>
      </w:r>
    </w:p>
    <w:p>
      <w:pPr>
        <w:spacing w:after="0" w:line="64" w:lineRule="exact"/>
        <w:rPr>
          <w:rFonts w:ascii="Arial" w:cs="Arial" w:eastAsia="Arial" w:hAnsi="Arial"/>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Inventory, Linefill and Long-term Inventory</w:t>
      </w:r>
    </w:p>
    <w:p>
      <w:pPr>
        <w:spacing w:after="0" w:line="64" w:lineRule="exact"/>
        <w:rPr>
          <w:rFonts w:ascii="Arial" w:cs="Arial" w:eastAsia="Arial" w:hAnsi="Arial"/>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Property and Equipment</w:t>
      </w:r>
    </w:p>
    <w:p>
      <w:pPr>
        <w:spacing w:after="0" w:line="64" w:lineRule="exact"/>
        <w:rPr>
          <w:rFonts w:ascii="Arial" w:cs="Arial" w:eastAsia="Arial" w:hAnsi="Arial"/>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Acquisitions, Divestitures and Other Transactions</w:t>
      </w:r>
    </w:p>
    <w:p>
      <w:pPr>
        <w:spacing w:after="0" w:line="64" w:lineRule="exact"/>
        <w:rPr>
          <w:rFonts w:ascii="Arial" w:cs="Arial" w:eastAsia="Arial" w:hAnsi="Arial"/>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Investments in Unconsolidated Entities</w:t>
      </w:r>
    </w:p>
    <w:p>
      <w:pPr>
        <w:spacing w:after="0" w:line="64" w:lineRule="exact"/>
        <w:rPr>
          <w:rFonts w:ascii="Arial" w:cs="Arial" w:eastAsia="Arial" w:hAnsi="Arial"/>
          <w:sz w:val="20"/>
          <w:szCs w:val="20"/>
          <w:color w:val="auto"/>
        </w:rPr>
      </w:pPr>
    </w:p>
    <w:p>
      <w:pPr>
        <w:ind w:left="440" w:hanging="191"/>
        <w:spacing w:after="0"/>
        <w:tabs>
          <w:tab w:leader="none" w:pos="4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Intangible Assets, Net</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Debt</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Partners’ Capital and Distributions</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Derivatives and Risk Management Activities</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Leases</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Major Customers and Concentration of Credit Risk</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Equity-Indexed Compensation Plans</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64" w:lineRule="exact"/>
        <w:rPr>
          <w:rFonts w:ascii="Arial" w:cs="Arial" w:eastAsia="Arial" w:hAnsi="Arial"/>
          <w:sz w:val="20"/>
          <w:szCs w:val="20"/>
          <w:color w:val="auto"/>
        </w:rPr>
      </w:pPr>
    </w:p>
    <w:p>
      <w:pPr>
        <w:ind w:left="540" w:hanging="291"/>
        <w:spacing w:after="0"/>
        <w:tabs>
          <w:tab w:leader="none" w:pos="5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-168275</wp:posOffset>
                </wp:positionH>
                <wp:positionV relativeFrom="paragraph">
                  <wp:posOffset>24130</wp:posOffset>
                </wp:positionV>
                <wp:extent cx="53149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499pt,1.9pt" to="28.6pt,1.9pt" o:allowincell="f" strokecolor="#000000" strokeweight="1pt"/>
            </w:pict>
          </mc:Fallback>
        </mc:AlternateConten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F-5</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F-6</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F-7</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F-7</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F-8</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F-9</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F-10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F-10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F-12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F-15</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F-19</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F-20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F-21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F-22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F-26</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F-29</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F-30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F-33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F-38</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F-42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F-45</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F-48</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F-48</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F-49</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F-50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F-55</w:t>
      </w:r>
    </w:p>
    <w:p>
      <w:pPr>
        <w:spacing w:after="0" w:line="200" w:lineRule="exact"/>
        <w:rPr>
          <w:sz w:val="20"/>
          <w:szCs w:val="20"/>
          <w:color w:val="auto"/>
        </w:rPr>
      </w:pPr>
    </w:p>
    <w:p>
      <w:pPr>
        <w:sectPr>
          <w:pgSz w:w="11880" w:h="15480" w:orient="portrait"/>
          <w:cols w:equalWidth="0" w:num="2">
            <w:col w:w="8960" w:space="440"/>
            <w:col w:w="520"/>
          </w:cols>
          <w:pgMar w:left="980" w:top="57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880" w:h="15480" w:orient="portrait"/>
          <w:cols w:equalWidth="0" w:num="1">
            <w:col w:w="9920"/>
          </w:cols>
          <w:pgMar w:left="980" w:top="575" w:right="98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8" w:lineRule="exact"/>
        <w:rPr>
          <w:sz w:val="20"/>
          <w:szCs w:val="20"/>
          <w:color w:val="auto"/>
        </w:rPr>
      </w:pPr>
    </w:p>
    <w:p>
      <w:pPr>
        <w:ind w:firstLine="706"/>
        <w:spacing w:after="0" w:line="254" w:lineRule="auto"/>
        <w:rPr>
          <w:sz w:val="20"/>
          <w:szCs w:val="20"/>
          <w:color w:val="auto"/>
        </w:rPr>
      </w:pPr>
      <w:r>
        <w:rPr>
          <w:rFonts w:ascii="Arial" w:cs="Arial" w:eastAsia="Arial" w:hAnsi="Arial"/>
          <w:sz w:val="20"/>
          <w:szCs w:val="20"/>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02" w:lineRule="exact"/>
        <w:rPr>
          <w:sz w:val="20"/>
          <w:szCs w:val="20"/>
          <w:color w:val="auto"/>
        </w:rPr>
      </w:pPr>
    </w:p>
    <w:p>
      <w:pPr>
        <w:ind w:right="180" w:firstLine="706"/>
        <w:spacing w:after="0" w:line="303"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6" w:lineRule="exact"/>
        <w:rPr>
          <w:sz w:val="20"/>
          <w:szCs w:val="20"/>
          <w:color w:val="auto"/>
        </w:rPr>
      </w:pPr>
    </w:p>
    <w:p>
      <w:pPr>
        <w:ind w:right="80" w:firstLine="706"/>
        <w:spacing w:after="0" w:line="271" w:lineRule="auto"/>
        <w:rPr>
          <w:sz w:val="20"/>
          <w:szCs w:val="20"/>
          <w:color w:val="auto"/>
        </w:rPr>
      </w:pPr>
      <w:r>
        <w:rPr>
          <w:rFonts w:ascii="Arial" w:cs="Arial" w:eastAsia="Arial" w:hAnsi="Arial"/>
          <w:sz w:val="19"/>
          <w:szCs w:val="19"/>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2024.</w:t>
      </w:r>
    </w:p>
    <w:p>
      <w:pPr>
        <w:spacing w:after="0" w:line="189" w:lineRule="exact"/>
        <w:rPr>
          <w:sz w:val="20"/>
          <w:szCs w:val="20"/>
          <w:color w:val="auto"/>
        </w:rPr>
      </w:pPr>
    </w:p>
    <w:p>
      <w:pPr>
        <w:jc w:val="both"/>
        <w:ind w:right="480" w:firstLine="706"/>
        <w:spacing w:after="0" w:line="258" w:lineRule="auto"/>
        <w:rPr>
          <w:sz w:val="20"/>
          <w:szCs w:val="20"/>
          <w:color w:val="auto"/>
        </w:rPr>
      </w:pPr>
      <w:r>
        <w:rPr>
          <w:rFonts w:ascii="Arial" w:cs="Arial" w:eastAsia="Arial" w:hAnsi="Arial"/>
          <w:sz w:val="20"/>
          <w:szCs w:val="20"/>
          <w:color w:val="auto"/>
        </w:rPr>
        <w:t>The effectiveness of the Partnership’s internal control over financial reporting as of December 31, 2024 has been audited by PricewaterhouseCoopers LLP, an independent registered public accounting firm, as stated in their report which appears on Page F-3.</w:t>
      </w:r>
    </w:p>
    <w:p>
      <w:pPr>
        <w:spacing w:after="0" w:line="286"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/s/ Willie Chiang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1936750</wp:posOffset>
                </wp:positionH>
                <wp:positionV relativeFrom="paragraph">
                  <wp:posOffset>24130</wp:posOffset>
                </wp:positionV>
                <wp:extent cx="444309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30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5pt,1.9pt" to="502.35pt,1.9pt" o:allowincell="f" strokecolor="#000000" strokeweight="1pt"/>
            </w:pict>
          </mc:Fallback>
        </mc:AlternateContent>
      </w:r>
    </w:p>
    <w:p>
      <w:pPr>
        <w:spacing w:after="0" w:line="31"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Willie Chiang</w:t>
      </w:r>
    </w:p>
    <w:p>
      <w:pPr>
        <w:spacing w:after="0" w:line="62" w:lineRule="exact"/>
        <w:rPr>
          <w:sz w:val="20"/>
          <w:szCs w:val="20"/>
          <w:color w:val="auto"/>
        </w:rPr>
      </w:pPr>
    </w:p>
    <w:p>
      <w:pPr>
        <w:ind w:left="3100"/>
        <w:spacing w:after="0"/>
        <w:rPr>
          <w:sz w:val="20"/>
          <w:szCs w:val="20"/>
          <w:color w:val="auto"/>
        </w:rPr>
      </w:pPr>
      <w:r>
        <w:rPr>
          <w:rFonts w:ascii="Arial" w:cs="Arial" w:eastAsia="Arial" w:hAnsi="Arial"/>
          <w:sz w:val="19"/>
          <w:szCs w:val="19"/>
          <w:b w:val="1"/>
          <w:bCs w:val="1"/>
          <w:i w:val="1"/>
          <w:iCs w:val="1"/>
          <w:color w:val="auto"/>
        </w:rPr>
        <w:t>Chairman of the Board and Chief Executive Officer of PAA GP Holdings LLC</w:t>
      </w:r>
    </w:p>
    <w:p>
      <w:pPr>
        <w:spacing w:after="0" w:line="76" w:lineRule="exact"/>
        <w:rPr>
          <w:sz w:val="20"/>
          <w:szCs w:val="20"/>
          <w:color w:val="auto"/>
        </w:rPr>
      </w:pPr>
    </w:p>
    <w:p>
      <w:pPr>
        <w:ind w:left="3100"/>
        <w:spacing w:after="0"/>
        <w:rPr>
          <w:sz w:val="20"/>
          <w:szCs w:val="20"/>
          <w:color w:val="auto"/>
        </w:rPr>
      </w:pPr>
      <w:r>
        <w:rPr>
          <w:rFonts w:ascii="Arial" w:cs="Arial" w:eastAsia="Arial" w:hAnsi="Arial"/>
          <w:sz w:val="20"/>
          <w:szCs w:val="20"/>
          <w:b w:val="1"/>
          <w:bCs w:val="1"/>
          <w:i w:val="1"/>
          <w:iCs w:val="1"/>
          <w:color w:val="auto"/>
        </w:rPr>
        <w:t>(Principal Executive Officer)</w:t>
      </w:r>
    </w:p>
    <w:p>
      <w:pPr>
        <w:spacing w:after="0" w:line="358"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/s/ Al Swanson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1936750</wp:posOffset>
                </wp:positionH>
                <wp:positionV relativeFrom="paragraph">
                  <wp:posOffset>24130</wp:posOffset>
                </wp:positionV>
                <wp:extent cx="444309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30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5pt,1.9pt" to="502.35pt,1.9pt" o:allowincell="f" strokecolor="#000000" strokeweight="1pt"/>
            </w:pict>
          </mc:Fallback>
        </mc:AlternateContent>
      </w:r>
    </w:p>
    <w:p>
      <w:pPr>
        <w:spacing w:after="0" w:line="31"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Al Swanson</w:t>
      </w:r>
    </w:p>
    <w:p>
      <w:pPr>
        <w:spacing w:after="0" w:line="62" w:lineRule="exact"/>
        <w:rPr>
          <w:sz w:val="20"/>
          <w:szCs w:val="20"/>
          <w:color w:val="auto"/>
        </w:rPr>
      </w:pPr>
    </w:p>
    <w:p>
      <w:pPr>
        <w:ind w:left="3100"/>
        <w:spacing w:after="0"/>
        <w:rPr>
          <w:sz w:val="20"/>
          <w:szCs w:val="20"/>
          <w:color w:val="auto"/>
        </w:rPr>
      </w:pPr>
      <w:r>
        <w:rPr>
          <w:rFonts w:ascii="Arial" w:cs="Arial" w:eastAsia="Arial" w:hAnsi="Arial"/>
          <w:sz w:val="17"/>
          <w:szCs w:val="17"/>
          <w:b w:val="1"/>
          <w:bCs w:val="1"/>
          <w:i w:val="1"/>
          <w:iCs w:val="1"/>
          <w:color w:val="auto"/>
        </w:rPr>
        <w:t>Executive Vice President and Chief Financial Officer of PAA GP Holdings LLC</w:t>
      </w:r>
    </w:p>
    <w:p>
      <w:pPr>
        <w:spacing w:after="0" w:line="99" w:lineRule="exact"/>
        <w:rPr>
          <w:sz w:val="20"/>
          <w:szCs w:val="20"/>
          <w:color w:val="auto"/>
        </w:rPr>
      </w:pPr>
    </w:p>
    <w:p>
      <w:pPr>
        <w:ind w:left="3100"/>
        <w:spacing w:after="0"/>
        <w:rPr>
          <w:sz w:val="20"/>
          <w:szCs w:val="20"/>
          <w:color w:val="auto"/>
        </w:rPr>
      </w:pPr>
      <w:r>
        <w:rPr>
          <w:rFonts w:ascii="Arial" w:cs="Arial" w:eastAsia="Arial" w:hAnsi="Arial"/>
          <w:sz w:val="20"/>
          <w:szCs w:val="20"/>
          <w:b w:val="1"/>
          <w:bCs w:val="1"/>
          <w:i w:val="1"/>
          <w:iCs w:val="1"/>
          <w:color w:val="auto"/>
        </w:rPr>
        <w:t>(Principal Financial Officer)</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20"/>
          <w:szCs w:val="20"/>
          <w:color w:val="auto"/>
        </w:rPr>
        <w:t>February 27, 2025</w:t>
      </w:r>
    </w:p>
    <w:p>
      <w:pPr>
        <w:sectPr>
          <w:pgSz w:w="11880" w:h="15480" w:orient="portrait"/>
          <w:cols w:equalWidth="0" w:num="1">
            <w:col w:w="10040"/>
          </w:cols>
          <w:pgMar w:left="92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880" w:h="15480" w:orient="portrait"/>
          <w:cols w:equalWidth="0" w:num="1">
            <w:col w:w="10040"/>
          </w:cols>
          <w:pgMar w:left="920" w:top="575" w:right="920" w:bottom="0"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20"/>
          <w:szCs w:val="20"/>
          <w:b w:val="1"/>
          <w:bCs w:val="1"/>
          <w:i w:val="1"/>
          <w:i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of PAA GP Holdings LLC and Shareholders of Plains GP Holdings, L.P.</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8"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 xml:space="preserve">We have audited the accompanying consolidated balance sheets of Plains GP Holdings, L.P. and its subsidiaries (the “Partnership”) as of December 31, 2024 and 2023, and the related consolidated statements of operations, of comprehensive income, of changes in accumulated other comprehensive income (loss), of changes in partners’ capital and of cash flows for each of the three years in the period ended December 31, 2024, including the related notes (collectively referred to as the “consolidated financial statements”). We also have audited the Partnership’s internal control over financial reporting as of December 31, 2024, based on criteria established in </w:t>
      </w:r>
      <w:r>
        <w:rPr>
          <w:rFonts w:ascii="Arial" w:cs="Arial" w:eastAsia="Arial" w:hAnsi="Arial"/>
          <w:sz w:val="17"/>
          <w:szCs w:val="17"/>
          <w:b w:val="1"/>
          <w:bCs w:val="1"/>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 Also in our opinion, the Partnership maintained, in all material respects, effective internal control over financial reporting as of December 31, 2024, based on criteria established in </w:t>
      </w:r>
      <w:r>
        <w:rPr>
          <w:rFonts w:ascii="Arial" w:cs="Arial" w:eastAsia="Arial" w:hAnsi="Arial"/>
          <w:sz w:val="20"/>
          <w:szCs w:val="20"/>
          <w:b w:val="1"/>
          <w:bCs w:val="1"/>
          <w:i w:val="1"/>
          <w:iCs w:val="1"/>
          <w:color w:val="auto"/>
        </w:rPr>
        <w:t>Internal Control - Integrated Framework</w:t>
      </w:r>
      <w:r>
        <w:rPr>
          <w:rFonts w:ascii="Arial" w:cs="Arial" w:eastAsia="Arial" w:hAnsi="Arial"/>
          <w:sz w:val="20"/>
          <w:szCs w:val="20"/>
          <w:color w:val="auto"/>
        </w:rPr>
        <w:t xml:space="preserve"> (2013) issued by the COSO.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48"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ectPr>
          <w:pgSz w:w="11880" w:h="15480" w:orient="portrait"/>
          <w:cols w:equalWidth="0" w:num="1">
            <w:col w:w="10020"/>
          </w:cols>
          <w:pgMar w:left="920" w:top="575" w:right="940" w:bottom="0" w:gutter="0" w:footer="0" w:header="0"/>
          <w:type w:val="continuous"/>
        </w:sectPr>
      </w:pPr>
    </w:p>
    <w:bookmarkStart w:id="109" w:name="page110"/>
    <w:bookmarkEnd w:id="109"/>
    <w:p>
      <w:pPr>
        <w:jc w:val="both"/>
        <w:ind w:right="440"/>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48"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 – Crude Oil Sales</w:t>
      </w:r>
    </w:p>
    <w:p>
      <w:pPr>
        <w:spacing w:after="0" w:line="242"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As described in Note 3 to the consolidated financial statements, revenue from sales of crude oil are recognized at the time title to the product sold transfers to the purchaser, which occurs upon delivery of the product to the purchaser or its designee. The consideration received under these contracts is variable based on commodity prices. The Partnership recognized crude oil sales of $47,036 million for the year ended December 31, 2024.</w:t>
      </w:r>
    </w:p>
    <w:p>
      <w:pPr>
        <w:spacing w:after="0" w:line="202"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The principal consideration for our determination that performing procedures relating to revenue recognition for crude oil sales is a critical audit matter is a high degree of auditor effort in performing procedures related to the Partnership’s revenue recognition.</w:t>
      </w:r>
    </w:p>
    <w:p>
      <w:pPr>
        <w:spacing w:after="0" w:line="19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crude oil sales. These procedures also included, among others (i) testing revenue recognized for a sample of crude oil sales revenue transactions by obtaining and inspecting source documents, such as contracts, settlement statements, invoices, and payment receipts and (ii) confirming a sample of outstanding customer invoice balances as of December 31, 2024, and for confirmations not returned, obtaining and inspecting source documents, such as contracts, settlement statements, invoices, and subsequent payment receipts.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9"/>
          <w:szCs w:val="19"/>
          <w:color w:val="auto"/>
        </w:rPr>
        <w:t>/s/ PricewaterhouseCoopers LLP</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Houston, Texas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9"/>
          <w:szCs w:val="19"/>
          <w:color w:val="auto"/>
        </w:rPr>
        <w:t>February 27, 2025</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9"/>
          <w:szCs w:val="19"/>
          <w:color w:val="auto"/>
        </w:rPr>
        <w:t>We have served as the Partnership’s auditor since 2013.</w:t>
      </w:r>
    </w:p>
    <w:p>
      <w:pPr>
        <w:sectPr>
          <w:pgSz w:w="11880" w:h="15480" w:orient="portrait"/>
          <w:cols w:equalWidth="0" w:num="1">
            <w:col w:w="10020"/>
          </w:cols>
          <w:pgMar w:left="920" w:top="58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ectPr>
          <w:pgSz w:w="11880" w:h="15480" w:orient="portrait"/>
          <w:cols w:equalWidth="0" w:num="1">
            <w:col w:w="10020"/>
          </w:cols>
          <w:pgMar w:left="920" w:top="582" w:right="940" w:bottom="0" w:gutter="0" w:footer="0" w:header="0"/>
          <w:type w:val="continuous"/>
        </w:sectPr>
      </w:pPr>
    </w:p>
    <w:bookmarkStart w:id="110" w:name="page111"/>
    <w:bookmarkEnd w:id="110"/>
    <w:p>
      <w:pPr>
        <w:jc w:val="center"/>
        <w:ind w:right="60"/>
        <w:spacing w:after="0"/>
        <w:rPr>
          <w:sz w:val="20"/>
          <w:szCs w:val="20"/>
          <w:color w:val="auto"/>
        </w:rPr>
      </w:pPr>
      <w:r>
        <w:rPr>
          <w:rFonts w:ascii="Arial" w:cs="Arial" w:eastAsia="Arial" w:hAnsi="Arial"/>
          <w:sz w:val="19"/>
          <w:szCs w:val="19"/>
          <w:b w:val="1"/>
          <w:bCs w:val="1"/>
          <w:color w:val="auto"/>
        </w:rPr>
        <w:t>PLAINS GP HOLDINGS, L.P. AND SUBSIDIARIES</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 millions, except share data)</w:t>
      </w:r>
    </w:p>
    <w:p>
      <w:pPr>
        <w:spacing w:after="0" w:line="251" w:lineRule="exact"/>
        <w:rPr>
          <w:sz w:val="20"/>
          <w:szCs w:val="20"/>
          <w:color w:val="auto"/>
        </w:rPr>
      </w:pPr>
    </w:p>
    <w:p>
      <w:pPr>
        <w:jc w:val="center"/>
        <w:ind w:left="7600"/>
        <w:spacing w:after="0"/>
        <w:tabs>
          <w:tab w:leader="none" w:pos="320" w:val="left"/>
        </w:tabs>
        <w:rPr>
          <w:sz w:val="20"/>
          <w:szCs w:val="20"/>
          <w:color w:val="auto"/>
        </w:rPr>
      </w:pPr>
      <w:r>
        <w:rPr>
          <w:rFonts w:ascii="Arial" w:cs="Arial" w:eastAsia="Arial" w:hAnsi="Arial"/>
          <w:sz w:val="16"/>
          <w:szCs w:val="16"/>
          <w:b w:val="1"/>
          <w:bCs w:val="1"/>
          <w:color w:val="auto"/>
        </w:rPr>
        <w:t>December 31,</w:t>
      </w:r>
      <w:r>
        <w:rPr>
          <w:sz w:val="20"/>
          <w:szCs w:val="20"/>
          <w:color w:val="auto"/>
        </w:rPr>
        <w:tab/>
      </w:r>
      <w:r>
        <w:rPr>
          <w:rFonts w:ascii="Arial" w:cs="Arial" w:eastAsia="Arial" w:hAnsi="Arial"/>
          <w:sz w:val="13"/>
          <w:szCs w:val="13"/>
          <w:b w:val="1"/>
          <w:bCs w:val="1"/>
          <w:color w:val="auto"/>
        </w:rPr>
        <w:t>December 31,</w:t>
      </w:r>
    </w:p>
    <w:p>
      <w:pPr>
        <w:ind w:left="7980"/>
        <w:spacing w:after="0"/>
        <w:tabs>
          <w:tab w:leader="none" w:pos="922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0</wp:posOffset>
            </wp:positionV>
            <wp:extent cx="6400800" cy="71786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4">
                      <a:extLst>
                        <a:ext uri="{28A0092B-C50C-407E-A947-70E740481C1C}"/>
                      </a:extLst>
                    </a:blip>
                    <a:srcRect/>
                    <a:stretch>
                      <a:fillRect/>
                    </a:stretch>
                  </pic:blipFill>
                  <pic:spPr bwMode="auto">
                    <a:xfrm>
                      <a:off x="0" y="0"/>
                      <a:ext cx="6400800" cy="7178675"/>
                    </a:xfrm>
                    <a:prstGeom prst="rect">
                      <a:avLst/>
                    </a:prstGeom>
                    <a:noFill/>
                  </pic:spPr>
                </pic:pic>
              </a:graphicData>
            </a:graphic>
          </wp:anchor>
        </w:drawing>
      </w:r>
    </w:p>
    <w:p>
      <w:pPr>
        <w:sectPr>
          <w:pgSz w:w="11880" w:h="15480" w:orient="portrait"/>
          <w:cols w:equalWidth="0" w:num="1">
            <w:col w:w="9980"/>
          </w:cols>
          <w:pgMar w:left="980" w:top="810" w:right="920" w:bottom="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CURRENT ASSETS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w:t>
      </w:r>
    </w:p>
    <w:p>
      <w:pPr>
        <w:spacing w:after="0" w:line="23" w:lineRule="exact"/>
        <w:rPr>
          <w:sz w:val="20"/>
          <w:szCs w:val="20"/>
          <w:color w:val="auto"/>
        </w:rPr>
      </w:pPr>
    </w:p>
    <w:p>
      <w:pPr>
        <w:ind w:right="2760"/>
        <w:spacing w:after="0" w:line="260" w:lineRule="auto"/>
        <w:rPr>
          <w:sz w:val="20"/>
          <w:szCs w:val="20"/>
          <w:color w:val="auto"/>
        </w:rPr>
      </w:pPr>
      <w:r>
        <w:rPr>
          <w:rFonts w:ascii="Arial" w:cs="Arial" w:eastAsia="Arial" w:hAnsi="Arial"/>
          <w:sz w:val="20"/>
          <w:szCs w:val="20"/>
          <w:color w:val="auto"/>
        </w:rPr>
        <w:t>Trade accounts receivable and other receivables, net Inventory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Total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40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349</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453</w:t>
            </w:r>
          </w:p>
        </w:tc>
      </w:tr>
      <w:tr>
        <w:trPr>
          <w:trHeight w:val="250"/>
        </w:trPr>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3,901</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3,760</w:t>
            </w:r>
          </w:p>
        </w:tc>
      </w:tr>
      <w:tr>
        <w:trPr>
          <w:trHeight w:val="250"/>
        </w:trPr>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439</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548</w:t>
            </w:r>
          </w:p>
        </w:tc>
      </w:tr>
      <w:tr>
        <w:trPr>
          <w:trHeight w:val="258"/>
        </w:trPr>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w:t>
            </w:r>
          </w:p>
        </w:tc>
      </w:tr>
      <w:tr>
        <w:trPr>
          <w:trHeight w:val="230"/>
        </w:trPr>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4,776</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4,916</w:t>
            </w:r>
          </w:p>
        </w:tc>
      </w:tr>
    </w:tbl>
    <w:p>
      <w:pPr>
        <w:spacing w:after="0" w:line="200" w:lineRule="exact"/>
        <w:rPr>
          <w:sz w:val="20"/>
          <w:szCs w:val="20"/>
          <w:color w:val="auto"/>
        </w:rPr>
      </w:pPr>
    </w:p>
    <w:p>
      <w:pPr>
        <w:sectPr>
          <w:pgSz w:w="11880" w:h="15480" w:orient="portrait"/>
          <w:cols w:equalWidth="0" w:num="2">
            <w:col w:w="6840" w:space="720"/>
            <w:col w:w="2420"/>
          </w:cols>
          <w:pgMar w:left="980" w:top="810" w:right="920"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AND EQUIPMENT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Accumulated depreciation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Property and equipment, net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ASSETS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Investments in unconsolidated entities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net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Deferred tax asset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Linefill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Long-term operating lease right-of-use assets, net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Long-term inventory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assets, net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Total assets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1180" w:type="dxa"/>
            <w:vAlign w:val="bottom"/>
          </w:tcPr>
          <w:p>
            <w:pPr>
              <w:jc w:val="right"/>
              <w:spacing w:after="0"/>
              <w:rPr>
                <w:sz w:val="20"/>
                <w:szCs w:val="20"/>
                <w:color w:val="auto"/>
              </w:rPr>
            </w:pPr>
            <w:r>
              <w:rPr>
                <w:rFonts w:ascii="Arial" w:cs="Arial" w:eastAsia="Arial" w:hAnsi="Arial"/>
                <w:sz w:val="20"/>
                <w:szCs w:val="20"/>
                <w:color w:val="auto"/>
              </w:rPr>
              <w:t>21,300</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21,143</w:t>
            </w:r>
          </w:p>
        </w:tc>
      </w:tr>
      <w:tr>
        <w:trPr>
          <w:trHeight w:val="258"/>
        </w:trPr>
        <w:tc>
          <w:tcPr>
            <w:tcW w:w="1180" w:type="dxa"/>
            <w:vAlign w:val="bottom"/>
          </w:tcPr>
          <w:p>
            <w:pPr>
              <w:jc w:val="right"/>
              <w:spacing w:after="0"/>
              <w:rPr>
                <w:sz w:val="20"/>
                <w:szCs w:val="20"/>
                <w:color w:val="auto"/>
              </w:rPr>
            </w:pPr>
            <w:r>
              <w:rPr>
                <w:rFonts w:ascii="Arial" w:cs="Arial" w:eastAsia="Arial" w:hAnsi="Arial"/>
                <w:sz w:val="20"/>
                <w:szCs w:val="20"/>
                <w:color w:val="auto"/>
              </w:rPr>
              <w:t>(5,876)</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(5,361)</w:t>
            </w:r>
          </w:p>
        </w:tc>
      </w:tr>
      <w:tr>
        <w:trPr>
          <w:trHeight w:val="230"/>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15,424</w:t>
            </w:r>
          </w:p>
        </w:tc>
        <w:tc>
          <w:tcPr>
            <w:tcW w:w="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15,782</w:t>
            </w:r>
          </w:p>
        </w:tc>
      </w:tr>
      <w:tr>
        <w:trPr>
          <w:trHeight w:val="721"/>
        </w:trPr>
        <w:tc>
          <w:tcPr>
            <w:tcW w:w="1180" w:type="dxa"/>
            <w:vAlign w:val="bottom"/>
          </w:tcPr>
          <w:p>
            <w:pPr>
              <w:jc w:val="right"/>
              <w:spacing w:after="0"/>
              <w:rPr>
                <w:sz w:val="20"/>
                <w:szCs w:val="20"/>
                <w:color w:val="auto"/>
              </w:rPr>
            </w:pPr>
            <w:r>
              <w:rPr>
                <w:rFonts w:ascii="Arial" w:cs="Arial" w:eastAsia="Arial" w:hAnsi="Arial"/>
                <w:sz w:val="20"/>
                <w:szCs w:val="20"/>
                <w:color w:val="auto"/>
              </w:rPr>
              <w:t>2,811</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2,820</w:t>
            </w:r>
          </w:p>
        </w:tc>
      </w:tr>
      <w:tr>
        <w:trPr>
          <w:trHeight w:val="250"/>
        </w:trPr>
        <w:tc>
          <w:tcPr>
            <w:tcW w:w="1180" w:type="dxa"/>
            <w:vAlign w:val="bottom"/>
          </w:tcPr>
          <w:p>
            <w:pPr>
              <w:jc w:val="right"/>
              <w:spacing w:after="0"/>
              <w:rPr>
                <w:sz w:val="20"/>
                <w:szCs w:val="20"/>
                <w:color w:val="auto"/>
              </w:rPr>
            </w:pPr>
            <w:r>
              <w:rPr>
                <w:rFonts w:ascii="Arial" w:cs="Arial" w:eastAsia="Arial" w:hAnsi="Arial"/>
                <w:sz w:val="20"/>
                <w:szCs w:val="20"/>
                <w:color w:val="auto"/>
              </w:rPr>
              <w:t>1,677</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1,875</w:t>
            </w:r>
          </w:p>
        </w:tc>
      </w:tr>
      <w:tr>
        <w:trPr>
          <w:trHeight w:val="250"/>
        </w:trPr>
        <w:tc>
          <w:tcPr>
            <w:tcW w:w="1180" w:type="dxa"/>
            <w:vAlign w:val="bottom"/>
          </w:tcPr>
          <w:p>
            <w:pPr>
              <w:jc w:val="right"/>
              <w:spacing w:after="0"/>
              <w:rPr>
                <w:sz w:val="20"/>
                <w:szCs w:val="20"/>
                <w:color w:val="auto"/>
              </w:rPr>
            </w:pPr>
            <w:r>
              <w:rPr>
                <w:rFonts w:ascii="Arial" w:cs="Arial" w:eastAsia="Arial" w:hAnsi="Arial"/>
                <w:sz w:val="20"/>
                <w:szCs w:val="20"/>
                <w:color w:val="auto"/>
              </w:rPr>
              <w:t>1,220</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1,239</w:t>
            </w:r>
          </w:p>
        </w:tc>
      </w:tr>
      <w:tr>
        <w:trPr>
          <w:trHeight w:val="250"/>
        </w:trPr>
        <w:tc>
          <w:tcPr>
            <w:tcW w:w="1180" w:type="dxa"/>
            <w:vAlign w:val="bottom"/>
          </w:tcPr>
          <w:p>
            <w:pPr>
              <w:jc w:val="right"/>
              <w:spacing w:after="0"/>
              <w:rPr>
                <w:sz w:val="20"/>
                <w:szCs w:val="20"/>
                <w:color w:val="auto"/>
              </w:rPr>
            </w:pPr>
            <w:r>
              <w:rPr>
                <w:rFonts w:ascii="Arial" w:cs="Arial" w:eastAsia="Arial" w:hAnsi="Arial"/>
                <w:sz w:val="20"/>
                <w:szCs w:val="20"/>
                <w:color w:val="auto"/>
              </w:rPr>
              <w:t>968</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976</w:t>
            </w:r>
          </w:p>
        </w:tc>
      </w:tr>
      <w:tr>
        <w:trPr>
          <w:trHeight w:val="250"/>
        </w:trPr>
        <w:tc>
          <w:tcPr>
            <w:tcW w:w="1180" w:type="dxa"/>
            <w:vAlign w:val="bottom"/>
          </w:tcPr>
          <w:p>
            <w:pPr>
              <w:jc w:val="right"/>
              <w:spacing w:after="0"/>
              <w:rPr>
                <w:sz w:val="20"/>
                <w:szCs w:val="20"/>
                <w:color w:val="auto"/>
              </w:rPr>
            </w:pPr>
            <w:r>
              <w:rPr>
                <w:rFonts w:ascii="Arial" w:cs="Arial" w:eastAsia="Arial" w:hAnsi="Arial"/>
                <w:sz w:val="20"/>
                <w:szCs w:val="20"/>
                <w:color w:val="auto"/>
              </w:rPr>
              <w:t>332</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313</w:t>
            </w:r>
          </w:p>
        </w:tc>
      </w:tr>
      <w:tr>
        <w:trPr>
          <w:trHeight w:val="255"/>
        </w:trPr>
        <w:tc>
          <w:tcPr>
            <w:tcW w:w="1180" w:type="dxa"/>
            <w:vAlign w:val="bottom"/>
          </w:tcPr>
          <w:p>
            <w:pPr>
              <w:jc w:val="right"/>
              <w:spacing w:after="0"/>
              <w:rPr>
                <w:sz w:val="20"/>
                <w:szCs w:val="20"/>
                <w:color w:val="auto"/>
              </w:rPr>
            </w:pPr>
            <w:r>
              <w:rPr>
                <w:rFonts w:ascii="Arial" w:cs="Arial" w:eastAsia="Arial" w:hAnsi="Arial"/>
                <w:sz w:val="20"/>
                <w:szCs w:val="20"/>
                <w:color w:val="auto"/>
              </w:rPr>
              <w:t>280</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265</w:t>
            </w:r>
          </w:p>
        </w:tc>
      </w:tr>
    </w:tbl>
    <w:p>
      <w:pPr>
        <w:ind w:left="2040" w:hanging="1244"/>
        <w:spacing w:after="0"/>
        <w:tabs>
          <w:tab w:leader="none" w:pos="20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411</w:t>
      </w:r>
    </w:p>
    <w:p>
      <w:pPr>
        <w:spacing w:after="0" w:line="19" w:lineRule="exact"/>
        <w:rPr>
          <w:rFonts w:ascii="Arial" w:cs="Arial" w:eastAsia="Arial" w:hAnsi="Arial"/>
          <w:sz w:val="20"/>
          <w:szCs w:val="20"/>
          <w:color w:val="auto"/>
        </w:rPr>
      </w:pPr>
    </w:p>
    <w:p>
      <w:pPr>
        <w:ind w:left="40"/>
        <w:spacing w:after="0"/>
        <w:rPr>
          <w:rFonts w:ascii="Arial" w:cs="Arial" w:eastAsia="Arial" w:hAnsi="Arial"/>
          <w:sz w:val="20"/>
          <w:szCs w:val="20"/>
          <w:color w:val="auto"/>
        </w:rPr>
      </w:pPr>
      <w:r>
        <w:rPr>
          <w:rFonts w:ascii="Arial" w:cs="Arial" w:eastAsia="Arial" w:hAnsi="Arial"/>
          <w:sz w:val="20"/>
          <w:szCs w:val="20"/>
          <w:color w:val="auto"/>
        </w:rPr>
        <w:t>$27,756  $</w:t>
      </w:r>
      <w:r>
        <w:rPr>
          <w:rFonts w:ascii="Arial" w:cs="Arial" w:eastAsia="Arial" w:hAnsi="Arial"/>
          <w:sz w:val="17"/>
          <w:szCs w:val="17"/>
          <w:color w:val="auto"/>
        </w:rPr>
        <w:t>28,597</w:t>
      </w:r>
    </w:p>
    <w:p>
      <w:pPr>
        <w:spacing w:after="0" w:line="230" w:lineRule="exact"/>
        <w:rPr>
          <w:sz w:val="20"/>
          <w:szCs w:val="20"/>
          <w:color w:val="auto"/>
        </w:rPr>
      </w:pPr>
    </w:p>
    <w:p>
      <w:pPr>
        <w:sectPr>
          <w:pgSz w:w="11880" w:h="15480" w:orient="portrait"/>
          <w:cols w:equalWidth="0" w:num="2">
            <w:col w:w="6840" w:space="720"/>
            <w:col w:w="2420"/>
          </w:cols>
          <w:pgMar w:left="980" w:top="810" w:right="920" w:bottom="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LIABILITIES AND PARTNERS’ CAPITAL</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CURRENT LIABILITIES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Trade accounts payable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Short-term debt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Other current liabilities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Total current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LIABILITIES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Senior notes, net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debt, net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Long-term operating lease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Other long-term liabilities and deferred credits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Total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580" w:val="left"/>
          <w:tab w:leader="none" w:pos="1240" w:val="left"/>
          <w:tab w:leader="none" w:pos="18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3,881</w:t>
        <w:tab/>
        <w:t>$</w:t>
      </w:r>
      <w:r>
        <w:rPr>
          <w:sz w:val="20"/>
          <w:szCs w:val="20"/>
          <w:color w:val="auto"/>
        </w:rPr>
        <w:tab/>
      </w:r>
      <w:r>
        <w:rPr>
          <w:rFonts w:ascii="Arial" w:cs="Arial" w:eastAsia="Arial" w:hAnsi="Arial"/>
          <w:sz w:val="17"/>
          <w:szCs w:val="17"/>
          <w:color w:val="auto"/>
        </w:rPr>
        <w:t>3,845</w:t>
      </w:r>
    </w:p>
    <w:p>
      <w:pPr>
        <w:spacing w:after="0" w:line="25" w:lineRule="exact"/>
        <w:rPr>
          <w:sz w:val="20"/>
          <w:szCs w:val="20"/>
          <w:color w:val="auto"/>
        </w:rPr>
      </w:pPr>
    </w:p>
    <w:p>
      <w:pPr>
        <w:ind w:left="2000" w:hanging="1244"/>
        <w:spacing w:after="0"/>
        <w:tabs>
          <w:tab w:leader="none" w:pos="2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446</w:t>
      </w:r>
    </w:p>
    <w:p>
      <w:pPr>
        <w:spacing w:after="0" w:line="54" w:lineRule="exact"/>
        <w:rPr>
          <w:rFonts w:ascii="Arial" w:cs="Arial" w:eastAsia="Arial" w:hAnsi="Arial"/>
          <w:sz w:val="17"/>
          <w:szCs w:val="17"/>
          <w:color w:val="auto"/>
        </w:rPr>
      </w:pPr>
    </w:p>
    <w:p>
      <w:pPr>
        <w:ind w:left="2000" w:hanging="1244"/>
        <w:spacing w:after="0"/>
        <w:tabs>
          <w:tab w:leader="none" w:pos="2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714</w:t>
      </w:r>
    </w:p>
    <w:p>
      <w:pPr>
        <w:spacing w:after="0" w:line="54" w:lineRule="exact"/>
        <w:rPr>
          <w:sz w:val="20"/>
          <w:szCs w:val="20"/>
          <w:color w:val="auto"/>
        </w:rPr>
      </w:pPr>
    </w:p>
    <w:p>
      <w:pPr>
        <w:jc w:val="both"/>
        <w:ind w:left="600"/>
        <w:spacing w:after="0"/>
        <w:tabs>
          <w:tab w:leader="none" w:pos="1840" w:val="left"/>
        </w:tabs>
        <w:rPr>
          <w:sz w:val="20"/>
          <w:szCs w:val="20"/>
          <w:color w:val="auto"/>
        </w:rPr>
      </w:pPr>
      <w:r>
        <w:rPr>
          <w:rFonts w:ascii="Arial" w:cs="Arial" w:eastAsia="Arial" w:hAnsi="Arial"/>
          <w:sz w:val="20"/>
          <w:szCs w:val="20"/>
          <w:color w:val="auto"/>
        </w:rPr>
        <w:t>4,924</w:t>
      </w:r>
      <w:r>
        <w:rPr>
          <w:sz w:val="20"/>
          <w:szCs w:val="20"/>
          <w:color w:val="auto"/>
        </w:rPr>
        <w:tab/>
      </w:r>
      <w:r>
        <w:rPr>
          <w:rFonts w:ascii="Arial" w:cs="Arial" w:eastAsia="Arial" w:hAnsi="Arial"/>
          <w:sz w:val="20"/>
          <w:szCs w:val="20"/>
          <w:color w:val="auto"/>
        </w:rPr>
        <w:t>5,005</w:t>
      </w:r>
    </w:p>
    <w:p>
      <w:pPr>
        <w:spacing w:after="0" w:line="200" w:lineRule="exact"/>
        <w:rPr>
          <w:sz w:val="20"/>
          <w:szCs w:val="20"/>
          <w:color w:val="auto"/>
        </w:rPr>
      </w:pPr>
    </w:p>
    <w:p>
      <w:pPr>
        <w:spacing w:after="0" w:line="315" w:lineRule="exact"/>
        <w:rPr>
          <w:sz w:val="20"/>
          <w:szCs w:val="20"/>
          <w:color w:val="auto"/>
        </w:rPr>
      </w:pPr>
    </w:p>
    <w:tbl>
      <w:tblPr>
        <w:tblLayout w:type="fixed"/>
        <w:tblInd w:w="600" w:type="dxa"/>
        <w:tblCellMar>
          <w:top w:w="0" w:type="dxa"/>
          <w:left w:w="0" w:type="dxa"/>
          <w:bottom w:w="0" w:type="dxa"/>
          <w:right w:w="0" w:type="dxa"/>
        </w:tblCellMar>
      </w:tblPr>
      <w:tr>
        <w:trPr>
          <w:trHeight w:val="250"/>
        </w:trPr>
        <w:tc>
          <w:tcPr>
            <w:tcW w:w="860" w:type="dxa"/>
            <w:vAlign w:val="bottom"/>
          </w:tcPr>
          <w:p>
            <w:pPr>
              <w:jc w:val="right"/>
              <w:ind w:right="302"/>
              <w:spacing w:after="0"/>
              <w:rPr>
                <w:sz w:val="20"/>
                <w:szCs w:val="20"/>
                <w:color w:val="auto"/>
              </w:rPr>
            </w:pPr>
            <w:r>
              <w:rPr>
                <w:rFonts w:ascii="Arial" w:cs="Arial" w:eastAsia="Arial" w:hAnsi="Arial"/>
                <w:sz w:val="20"/>
                <w:szCs w:val="20"/>
                <w:color w:val="auto"/>
                <w:w w:val="87"/>
              </w:rPr>
              <w:t>7,141</w:t>
            </w:r>
          </w:p>
        </w:tc>
        <w:tc>
          <w:tcPr>
            <w:tcW w:w="840" w:type="dxa"/>
            <w:vAlign w:val="bottom"/>
          </w:tcPr>
          <w:p>
            <w:pPr>
              <w:jc w:val="right"/>
              <w:spacing w:after="0"/>
              <w:rPr>
                <w:sz w:val="20"/>
                <w:szCs w:val="20"/>
                <w:color w:val="auto"/>
              </w:rPr>
            </w:pPr>
            <w:r>
              <w:rPr>
                <w:rFonts w:ascii="Arial" w:cs="Arial" w:eastAsia="Arial" w:hAnsi="Arial"/>
                <w:sz w:val="20"/>
                <w:szCs w:val="20"/>
                <w:color w:val="auto"/>
              </w:rPr>
              <w:t>7,242</w:t>
            </w:r>
          </w:p>
        </w:tc>
      </w:tr>
      <w:tr>
        <w:trPr>
          <w:trHeight w:val="255"/>
        </w:trPr>
        <w:tc>
          <w:tcPr>
            <w:tcW w:w="860" w:type="dxa"/>
            <w:vAlign w:val="bottom"/>
          </w:tcPr>
          <w:p>
            <w:pPr>
              <w:jc w:val="right"/>
              <w:ind w:right="302"/>
              <w:spacing w:after="0"/>
              <w:rPr>
                <w:sz w:val="20"/>
                <w:szCs w:val="20"/>
                <w:color w:val="auto"/>
              </w:rPr>
            </w:pPr>
            <w:r>
              <w:rPr>
                <w:rFonts w:ascii="Arial" w:cs="Arial" w:eastAsia="Arial" w:hAnsi="Arial"/>
                <w:sz w:val="20"/>
                <w:szCs w:val="20"/>
                <w:color w:val="auto"/>
              </w:rPr>
              <w:t>72</w:t>
            </w:r>
          </w:p>
        </w:tc>
        <w:tc>
          <w:tcPr>
            <w:tcW w:w="840" w:type="dxa"/>
            <w:vAlign w:val="bottom"/>
          </w:tcPr>
          <w:p>
            <w:pPr>
              <w:jc w:val="right"/>
              <w:spacing w:after="0"/>
              <w:rPr>
                <w:sz w:val="20"/>
                <w:szCs w:val="20"/>
                <w:color w:val="auto"/>
              </w:rPr>
            </w:pPr>
            <w:r>
              <w:rPr>
                <w:rFonts w:ascii="Arial" w:cs="Arial" w:eastAsia="Arial" w:hAnsi="Arial"/>
                <w:sz w:val="20"/>
                <w:szCs w:val="20"/>
                <w:color w:val="auto"/>
              </w:rPr>
              <w:t>63</w:t>
            </w:r>
          </w:p>
        </w:tc>
      </w:tr>
    </w:tbl>
    <w:p>
      <w:pPr>
        <w:ind w:left="2000" w:hanging="1244"/>
        <w:spacing w:after="0"/>
        <w:tabs>
          <w:tab w:leader="none" w:pos="2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274</w:t>
      </w:r>
    </w:p>
    <w:p>
      <w:pPr>
        <w:spacing w:after="0" w:line="54" w:lineRule="exact"/>
        <w:rPr>
          <w:rFonts w:ascii="Arial" w:cs="Arial" w:eastAsia="Arial" w:hAnsi="Arial"/>
          <w:sz w:val="17"/>
          <w:szCs w:val="17"/>
          <w:color w:val="auto"/>
        </w:rPr>
      </w:pPr>
    </w:p>
    <w:p>
      <w:pPr>
        <w:ind w:left="1860" w:hanging="1104"/>
        <w:spacing w:after="0"/>
        <w:tabs>
          <w:tab w:leader="none" w:pos="18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1,041</w:t>
      </w:r>
    </w:p>
    <w:p>
      <w:pPr>
        <w:spacing w:after="0" w:line="54" w:lineRule="exact"/>
        <w:rPr>
          <w:sz w:val="20"/>
          <w:szCs w:val="20"/>
          <w:color w:val="auto"/>
        </w:rPr>
      </w:pPr>
    </w:p>
    <w:p>
      <w:pPr>
        <w:jc w:val="both"/>
        <w:ind w:left="600"/>
        <w:spacing w:after="0"/>
        <w:tabs>
          <w:tab w:leader="none" w:pos="1840" w:val="left"/>
        </w:tabs>
        <w:rPr>
          <w:sz w:val="20"/>
          <w:szCs w:val="20"/>
          <w:color w:val="auto"/>
        </w:rPr>
      </w:pPr>
      <w:r>
        <w:rPr>
          <w:rFonts w:ascii="Arial" w:cs="Arial" w:eastAsia="Arial" w:hAnsi="Arial"/>
          <w:sz w:val="20"/>
          <w:szCs w:val="20"/>
          <w:color w:val="auto"/>
        </w:rPr>
        <w:t>8,516</w:t>
      </w:r>
      <w:r>
        <w:rPr>
          <w:sz w:val="20"/>
          <w:szCs w:val="20"/>
          <w:color w:val="auto"/>
        </w:rPr>
        <w:tab/>
      </w:r>
      <w:r>
        <w:rPr>
          <w:rFonts w:ascii="Arial" w:cs="Arial" w:eastAsia="Arial" w:hAnsi="Arial"/>
          <w:sz w:val="20"/>
          <w:szCs w:val="20"/>
          <w:color w:val="auto"/>
        </w:rPr>
        <w:t>8,620</w:t>
      </w:r>
    </w:p>
    <w:p>
      <w:pPr>
        <w:spacing w:after="0" w:line="230" w:lineRule="exact"/>
        <w:rPr>
          <w:sz w:val="20"/>
          <w:szCs w:val="20"/>
          <w:color w:val="auto"/>
        </w:rPr>
      </w:pPr>
    </w:p>
    <w:p>
      <w:pPr>
        <w:sectPr>
          <w:pgSz w:w="11880" w:h="15480" w:orient="portrait"/>
          <w:cols w:equalWidth="0" w:num="2">
            <w:col w:w="6880" w:space="720"/>
            <w:col w:w="2380"/>
          </w:cols>
          <w:pgMar w:left="980" w:top="810" w:right="920" w:bottom="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560" w:type="dxa"/>
            <w:vAlign w:val="bottom"/>
          </w:tcPr>
          <w:p>
            <w:pPr>
              <w:spacing w:after="0"/>
              <w:rPr>
                <w:sz w:val="20"/>
                <w:szCs w:val="20"/>
                <w:color w:val="auto"/>
              </w:rPr>
            </w:pPr>
            <w:r>
              <w:rPr>
                <w:rFonts w:ascii="Arial" w:cs="Arial" w:eastAsia="Arial" w:hAnsi="Arial"/>
                <w:sz w:val="20"/>
                <w:szCs w:val="20"/>
                <w:b w:val="1"/>
                <w:bCs w:val="1"/>
                <w:color w:val="auto"/>
              </w:rPr>
              <w:t>COMMITMENTS AND CONTINGENCIES (NOTE 18)</w:t>
            </w: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8"/>
        </w:trPr>
        <w:tc>
          <w:tcPr>
            <w:tcW w:w="7560" w:type="dxa"/>
            <w:vAlign w:val="bottom"/>
          </w:tcPr>
          <w:p>
            <w:pPr>
              <w:spacing w:after="0"/>
              <w:rPr>
                <w:sz w:val="20"/>
                <w:szCs w:val="20"/>
                <w:color w:val="auto"/>
              </w:rPr>
            </w:pPr>
            <w:r>
              <w:rPr>
                <w:rFonts w:ascii="Arial" w:cs="Arial" w:eastAsia="Arial" w:hAnsi="Arial"/>
                <w:sz w:val="20"/>
                <w:szCs w:val="20"/>
                <w:b w:val="1"/>
                <w:bCs w:val="1"/>
                <w:color w:val="auto"/>
              </w:rPr>
              <w:t>PARTNERS’ CAPITAL</w:t>
            </w:r>
          </w:p>
        </w:tc>
        <w:tc>
          <w:tcPr>
            <w:tcW w:w="34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1,351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1,548</w:t>
            </w:r>
          </w:p>
        </w:tc>
        <w:tc>
          <w:tcPr>
            <w:tcW w:w="0" w:type="dxa"/>
            <w:vAlign w:val="bottom"/>
          </w:tcPr>
          <w:p>
            <w:pPr>
              <w:spacing w:after="0"/>
              <w:rPr>
                <w:sz w:val="1"/>
                <w:szCs w:val="1"/>
                <w:color w:val="auto"/>
              </w:rPr>
            </w:pPr>
          </w:p>
        </w:tc>
      </w:tr>
      <w:tr>
        <w:trPr>
          <w:trHeight w:val="219"/>
        </w:trPr>
        <w:tc>
          <w:tcPr>
            <w:tcW w:w="7560" w:type="dxa"/>
            <w:vAlign w:val="bottom"/>
          </w:tcPr>
          <w:p>
            <w:pPr>
              <w:spacing w:after="0" w:line="219" w:lineRule="exact"/>
              <w:rPr>
                <w:sz w:val="20"/>
                <w:szCs w:val="20"/>
                <w:color w:val="auto"/>
              </w:rPr>
            </w:pPr>
            <w:r>
              <w:rPr>
                <w:rFonts w:ascii="Arial" w:cs="Arial" w:eastAsia="Arial" w:hAnsi="Arial"/>
                <w:sz w:val="20"/>
                <w:szCs w:val="20"/>
                <w:color w:val="auto"/>
                <w:w w:val="98"/>
              </w:rPr>
              <w:t>Class A shareholders (197,465,699 and 196,416,760 shares outstanding, respectively)</w:t>
            </w: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560" w:type="dxa"/>
            <w:vAlign w:val="bottom"/>
          </w:tcPr>
          <w:p>
            <w:pPr>
              <w:spacing w:after="0"/>
              <w:rPr>
                <w:sz w:val="20"/>
                <w:szCs w:val="20"/>
                <w:color w:val="auto"/>
              </w:rPr>
            </w:pPr>
            <w:r>
              <w:rPr>
                <w:rFonts w:ascii="Arial" w:cs="Arial" w:eastAsia="Arial" w:hAnsi="Arial"/>
                <w:sz w:val="20"/>
                <w:szCs w:val="20"/>
                <w:color w:val="auto"/>
              </w:rPr>
              <w:t>Noncontrolling interests</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12,965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13,424</w:t>
            </w:r>
          </w:p>
        </w:tc>
        <w:tc>
          <w:tcPr>
            <w:tcW w:w="0" w:type="dxa"/>
            <w:vAlign w:val="bottom"/>
          </w:tcPr>
          <w:p>
            <w:pPr>
              <w:spacing w:after="0"/>
              <w:rPr>
                <w:sz w:val="1"/>
                <w:szCs w:val="1"/>
                <w:color w:val="auto"/>
              </w:rPr>
            </w:pPr>
          </w:p>
        </w:tc>
      </w:tr>
      <w:tr>
        <w:trPr>
          <w:trHeight w:val="230"/>
        </w:trPr>
        <w:tc>
          <w:tcPr>
            <w:tcW w:w="7560" w:type="dxa"/>
            <w:vAlign w:val="bottom"/>
          </w:tcPr>
          <w:p>
            <w:pPr>
              <w:ind w:left="120"/>
              <w:spacing w:after="0"/>
              <w:rPr>
                <w:sz w:val="20"/>
                <w:szCs w:val="20"/>
                <w:color w:val="auto"/>
              </w:rPr>
            </w:pPr>
            <w:r>
              <w:rPr>
                <w:rFonts w:ascii="Arial" w:cs="Arial" w:eastAsia="Arial" w:hAnsi="Arial"/>
                <w:sz w:val="20"/>
                <w:szCs w:val="20"/>
                <w:color w:val="auto"/>
              </w:rPr>
              <w:t>Total partners’ capital</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14,316</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14,972</w:t>
            </w:r>
          </w:p>
        </w:tc>
        <w:tc>
          <w:tcPr>
            <w:tcW w:w="0" w:type="dxa"/>
            <w:vAlign w:val="bottom"/>
          </w:tcPr>
          <w:p>
            <w:pPr>
              <w:spacing w:after="0"/>
              <w:rPr>
                <w:sz w:val="1"/>
                <w:szCs w:val="1"/>
                <w:color w:val="auto"/>
              </w:rPr>
            </w:pPr>
          </w:p>
        </w:tc>
      </w:tr>
      <w:tr>
        <w:trPr>
          <w:trHeight w:val="210"/>
        </w:trPr>
        <w:tc>
          <w:tcPr>
            <w:tcW w:w="7560" w:type="dxa"/>
            <w:vAlign w:val="bottom"/>
          </w:tcPr>
          <w:p>
            <w:pPr>
              <w:ind w:left="120"/>
              <w:spacing w:after="0" w:line="210" w:lineRule="exact"/>
              <w:rPr>
                <w:sz w:val="20"/>
                <w:szCs w:val="20"/>
                <w:color w:val="auto"/>
              </w:rPr>
            </w:pPr>
            <w:r>
              <w:rPr>
                <w:rFonts w:ascii="Arial" w:cs="Arial" w:eastAsia="Arial" w:hAnsi="Arial"/>
                <w:sz w:val="20"/>
                <w:szCs w:val="20"/>
                <w:color w:val="auto"/>
              </w:rPr>
              <w:t>Total liabilities and partners’ capital</w:t>
            </w:r>
          </w:p>
        </w:tc>
        <w:tc>
          <w:tcPr>
            <w:tcW w:w="340" w:type="dxa"/>
            <w:vAlign w:val="bottom"/>
            <w:tcBorders>
              <w:bottom w:val="single" w:sz="8" w:color="auto"/>
            </w:tcBorders>
          </w:tcPr>
          <w:p>
            <w:pPr>
              <w:jc w:val="right"/>
              <w:ind w:right="102"/>
              <w:spacing w:after="0" w:line="210"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27,756</w:t>
            </w: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02"/>
              <w:spacing w:after="0" w:line="210"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28,597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980"/>
          </w:cols>
          <w:pgMar w:left="980" w:top="81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F-5</w:t>
      </w:r>
    </w:p>
    <w:p>
      <w:pPr>
        <w:sectPr>
          <w:pgSz w:w="11880" w:h="15480" w:orient="portrait"/>
          <w:cols w:equalWidth="0" w:num="1">
            <w:col w:w="9980"/>
          </w:cols>
          <w:pgMar w:left="980" w:top="810" w:right="920" w:bottom="0" w:gutter="0" w:footer="0" w:header="0"/>
          <w:type w:val="continuous"/>
        </w:sectPr>
      </w:pPr>
    </w:p>
    <w:bookmarkStart w:id="111" w:name="page112"/>
    <w:bookmarkEnd w:id="111"/>
    <w:p>
      <w:pPr>
        <w:jc w:val="center"/>
        <w:ind w:right="60"/>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 millions,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54"/>
        </w:trPr>
        <w:tc>
          <w:tcPr>
            <w:tcW w:w="6300" w:type="dxa"/>
            <w:vAlign w:val="bottom"/>
          </w:tcPr>
          <w:p>
            <w:pPr>
              <w:spacing w:after="0"/>
              <w:rPr>
                <w:sz w:val="20"/>
                <w:szCs w:val="20"/>
                <w:color w:val="auto"/>
              </w:rPr>
            </w:pPr>
            <w:r>
              <w:rPr>
                <w:rFonts w:ascii="Arial" w:cs="Arial" w:eastAsia="Arial" w:hAnsi="Arial"/>
                <w:sz w:val="20"/>
                <w:szCs w:val="20"/>
                <w:b w:val="1"/>
                <w:bCs w:val="1"/>
                <w:color w:val="auto"/>
              </w:rPr>
              <w:t>REVENUES</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6300" w:type="dxa"/>
            <w:vAlign w:val="bottom"/>
          </w:tcPr>
          <w:p>
            <w:pPr>
              <w:spacing w:after="0"/>
              <w:rPr>
                <w:sz w:val="20"/>
                <w:szCs w:val="20"/>
                <w:color w:val="auto"/>
              </w:rPr>
            </w:pPr>
            <w:r>
              <w:rPr>
                <w:rFonts w:ascii="Arial" w:cs="Arial" w:eastAsia="Arial" w:hAnsi="Arial"/>
                <w:sz w:val="20"/>
                <w:szCs w:val="20"/>
                <w:color w:val="auto"/>
              </w:rPr>
              <w:t>Product sales revenues</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48,254</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46,974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55,948</w:t>
            </w:r>
          </w:p>
        </w:tc>
        <w:tc>
          <w:tcPr>
            <w:tcW w:w="0" w:type="dxa"/>
            <w:vAlign w:val="bottom"/>
          </w:tcPr>
          <w:p>
            <w:pPr>
              <w:spacing w:after="0"/>
              <w:rPr>
                <w:sz w:val="1"/>
                <w:szCs w:val="1"/>
                <w:color w:val="auto"/>
              </w:rPr>
            </w:pPr>
          </w:p>
        </w:tc>
      </w:tr>
      <w:tr>
        <w:trPr>
          <w:trHeight w:val="298"/>
        </w:trPr>
        <w:tc>
          <w:tcPr>
            <w:tcW w:w="6300" w:type="dxa"/>
            <w:vAlign w:val="bottom"/>
          </w:tcPr>
          <w:p>
            <w:pPr>
              <w:spacing w:after="0"/>
              <w:rPr>
                <w:sz w:val="20"/>
                <w:szCs w:val="20"/>
                <w:color w:val="auto"/>
              </w:rPr>
            </w:pPr>
            <w:r>
              <w:rPr>
                <w:rFonts w:ascii="Arial" w:cs="Arial" w:eastAsia="Arial" w:hAnsi="Arial"/>
                <w:sz w:val="20"/>
                <w:szCs w:val="20"/>
                <w:color w:val="auto"/>
              </w:rPr>
              <w:t>Services revenues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1,394</w:t>
            </w:r>
          </w:p>
        </w:tc>
        <w:tc>
          <w:tcPr>
            <w:tcW w:w="0" w:type="dxa"/>
            <w:vAlign w:val="bottom"/>
          </w:tcPr>
          <w:p>
            <w:pPr>
              <w:spacing w:after="0"/>
              <w:rPr>
                <w:sz w:val="1"/>
                <w:szCs w:val="1"/>
                <w:color w:val="auto"/>
              </w:rPr>
            </w:pPr>
          </w:p>
        </w:tc>
      </w:tr>
      <w:tr>
        <w:trPr>
          <w:trHeight w:val="270"/>
        </w:trPr>
        <w:tc>
          <w:tcPr>
            <w:tcW w:w="6300" w:type="dxa"/>
            <w:vAlign w:val="bottom"/>
          </w:tcPr>
          <w:p>
            <w:pPr>
              <w:ind w:left="120"/>
              <w:spacing w:after="0"/>
              <w:rPr>
                <w:sz w:val="20"/>
                <w:szCs w:val="20"/>
                <w:color w:val="auto"/>
              </w:rPr>
            </w:pPr>
            <w:r>
              <w:rPr>
                <w:rFonts w:ascii="Arial" w:cs="Arial" w:eastAsia="Arial" w:hAnsi="Arial"/>
                <w:sz w:val="20"/>
                <w:szCs w:val="20"/>
                <w:color w:val="auto"/>
              </w:rPr>
              <w:t>Total revenues</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50,073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48,712</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57,342</w:t>
            </w:r>
          </w:p>
        </w:tc>
        <w:tc>
          <w:tcPr>
            <w:tcW w:w="0" w:type="dxa"/>
            <w:vAlign w:val="bottom"/>
          </w:tcPr>
          <w:p>
            <w:pPr>
              <w:spacing w:after="0"/>
              <w:rPr>
                <w:sz w:val="1"/>
                <w:szCs w:val="1"/>
                <w:color w:val="auto"/>
              </w:rPr>
            </w:pPr>
          </w:p>
        </w:tc>
      </w:tr>
      <w:tr>
        <w:trPr>
          <w:trHeight w:val="528"/>
        </w:trPr>
        <w:tc>
          <w:tcPr>
            <w:tcW w:w="6300" w:type="dxa"/>
            <w:vAlign w:val="bottom"/>
          </w:tcPr>
          <w:p>
            <w:pPr>
              <w:spacing w:after="0"/>
              <w:rPr>
                <w:sz w:val="20"/>
                <w:szCs w:val="20"/>
                <w:color w:val="auto"/>
              </w:rPr>
            </w:pPr>
            <w:r>
              <w:rPr>
                <w:rFonts w:ascii="Arial" w:cs="Arial" w:eastAsia="Arial" w:hAnsi="Arial"/>
                <w:sz w:val="20"/>
                <w:szCs w:val="20"/>
                <w:b w:val="1"/>
                <w:bCs w:val="1"/>
                <w:color w:val="auto"/>
              </w:rPr>
              <w:t>COSTS AND EXPENSES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300" w:type="dxa"/>
            <w:vAlign w:val="bottom"/>
          </w:tcPr>
          <w:p>
            <w:pPr>
              <w:spacing w:after="0"/>
              <w:rPr>
                <w:sz w:val="20"/>
                <w:szCs w:val="20"/>
                <w:color w:val="auto"/>
              </w:rPr>
            </w:pPr>
            <w:r>
              <w:rPr>
                <w:rFonts w:ascii="Arial" w:cs="Arial" w:eastAsia="Arial" w:hAnsi="Arial"/>
                <w:sz w:val="20"/>
                <w:szCs w:val="20"/>
                <w:color w:val="auto"/>
              </w:rPr>
              <w:t>Purchases and related costs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45,560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44,531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53,176</w:t>
            </w:r>
          </w:p>
        </w:tc>
        <w:tc>
          <w:tcPr>
            <w:tcW w:w="0" w:type="dxa"/>
            <w:vAlign w:val="bottom"/>
          </w:tcPr>
          <w:p>
            <w:pPr>
              <w:spacing w:after="0"/>
              <w:rPr>
                <w:sz w:val="1"/>
                <w:szCs w:val="1"/>
                <w:color w:val="auto"/>
              </w:rPr>
            </w:pPr>
          </w:p>
        </w:tc>
      </w:tr>
      <w:tr>
        <w:trPr>
          <w:trHeight w:val="294"/>
        </w:trPr>
        <w:tc>
          <w:tcPr>
            <w:tcW w:w="6300" w:type="dxa"/>
            <w:vAlign w:val="bottom"/>
          </w:tcPr>
          <w:p>
            <w:pPr>
              <w:spacing w:after="0"/>
              <w:rPr>
                <w:sz w:val="20"/>
                <w:szCs w:val="20"/>
                <w:color w:val="auto"/>
              </w:rPr>
            </w:pPr>
            <w:r>
              <w:rPr>
                <w:rFonts w:ascii="Arial" w:cs="Arial" w:eastAsia="Arial" w:hAnsi="Arial"/>
                <w:sz w:val="20"/>
                <w:szCs w:val="20"/>
                <w:color w:val="auto"/>
              </w:rPr>
              <w:t>Field operating costs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1,315</w:t>
            </w:r>
          </w:p>
        </w:tc>
        <w:tc>
          <w:tcPr>
            <w:tcW w:w="0" w:type="dxa"/>
            <w:vAlign w:val="bottom"/>
          </w:tcPr>
          <w:p>
            <w:pPr>
              <w:spacing w:after="0"/>
              <w:rPr>
                <w:sz w:val="1"/>
                <w:szCs w:val="1"/>
                <w:color w:val="auto"/>
              </w:rPr>
            </w:pPr>
          </w:p>
        </w:tc>
      </w:tr>
      <w:tr>
        <w:trPr>
          <w:trHeight w:val="294"/>
        </w:trPr>
        <w:tc>
          <w:tcPr>
            <w:tcW w:w="6300" w:type="dxa"/>
            <w:vAlign w:val="bottom"/>
          </w:tcPr>
          <w:p>
            <w:pPr>
              <w:spacing w:after="0"/>
              <w:rPr>
                <w:sz w:val="20"/>
                <w:szCs w:val="20"/>
                <w:color w:val="auto"/>
              </w:rPr>
            </w:pPr>
            <w:r>
              <w:rPr>
                <w:rFonts w:ascii="Arial" w:cs="Arial" w:eastAsia="Arial" w:hAnsi="Arial"/>
                <w:sz w:val="20"/>
                <w:szCs w:val="20"/>
                <w:color w:val="auto"/>
              </w:rPr>
              <w:t>General and administrative expenses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94"/>
        </w:trPr>
        <w:tc>
          <w:tcPr>
            <w:tcW w:w="630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968</w:t>
            </w:r>
          </w:p>
        </w:tc>
        <w:tc>
          <w:tcPr>
            <w:tcW w:w="0" w:type="dxa"/>
            <w:vAlign w:val="bottom"/>
          </w:tcPr>
          <w:p>
            <w:pPr>
              <w:spacing w:after="0"/>
              <w:rPr>
                <w:sz w:val="1"/>
                <w:szCs w:val="1"/>
                <w:color w:val="auto"/>
              </w:rPr>
            </w:pPr>
          </w:p>
        </w:tc>
      </w:tr>
      <w:tr>
        <w:trPr>
          <w:trHeight w:val="298"/>
        </w:trPr>
        <w:tc>
          <w:tcPr>
            <w:tcW w:w="6300" w:type="dxa"/>
            <w:vAlign w:val="bottom"/>
          </w:tcPr>
          <w:p>
            <w:pPr>
              <w:spacing w:after="0"/>
              <w:rPr>
                <w:sz w:val="20"/>
                <w:szCs w:val="20"/>
                <w:color w:val="auto"/>
              </w:rPr>
            </w:pPr>
            <w:r>
              <w:rPr>
                <w:rFonts w:ascii="Arial" w:cs="Arial" w:eastAsia="Arial" w:hAnsi="Arial"/>
                <w:sz w:val="20"/>
                <w:szCs w:val="20"/>
                <w:color w:val="auto"/>
                <w:w w:val="88"/>
              </w:rPr>
              <w:t>(Gains)/losses on asset sales, asset impairments and other, net (Note 6, Note 7)</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269</w:t>
            </w:r>
          </w:p>
        </w:tc>
        <w:tc>
          <w:tcPr>
            <w:tcW w:w="0" w:type="dxa"/>
            <w:vAlign w:val="bottom"/>
          </w:tcPr>
          <w:p>
            <w:pPr>
              <w:spacing w:after="0"/>
              <w:rPr>
                <w:sz w:val="1"/>
                <w:szCs w:val="1"/>
                <w:color w:val="auto"/>
              </w:rPr>
            </w:pPr>
          </w:p>
        </w:tc>
      </w:tr>
      <w:tr>
        <w:trPr>
          <w:trHeight w:val="270"/>
        </w:trPr>
        <w:tc>
          <w:tcPr>
            <w:tcW w:w="6300" w:type="dxa"/>
            <w:vAlign w:val="bottom"/>
          </w:tcPr>
          <w:p>
            <w:pPr>
              <w:ind w:left="120"/>
              <w:spacing w:after="0"/>
              <w:rPr>
                <w:sz w:val="20"/>
                <w:szCs w:val="20"/>
                <w:color w:val="auto"/>
              </w:rPr>
            </w:pPr>
            <w:r>
              <w:rPr>
                <w:rFonts w:ascii="Arial" w:cs="Arial" w:eastAsia="Arial" w:hAnsi="Arial"/>
                <w:sz w:val="20"/>
                <w:szCs w:val="20"/>
                <w:color w:val="auto"/>
              </w:rPr>
              <w:t>Total costs and expenses</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48,901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47,211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56,058</w:t>
            </w:r>
          </w:p>
        </w:tc>
        <w:tc>
          <w:tcPr>
            <w:tcW w:w="0" w:type="dxa"/>
            <w:vAlign w:val="bottom"/>
          </w:tcPr>
          <w:p>
            <w:pPr>
              <w:spacing w:after="0"/>
              <w:rPr>
                <w:sz w:val="1"/>
                <w:szCs w:val="1"/>
                <w:color w:val="auto"/>
              </w:rPr>
            </w:pPr>
          </w:p>
        </w:tc>
      </w:tr>
      <w:tr>
        <w:trPr>
          <w:trHeight w:val="573"/>
        </w:trPr>
        <w:tc>
          <w:tcPr>
            <w:tcW w:w="6300" w:type="dxa"/>
            <w:vAlign w:val="bottom"/>
          </w:tcPr>
          <w:p>
            <w:pPr>
              <w:spacing w:after="0"/>
              <w:rPr>
                <w:sz w:val="20"/>
                <w:szCs w:val="20"/>
                <w:color w:val="auto"/>
              </w:rPr>
            </w:pPr>
            <w:r>
              <w:rPr>
                <w:rFonts w:ascii="Arial" w:cs="Arial" w:eastAsia="Arial" w:hAnsi="Arial"/>
                <w:sz w:val="20"/>
                <w:szCs w:val="20"/>
                <w:b w:val="1"/>
                <w:bCs w:val="1"/>
                <w:color w:val="auto"/>
              </w:rPr>
              <w:t>OPERATING INCOME</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1,172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1,284</w:t>
            </w:r>
          </w:p>
        </w:tc>
        <w:tc>
          <w:tcPr>
            <w:tcW w:w="0" w:type="dxa"/>
            <w:vAlign w:val="bottom"/>
          </w:tcPr>
          <w:p>
            <w:pPr>
              <w:spacing w:after="0"/>
              <w:rPr>
                <w:sz w:val="1"/>
                <w:szCs w:val="1"/>
                <w:color w:val="auto"/>
              </w:rPr>
            </w:pPr>
          </w:p>
        </w:tc>
      </w:tr>
      <w:tr>
        <w:trPr>
          <w:trHeight w:val="528"/>
        </w:trPr>
        <w:tc>
          <w:tcPr>
            <w:tcW w:w="6300" w:type="dxa"/>
            <w:vAlign w:val="bottom"/>
          </w:tcPr>
          <w:p>
            <w:pPr>
              <w:spacing w:after="0"/>
              <w:rPr>
                <w:sz w:val="20"/>
                <w:szCs w:val="20"/>
                <w:color w:val="auto"/>
              </w:rPr>
            </w:pPr>
            <w:r>
              <w:rPr>
                <w:rFonts w:ascii="Arial" w:cs="Arial" w:eastAsia="Arial" w:hAnsi="Arial"/>
                <w:sz w:val="20"/>
                <w:szCs w:val="20"/>
                <w:b w:val="1"/>
                <w:bCs w:val="1"/>
                <w:color w:val="auto"/>
              </w:rPr>
              <w:t>OTHER INCOME/(EXPENSE)</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300" w:type="dxa"/>
            <w:vAlign w:val="bottom"/>
          </w:tcPr>
          <w:p>
            <w:pPr>
              <w:spacing w:after="0"/>
              <w:rPr>
                <w:sz w:val="20"/>
                <w:szCs w:val="20"/>
                <w:color w:val="auto"/>
              </w:rPr>
            </w:pPr>
            <w:r>
              <w:rPr>
                <w:rFonts w:ascii="Arial" w:cs="Arial" w:eastAsia="Arial" w:hAnsi="Arial"/>
                <w:sz w:val="20"/>
                <w:szCs w:val="20"/>
                <w:color w:val="auto"/>
              </w:rPr>
              <w:t>Equity earnings in unconsolidated entities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403</w:t>
            </w:r>
          </w:p>
        </w:tc>
        <w:tc>
          <w:tcPr>
            <w:tcW w:w="0" w:type="dxa"/>
            <w:vAlign w:val="bottom"/>
          </w:tcPr>
          <w:p>
            <w:pPr>
              <w:spacing w:after="0"/>
              <w:rPr>
                <w:sz w:val="1"/>
                <w:szCs w:val="1"/>
                <w:color w:val="auto"/>
              </w:rPr>
            </w:pPr>
          </w:p>
        </w:tc>
      </w:tr>
      <w:tr>
        <w:trPr>
          <w:trHeight w:val="294"/>
        </w:trPr>
        <w:tc>
          <w:tcPr>
            <w:tcW w:w="6300" w:type="dxa"/>
            <w:vAlign w:val="bottom"/>
          </w:tcPr>
          <w:p>
            <w:pPr>
              <w:spacing w:after="0"/>
              <w:rPr>
                <w:sz w:val="20"/>
                <w:szCs w:val="20"/>
                <w:color w:val="auto"/>
              </w:rPr>
            </w:pPr>
            <w:r>
              <w:rPr>
                <w:rFonts w:ascii="Arial" w:cs="Arial" w:eastAsia="Arial" w:hAnsi="Arial"/>
                <w:sz w:val="20"/>
                <w:szCs w:val="20"/>
                <w:color w:val="auto"/>
              </w:rPr>
              <w:t>Gain on investments in unconsolidated entities, net (Note 7, Note 8)</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346</w:t>
            </w:r>
          </w:p>
        </w:tc>
        <w:tc>
          <w:tcPr>
            <w:tcW w:w="0" w:type="dxa"/>
            <w:vAlign w:val="bottom"/>
          </w:tcPr>
          <w:p>
            <w:pPr>
              <w:spacing w:after="0"/>
              <w:rPr>
                <w:sz w:val="1"/>
                <w:szCs w:val="1"/>
                <w:color w:val="auto"/>
              </w:rPr>
            </w:pPr>
          </w:p>
        </w:tc>
      </w:tr>
      <w:tr>
        <w:trPr>
          <w:trHeight w:val="294"/>
        </w:trPr>
        <w:tc>
          <w:tcPr>
            <w:tcW w:w="6300" w:type="dxa"/>
            <w:vAlign w:val="bottom"/>
          </w:tcPr>
          <w:p>
            <w:pPr>
              <w:spacing w:after="0"/>
              <w:rPr>
                <w:sz w:val="20"/>
                <w:szCs w:val="20"/>
                <w:color w:val="auto"/>
              </w:rPr>
            </w:pPr>
            <w:r>
              <w:rPr>
                <w:rFonts w:ascii="Arial" w:cs="Arial" w:eastAsia="Arial" w:hAnsi="Arial"/>
                <w:sz w:val="20"/>
                <w:szCs w:val="20"/>
                <w:color w:val="auto"/>
                <w:w w:val="94"/>
              </w:rPr>
              <w:t>Interest expense (net of capitalized interest of $9, $10 and $5, respectively)</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(386)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(405)</w:t>
            </w:r>
          </w:p>
        </w:tc>
        <w:tc>
          <w:tcPr>
            <w:tcW w:w="0" w:type="dxa"/>
            <w:vAlign w:val="bottom"/>
          </w:tcPr>
          <w:p>
            <w:pPr>
              <w:spacing w:after="0"/>
              <w:rPr>
                <w:sz w:val="1"/>
                <w:szCs w:val="1"/>
                <w:color w:val="auto"/>
              </w:rPr>
            </w:pPr>
          </w:p>
        </w:tc>
      </w:tr>
      <w:tr>
        <w:trPr>
          <w:trHeight w:val="298"/>
        </w:trPr>
        <w:tc>
          <w:tcPr>
            <w:tcW w:w="6300" w:type="dxa"/>
            <w:vAlign w:val="bottom"/>
          </w:tcPr>
          <w:p>
            <w:pPr>
              <w:spacing w:after="0"/>
              <w:rPr>
                <w:sz w:val="20"/>
                <w:szCs w:val="20"/>
                <w:color w:val="auto"/>
              </w:rPr>
            </w:pPr>
            <w:r>
              <w:rPr>
                <w:rFonts w:ascii="Arial" w:cs="Arial" w:eastAsia="Arial" w:hAnsi="Arial"/>
                <w:sz w:val="20"/>
                <w:szCs w:val="20"/>
                <w:color w:val="auto"/>
              </w:rPr>
              <w:t>Other income/(expense), net</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w:t>
            </w:r>
          </w:p>
        </w:tc>
        <w:tc>
          <w:tcPr>
            <w:tcW w:w="0" w:type="dxa"/>
            <w:vAlign w:val="bottom"/>
          </w:tcPr>
          <w:p>
            <w:pPr>
              <w:spacing w:after="0"/>
              <w:rPr>
                <w:sz w:val="1"/>
                <w:szCs w:val="1"/>
                <w:color w:val="auto"/>
              </w:rPr>
            </w:pPr>
          </w:p>
        </w:tc>
      </w:tr>
      <w:tr>
        <w:trPr>
          <w:trHeight w:val="550"/>
        </w:trPr>
        <w:tc>
          <w:tcPr>
            <w:tcW w:w="6300" w:type="dxa"/>
            <w:vAlign w:val="bottom"/>
          </w:tcPr>
          <w:p>
            <w:pPr>
              <w:spacing w:after="0"/>
              <w:rPr>
                <w:sz w:val="20"/>
                <w:szCs w:val="20"/>
                <w:color w:val="auto"/>
              </w:rPr>
            </w:pPr>
            <w:r>
              <w:rPr>
                <w:rFonts w:ascii="Arial" w:cs="Arial" w:eastAsia="Arial" w:hAnsi="Arial"/>
                <w:sz w:val="20"/>
                <w:szCs w:val="20"/>
                <w:b w:val="1"/>
                <w:bCs w:val="1"/>
                <w:color w:val="auto"/>
              </w:rPr>
              <w:t>INCOME BEFORE TAX</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1,409</w:t>
            </w:r>
          </w:p>
        </w:tc>
        <w:tc>
          <w:tcPr>
            <w:tcW w:w="0" w:type="dxa"/>
            <w:vAlign w:val="bottom"/>
          </w:tcPr>
          <w:p>
            <w:pPr>
              <w:spacing w:after="0"/>
              <w:rPr>
                <w:sz w:val="1"/>
                <w:szCs w:val="1"/>
                <w:color w:val="auto"/>
              </w:rPr>
            </w:pPr>
          </w:p>
        </w:tc>
      </w:tr>
      <w:tr>
        <w:trPr>
          <w:trHeight w:val="294"/>
        </w:trPr>
        <w:tc>
          <w:tcPr>
            <w:tcW w:w="6300" w:type="dxa"/>
            <w:vAlign w:val="bottom"/>
          </w:tcPr>
          <w:p>
            <w:pPr>
              <w:spacing w:after="0"/>
              <w:rPr>
                <w:sz w:val="20"/>
                <w:szCs w:val="20"/>
                <w:color w:val="auto"/>
              </w:rPr>
            </w:pPr>
            <w:r>
              <w:rPr>
                <w:rFonts w:ascii="Arial" w:cs="Arial" w:eastAsia="Arial" w:hAnsi="Arial"/>
                <w:sz w:val="20"/>
                <w:szCs w:val="20"/>
                <w:color w:val="auto"/>
              </w:rPr>
              <w:t>Current income tax expense</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98"/>
        </w:trPr>
        <w:tc>
          <w:tcPr>
            <w:tcW w:w="6300" w:type="dxa"/>
            <w:vAlign w:val="bottom"/>
          </w:tcPr>
          <w:p>
            <w:pPr>
              <w:spacing w:after="0"/>
              <w:rPr>
                <w:sz w:val="20"/>
                <w:szCs w:val="20"/>
                <w:color w:val="auto"/>
              </w:rPr>
            </w:pPr>
            <w:r>
              <w:rPr>
                <w:rFonts w:ascii="Arial" w:cs="Arial" w:eastAsia="Arial" w:hAnsi="Arial"/>
                <w:sz w:val="20"/>
                <w:szCs w:val="20"/>
                <w:color w:val="auto"/>
              </w:rPr>
              <w:t>Deferred income tax expense</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w:t>
            </w:r>
          </w:p>
        </w:tc>
        <w:tc>
          <w:tcPr>
            <w:tcW w:w="0" w:type="dxa"/>
            <w:vAlign w:val="bottom"/>
          </w:tcPr>
          <w:p>
            <w:pPr>
              <w:spacing w:after="0"/>
              <w:rPr>
                <w:sz w:val="1"/>
                <w:szCs w:val="1"/>
                <w:color w:val="auto"/>
              </w:rPr>
            </w:pPr>
          </w:p>
        </w:tc>
      </w:tr>
      <w:tr>
        <w:trPr>
          <w:trHeight w:val="564"/>
        </w:trPr>
        <w:tc>
          <w:tcPr>
            <w:tcW w:w="6300" w:type="dxa"/>
            <w:vAlign w:val="bottom"/>
          </w:tcPr>
          <w:p>
            <w:pPr>
              <w:spacing w:after="0"/>
              <w:rPr>
                <w:sz w:val="20"/>
                <w:szCs w:val="20"/>
                <w:color w:val="auto"/>
              </w:rPr>
            </w:pPr>
            <w:r>
              <w:rPr>
                <w:rFonts w:ascii="Arial" w:cs="Arial" w:eastAsia="Arial" w:hAnsi="Arial"/>
                <w:sz w:val="20"/>
                <w:szCs w:val="20"/>
                <w:b w:val="1"/>
                <w:bCs w:val="1"/>
                <w:color w:val="auto"/>
              </w:rPr>
              <w:t>NET INCOME</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1,163</w:t>
            </w:r>
          </w:p>
        </w:tc>
        <w:tc>
          <w:tcPr>
            <w:tcW w:w="0" w:type="dxa"/>
            <w:vAlign w:val="bottom"/>
          </w:tcPr>
          <w:p>
            <w:pPr>
              <w:spacing w:after="0"/>
              <w:rPr>
                <w:sz w:val="1"/>
                <w:szCs w:val="1"/>
                <w:color w:val="auto"/>
              </w:rPr>
            </w:pPr>
          </w:p>
        </w:tc>
      </w:tr>
      <w:tr>
        <w:trPr>
          <w:trHeight w:val="298"/>
        </w:trPr>
        <w:tc>
          <w:tcPr>
            <w:tcW w:w="6300" w:type="dxa"/>
            <w:vAlign w:val="bottom"/>
          </w:tcPr>
          <w:p>
            <w:pPr>
              <w:ind w:left="120"/>
              <w:spacing w:after="0"/>
              <w:rPr>
                <w:sz w:val="20"/>
                <w:szCs w:val="20"/>
                <w:color w:val="auto"/>
              </w:rPr>
            </w:pPr>
            <w:r>
              <w:rPr>
                <w:rFonts w:ascii="Arial" w:cs="Arial" w:eastAsia="Arial" w:hAnsi="Arial"/>
                <w:sz w:val="20"/>
                <w:szCs w:val="20"/>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(995)</w:t>
            </w:r>
          </w:p>
        </w:tc>
        <w:tc>
          <w:tcPr>
            <w:tcW w:w="0" w:type="dxa"/>
            <w:vAlign w:val="bottom"/>
          </w:tcPr>
          <w:p>
            <w:pPr>
              <w:spacing w:after="0"/>
              <w:rPr>
                <w:sz w:val="1"/>
                <w:szCs w:val="1"/>
                <w:color w:val="auto"/>
              </w:rPr>
            </w:pPr>
          </w:p>
        </w:tc>
      </w:tr>
      <w:tr>
        <w:trPr>
          <w:trHeight w:val="254"/>
        </w:trPr>
        <w:tc>
          <w:tcPr>
            <w:tcW w:w="6300" w:type="dxa"/>
            <w:vAlign w:val="bottom"/>
          </w:tcPr>
          <w:p>
            <w:pPr>
              <w:spacing w:after="0"/>
              <w:rPr>
                <w:sz w:val="20"/>
                <w:szCs w:val="20"/>
                <w:color w:val="auto"/>
              </w:rPr>
            </w:pPr>
            <w:r>
              <w:rPr>
                <w:rFonts w:ascii="Arial" w:cs="Arial" w:eastAsia="Arial" w:hAnsi="Arial"/>
                <w:sz w:val="20"/>
                <w:szCs w:val="20"/>
                <w:b w:val="1"/>
                <w:bCs w:val="1"/>
                <w:color w:val="auto"/>
              </w:rPr>
              <w:t>NET INCOME ATTRIBUTABLE TO PAGP</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103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198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20"/>
                <w:szCs w:val="20"/>
                <w:color w:val="auto"/>
              </w:rPr>
              <w:t>Basic and diluted weighted average Class A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6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194</w:t>
            </w:r>
          </w:p>
        </w:tc>
        <w:tc>
          <w:tcPr>
            <w:tcW w:w="0" w:type="dxa"/>
            <w:vAlign w:val="bottom"/>
          </w:tcPr>
          <w:p>
            <w:pPr>
              <w:spacing w:after="0"/>
              <w:rPr>
                <w:sz w:val="1"/>
                <w:szCs w:val="1"/>
                <w:color w:val="auto"/>
              </w:rPr>
            </w:pPr>
          </w:p>
        </w:tc>
      </w:tr>
      <w:tr>
        <w:trPr>
          <w:trHeight w:val="278"/>
        </w:trPr>
        <w:tc>
          <w:tcPr>
            <w:tcW w:w="6300" w:type="dxa"/>
            <w:vAlign w:val="bottom"/>
          </w:tcPr>
          <w:p>
            <w:pPr>
              <w:spacing w:after="0"/>
              <w:rPr>
                <w:sz w:val="20"/>
                <w:szCs w:val="20"/>
                <w:color w:val="auto"/>
              </w:rPr>
            </w:pPr>
            <w:r>
              <w:rPr>
                <w:rFonts w:ascii="Arial" w:cs="Arial" w:eastAsia="Arial" w:hAnsi="Arial"/>
                <w:sz w:val="20"/>
                <w:szCs w:val="20"/>
                <w:color w:val="auto"/>
              </w:rPr>
              <w:t>Basic and diluted net income per Class A share</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0.52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0.86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-5706110</wp:posOffset>
            </wp:positionV>
            <wp:extent cx="6400800" cy="57130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5">
                      <a:extLst>
                        <a:ext uri="{28A0092B-C50C-407E-A947-70E740481C1C}"/>
                      </a:extLst>
                    </a:blip>
                    <a:srcRect/>
                    <a:stretch>
                      <a:fillRect/>
                    </a:stretch>
                  </pic:blipFill>
                  <pic:spPr bwMode="auto">
                    <a:xfrm>
                      <a:off x="0" y="0"/>
                      <a:ext cx="6400800" cy="5713095"/>
                    </a:xfrm>
                    <a:prstGeom prst="rect">
                      <a:avLst/>
                    </a:prstGeom>
                    <a:noFill/>
                  </pic:spPr>
                </pic:pic>
              </a:graphicData>
            </a:graphic>
          </wp:anchor>
        </w:drawing>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980"/>
          </w:cols>
          <w:pgMar w:left="98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F-6</w:t>
      </w:r>
    </w:p>
    <w:p>
      <w:pPr>
        <w:sectPr>
          <w:pgSz w:w="11880" w:h="15480" w:orient="portrait"/>
          <w:cols w:equalWidth="0" w:num="1">
            <w:col w:w="9980"/>
          </w:cols>
          <w:pgMar w:left="980" w:top="575" w:right="920" w:bottom="0" w:gutter="0" w:footer="0" w:header="0"/>
          <w:type w:val="continuous"/>
        </w:sectPr>
      </w:pPr>
    </w:p>
    <w:bookmarkStart w:id="112" w:name="page113"/>
    <w:bookmarkEnd w:id="112"/>
    <w:p>
      <w:pPr>
        <w:jc w:val="center"/>
        <w:ind w:right="60"/>
        <w:spacing w:after="0" w:line="260" w:lineRule="auto"/>
        <w:rPr>
          <w:sz w:val="20"/>
          <w:szCs w:val="20"/>
          <w:color w:val="auto"/>
        </w:rPr>
      </w:pPr>
      <w:r>
        <w:rPr>
          <w:rFonts w:ascii="Arial" w:cs="Arial" w:eastAsia="Arial" w:hAnsi="Arial"/>
          <w:sz w:val="20"/>
          <w:szCs w:val="20"/>
          <w:b w:val="1"/>
          <w:bCs w:val="1"/>
          <w:color w:val="auto"/>
        </w:rPr>
        <w:t>PLAINS GP HOLDINGS, L.P. AND SUBSIDIARIES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30"/>
        </w:trPr>
        <w:tc>
          <w:tcPr>
            <w:tcW w:w="6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2022</w:t>
            </w:r>
          </w:p>
        </w:tc>
      </w:tr>
      <w:tr>
        <w:trPr>
          <w:trHeight w:val="270"/>
        </w:trPr>
        <w:tc>
          <w:tcPr>
            <w:tcW w:w="6300" w:type="dxa"/>
            <w:vAlign w:val="bottom"/>
          </w:tcPr>
          <w:p>
            <w:pPr>
              <w:spacing w:after="0"/>
              <w:rPr>
                <w:sz w:val="20"/>
                <w:szCs w:val="20"/>
                <w:color w:val="auto"/>
              </w:rPr>
            </w:pPr>
            <w:r>
              <w:rPr>
                <w:rFonts w:ascii="Arial" w:cs="Arial" w:eastAsia="Arial" w:hAnsi="Arial"/>
                <w:sz w:val="20"/>
                <w:szCs w:val="20"/>
                <w:color w:val="auto"/>
              </w:rPr>
              <w:t>Net income</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1,070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1,425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1,163</w:t>
            </w:r>
          </w:p>
        </w:tc>
      </w:tr>
      <w:tr>
        <w:trPr>
          <w:trHeight w:val="298"/>
        </w:trPr>
        <w:tc>
          <w:tcPr>
            <w:tcW w:w="6300" w:type="dxa"/>
            <w:vAlign w:val="bottom"/>
          </w:tcPr>
          <w:p>
            <w:pPr>
              <w:spacing w:after="0"/>
              <w:rPr>
                <w:sz w:val="20"/>
                <w:szCs w:val="20"/>
                <w:color w:val="auto"/>
              </w:rPr>
            </w:pPr>
            <w:r>
              <w:rPr>
                <w:rFonts w:ascii="Arial" w:cs="Arial" w:eastAsia="Arial" w:hAnsi="Arial"/>
                <w:sz w:val="20"/>
                <w:szCs w:val="20"/>
                <w:color w:val="auto"/>
              </w:rPr>
              <w:t>Other comprehensive income/(loss)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r>
      <w:tr>
        <w:trPr>
          <w:trHeight w:val="270"/>
        </w:trPr>
        <w:tc>
          <w:tcPr>
            <w:tcW w:w="6300" w:type="dxa"/>
            <w:vAlign w:val="bottom"/>
          </w:tcPr>
          <w:p>
            <w:pPr>
              <w:spacing w:after="0"/>
              <w:rPr>
                <w:sz w:val="20"/>
                <w:szCs w:val="20"/>
                <w:color w:val="auto"/>
              </w:rPr>
            </w:pPr>
            <w:r>
              <w:rPr>
                <w:rFonts w:ascii="Arial" w:cs="Arial" w:eastAsia="Arial" w:hAnsi="Arial"/>
                <w:sz w:val="20"/>
                <w:szCs w:val="20"/>
                <w:color w:val="auto"/>
              </w:rPr>
              <w:t>Comprehensive income</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823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1,543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1,062</w:t>
            </w:r>
          </w:p>
        </w:tc>
      </w:tr>
      <w:tr>
        <w:trPr>
          <w:trHeight w:val="298"/>
        </w:trPr>
        <w:tc>
          <w:tcPr>
            <w:tcW w:w="6300" w:type="dxa"/>
            <w:vAlign w:val="bottom"/>
          </w:tcPr>
          <w:p>
            <w:pPr>
              <w:ind w:left="120"/>
              <w:spacing w:after="0"/>
              <w:rPr>
                <w:sz w:val="20"/>
                <w:szCs w:val="20"/>
                <w:color w:val="auto"/>
              </w:rPr>
            </w:pPr>
            <w:r>
              <w:rPr>
                <w:rFonts w:ascii="Arial" w:cs="Arial" w:eastAsia="Arial" w:hAnsi="Arial"/>
                <w:sz w:val="20"/>
                <w:szCs w:val="20"/>
                <w:color w:val="auto"/>
              </w:rPr>
              <w:t>Comprehensive income attributable to noncontrolling interests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(922)</w:t>
            </w:r>
          </w:p>
        </w:tc>
      </w:tr>
      <w:tr>
        <w:trPr>
          <w:trHeight w:val="254"/>
        </w:trPr>
        <w:tc>
          <w:tcPr>
            <w:tcW w:w="6300" w:type="dxa"/>
            <w:vAlign w:val="bottom"/>
          </w:tcPr>
          <w:p>
            <w:pPr>
              <w:spacing w:after="0"/>
              <w:rPr>
                <w:sz w:val="20"/>
                <w:szCs w:val="20"/>
                <w:color w:val="auto"/>
              </w:rPr>
            </w:pPr>
            <w:r>
              <w:rPr>
                <w:rFonts w:ascii="Arial" w:cs="Arial" w:eastAsia="Arial" w:hAnsi="Arial"/>
                <w:sz w:val="20"/>
                <w:szCs w:val="20"/>
                <w:color w:val="auto"/>
              </w:rPr>
              <w:t>Comprehensive income attributable to PAGP</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34</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20"/>
        </w:trPr>
        <w:tc>
          <w:tcPr>
            <w:tcW w:w="6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-964565</wp:posOffset>
            </wp:positionV>
            <wp:extent cx="6400800" cy="212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6">
                      <a:extLst>
                        <a:ext uri="{28A0092B-C50C-407E-A947-70E740481C1C}"/>
                      </a:extLst>
                    </a:blip>
                    <a:srcRect/>
                    <a:stretch>
                      <a:fillRect/>
                    </a:stretch>
                  </pic:blipFill>
                  <pic:spPr bwMode="auto">
                    <a:xfrm>
                      <a:off x="0" y="0"/>
                      <a:ext cx="6400800" cy="21209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-591185</wp:posOffset>
            </wp:positionV>
            <wp:extent cx="6400800" cy="212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7">
                      <a:extLst>
                        <a:ext uri="{28A0092B-C50C-407E-A947-70E740481C1C}"/>
                      </a:extLst>
                    </a:blip>
                    <a:srcRect/>
                    <a:stretch>
                      <a:fillRect/>
                    </a:stretch>
                  </pic:blipFill>
                  <pic:spPr bwMode="auto">
                    <a:xfrm>
                      <a:off x="0" y="0"/>
                      <a:ext cx="6400800" cy="21209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-217805</wp:posOffset>
            </wp:positionV>
            <wp:extent cx="6400800" cy="224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8">
                      <a:extLst>
                        <a:ext uri="{28A0092B-C50C-407E-A947-70E740481C1C}"/>
                      </a:extLst>
                    </a:blip>
                    <a:srcRect/>
                    <a:stretch>
                      <a:fillRect/>
                    </a:stretch>
                  </pic:blipFill>
                  <pic:spPr bwMode="auto">
                    <a:xfrm>
                      <a:off x="0" y="0"/>
                      <a:ext cx="6400800" cy="224790"/>
                    </a:xfrm>
                    <a:prstGeom prst="rect">
                      <a:avLst/>
                    </a:prstGeom>
                    <a:noFill/>
                  </pic:spPr>
                </pic:pic>
              </a:graphicData>
            </a:graphic>
          </wp:anchor>
        </w:drawing>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33" w:lineRule="exact"/>
        <w:rPr>
          <w:sz w:val="20"/>
          <w:szCs w:val="20"/>
          <w:color w:val="auto"/>
        </w:rPr>
      </w:pPr>
    </w:p>
    <w:p>
      <w:pPr>
        <w:jc w:val="center"/>
        <w:ind w:right="60"/>
        <w:spacing w:after="0" w:line="255" w:lineRule="auto"/>
        <w:rPr>
          <w:sz w:val="20"/>
          <w:szCs w:val="20"/>
          <w:color w:val="auto"/>
        </w:rPr>
      </w:pPr>
      <w:r>
        <w:rPr>
          <w:rFonts w:ascii="Arial" w:cs="Arial" w:eastAsia="Arial" w:hAnsi="Arial"/>
          <w:sz w:val="20"/>
          <w:szCs w:val="20"/>
          <w:b w:val="1"/>
          <w:bCs w:val="1"/>
          <w:color w:val="auto"/>
        </w:rPr>
        <w:t>PLAINS GP HOLDINGS, L.P. AND SUBSIDIARIES CONSOLIDATED STATEMENTS OF CHANGES IN ACCUMULATED OTHER COMPREHENSIVE INCOME/(LOSS)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03"/>
              <w:spacing w:after="0"/>
              <w:rPr>
                <w:sz w:val="20"/>
                <w:szCs w:val="20"/>
                <w:color w:val="auto"/>
              </w:rPr>
            </w:pPr>
            <w:r>
              <w:rPr>
                <w:rFonts w:ascii="Arial" w:cs="Arial" w:eastAsia="Arial" w:hAnsi="Arial"/>
                <w:sz w:val="16"/>
                <w:szCs w:val="16"/>
                <w:b w:val="1"/>
                <w:bCs w:val="1"/>
                <w:color w:val="auto"/>
                <w:w w:val="91"/>
              </w:rPr>
              <w:t>Derivative</w:t>
            </w:r>
          </w:p>
        </w:tc>
        <w:tc>
          <w:tcPr>
            <w:tcW w:w="60" w:type="dxa"/>
            <w:vAlign w:val="bottom"/>
          </w:tcPr>
          <w:p>
            <w:pPr>
              <w:spacing w:after="0"/>
              <w:rPr>
                <w:sz w:val="16"/>
                <w:szCs w:val="16"/>
                <w:color w:val="auto"/>
              </w:rPr>
            </w:pPr>
          </w:p>
        </w:tc>
        <w:tc>
          <w:tcPr>
            <w:tcW w:w="108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Translation</w:t>
            </w:r>
          </w:p>
        </w:tc>
        <w:tc>
          <w:tcPr>
            <w:tcW w:w="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ind w:right="26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rPr>
              <w:t>Instruments</w:t>
            </w:r>
          </w:p>
        </w:tc>
        <w:tc>
          <w:tcPr>
            <w:tcW w:w="6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96"/>
              </w:rPr>
              <w:t>Adjustments</w:t>
            </w: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460" w:type="dxa"/>
            <w:vAlign w:val="bottom"/>
          </w:tcPr>
          <w:p>
            <w:pPr>
              <w:spacing w:after="0"/>
              <w:rPr>
                <w:sz w:val="20"/>
                <w:szCs w:val="20"/>
                <w:color w:val="auto"/>
              </w:rPr>
            </w:pPr>
            <w:r>
              <w:rPr>
                <w:rFonts w:ascii="Arial" w:cs="Arial" w:eastAsia="Arial" w:hAnsi="Arial"/>
                <w:sz w:val="20"/>
                <w:szCs w:val="20"/>
                <w:color w:val="auto"/>
              </w:rPr>
              <w:t>Balance at December 31, 2021</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(208)</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(642)</w:t>
            </w:r>
          </w:p>
        </w:tc>
        <w:tc>
          <w:tcPr>
            <w:tcW w:w="840" w:type="dxa"/>
            <w:vAlign w:val="bottom"/>
            <w:gridSpan w:val="2"/>
          </w:tcPr>
          <w:p>
            <w:pPr>
              <w:jc w:val="right"/>
              <w:ind w:right="542"/>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(853)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94"/>
        </w:trPr>
        <w:tc>
          <w:tcPr>
            <w:tcW w:w="5460" w:type="dxa"/>
            <w:vAlign w:val="bottom"/>
          </w:tcPr>
          <w:p>
            <w:pPr>
              <w:spacing w:after="0"/>
              <w:rPr>
                <w:sz w:val="20"/>
                <w:szCs w:val="20"/>
                <w:color w:val="auto"/>
              </w:rPr>
            </w:pPr>
            <w:r>
              <w:rPr>
                <w:rFonts w:ascii="Arial" w:cs="Arial" w:eastAsia="Arial" w:hAnsi="Arial"/>
                <w:sz w:val="20"/>
                <w:szCs w:val="20"/>
                <w:color w:val="auto"/>
              </w:rPr>
              <w:t>Unrealized gain on hedges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94"/>
        </w:trPr>
        <w:tc>
          <w:tcPr>
            <w:tcW w:w="5460" w:type="dxa"/>
            <w:vAlign w:val="bottom"/>
          </w:tcPr>
          <w:p>
            <w:pPr>
              <w:spacing w:after="0"/>
              <w:rPr>
                <w:sz w:val="20"/>
                <w:szCs w:val="20"/>
                <w:color w:val="auto"/>
              </w:rPr>
            </w:pPr>
            <w:r>
              <w:rPr>
                <w:rFonts w:ascii="Arial" w:cs="Arial" w:eastAsia="Arial" w:hAnsi="Arial"/>
                <w:sz w:val="20"/>
                <w:szCs w:val="20"/>
                <w:color w:val="auto"/>
              </w:rPr>
              <w:t>Currency translation adjustments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(204)</w:t>
            </w:r>
          </w:p>
        </w:tc>
        <w:tc>
          <w:tcPr>
            <w:tcW w:w="0" w:type="dxa"/>
            <w:vAlign w:val="bottom"/>
          </w:tcPr>
          <w:p>
            <w:pPr>
              <w:spacing w:after="0"/>
              <w:rPr>
                <w:sz w:val="1"/>
                <w:szCs w:val="1"/>
                <w:color w:val="auto"/>
              </w:rPr>
            </w:pPr>
          </w:p>
        </w:tc>
      </w:tr>
      <w:tr>
        <w:trPr>
          <w:trHeight w:val="298"/>
        </w:trPr>
        <w:tc>
          <w:tcPr>
            <w:tcW w:w="5460" w:type="dxa"/>
            <w:vAlign w:val="bottom"/>
          </w:tcPr>
          <w:p>
            <w:pPr>
              <w:spacing w:after="0"/>
              <w:rPr>
                <w:sz w:val="20"/>
                <w:szCs w:val="20"/>
                <w:color w:val="auto"/>
              </w:rPr>
            </w:pPr>
            <w:r>
              <w:rPr>
                <w:rFonts w:ascii="Arial" w:cs="Arial" w:eastAsia="Arial" w:hAnsi="Arial"/>
                <w:sz w:val="20"/>
                <w:szCs w:val="20"/>
                <w:color w:val="auto"/>
              </w:rPr>
              <w:t>Other</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74"/>
        </w:trPr>
        <w:tc>
          <w:tcPr>
            <w:tcW w:w="5460" w:type="dxa"/>
            <w:vAlign w:val="bottom"/>
          </w:tcPr>
          <w:p>
            <w:pPr>
              <w:ind w:left="140"/>
              <w:spacing w:after="0"/>
              <w:rPr>
                <w:sz w:val="20"/>
                <w:szCs w:val="20"/>
                <w:color w:val="auto"/>
              </w:rPr>
            </w:pPr>
            <w:r>
              <w:rPr>
                <w:rFonts w:ascii="Arial" w:cs="Arial" w:eastAsia="Arial" w:hAnsi="Arial"/>
                <w:sz w:val="20"/>
                <w:szCs w:val="20"/>
                <w:color w:val="auto"/>
              </w:rPr>
              <w:t>2022 Activity</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54"/>
        </w:trPr>
        <w:tc>
          <w:tcPr>
            <w:tcW w:w="5460" w:type="dxa"/>
            <w:vAlign w:val="bottom"/>
          </w:tcPr>
          <w:p>
            <w:pPr>
              <w:spacing w:after="0"/>
              <w:rPr>
                <w:sz w:val="20"/>
                <w:szCs w:val="20"/>
                <w:color w:val="auto"/>
              </w:rPr>
            </w:pPr>
            <w:r>
              <w:rPr>
                <w:rFonts w:ascii="Arial" w:cs="Arial" w:eastAsia="Arial" w:hAnsi="Arial"/>
                <w:sz w:val="20"/>
                <w:szCs w:val="20"/>
                <w:color w:val="auto"/>
              </w:rPr>
              <w:t>Balance at December 31, 2022</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(107)</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(846)</w:t>
            </w:r>
          </w:p>
        </w:tc>
        <w:tc>
          <w:tcPr>
            <w:tcW w:w="840" w:type="dxa"/>
            <w:vAlign w:val="bottom"/>
            <w:gridSpan w:val="2"/>
          </w:tcPr>
          <w:p>
            <w:pPr>
              <w:jc w:val="right"/>
              <w:ind w:right="542"/>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(954)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94"/>
        </w:trPr>
        <w:tc>
          <w:tcPr>
            <w:tcW w:w="5460" w:type="dxa"/>
            <w:vAlign w:val="bottom"/>
          </w:tcPr>
          <w:p>
            <w:pPr>
              <w:spacing w:after="0"/>
              <w:rPr>
                <w:sz w:val="20"/>
                <w:szCs w:val="20"/>
                <w:color w:val="auto"/>
              </w:rPr>
            </w:pPr>
            <w:r>
              <w:rPr>
                <w:rFonts w:ascii="Arial" w:cs="Arial" w:eastAsia="Arial" w:hAnsi="Arial"/>
                <w:sz w:val="20"/>
                <w:szCs w:val="20"/>
                <w:color w:val="auto"/>
              </w:rPr>
              <w:t>Unrealized gain on hedges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94"/>
        </w:trPr>
        <w:tc>
          <w:tcPr>
            <w:tcW w:w="5460" w:type="dxa"/>
            <w:vAlign w:val="bottom"/>
          </w:tcPr>
          <w:p>
            <w:pPr>
              <w:spacing w:after="0"/>
              <w:rPr>
                <w:sz w:val="20"/>
                <w:szCs w:val="20"/>
                <w:color w:val="auto"/>
              </w:rPr>
            </w:pPr>
            <w:r>
              <w:rPr>
                <w:rFonts w:ascii="Arial" w:cs="Arial" w:eastAsia="Arial" w:hAnsi="Arial"/>
                <w:sz w:val="20"/>
                <w:szCs w:val="20"/>
                <w:color w:val="auto"/>
              </w:rPr>
              <w:t>Currency translation adjustments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91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98"/>
        </w:trPr>
        <w:tc>
          <w:tcPr>
            <w:tcW w:w="5460" w:type="dxa"/>
            <w:vAlign w:val="bottom"/>
          </w:tcPr>
          <w:p>
            <w:pPr>
              <w:spacing w:after="0"/>
              <w:rPr>
                <w:sz w:val="20"/>
                <w:szCs w:val="20"/>
                <w:color w:val="auto"/>
              </w:rPr>
            </w:pPr>
            <w:r>
              <w:rPr>
                <w:rFonts w:ascii="Arial" w:cs="Arial" w:eastAsia="Arial" w:hAnsi="Arial"/>
                <w:sz w:val="20"/>
                <w:szCs w:val="20"/>
                <w:color w:val="auto"/>
              </w:rPr>
              <w:t>Other</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74"/>
        </w:trPr>
        <w:tc>
          <w:tcPr>
            <w:tcW w:w="5460" w:type="dxa"/>
            <w:vAlign w:val="bottom"/>
          </w:tcPr>
          <w:p>
            <w:pPr>
              <w:ind w:left="140"/>
              <w:spacing w:after="0"/>
              <w:rPr>
                <w:sz w:val="20"/>
                <w:szCs w:val="20"/>
                <w:color w:val="auto"/>
              </w:rPr>
            </w:pPr>
            <w:r>
              <w:rPr>
                <w:rFonts w:ascii="Arial" w:cs="Arial" w:eastAsia="Arial" w:hAnsi="Arial"/>
                <w:sz w:val="20"/>
                <w:szCs w:val="20"/>
                <w:color w:val="auto"/>
              </w:rPr>
              <w:t>2023 Activity</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54"/>
        </w:trPr>
        <w:tc>
          <w:tcPr>
            <w:tcW w:w="5460" w:type="dxa"/>
            <w:vAlign w:val="bottom"/>
          </w:tcPr>
          <w:p>
            <w:pPr>
              <w:spacing w:after="0"/>
              <w:rPr>
                <w:sz w:val="20"/>
                <w:szCs w:val="20"/>
                <w:color w:val="auto"/>
              </w:rPr>
            </w:pPr>
            <w:r>
              <w:rPr>
                <w:rFonts w:ascii="Arial" w:cs="Arial" w:eastAsia="Arial" w:hAnsi="Arial"/>
                <w:sz w:val="20"/>
                <w:szCs w:val="20"/>
                <w:color w:val="auto"/>
              </w:rPr>
              <w:t>Balance at December 31, 2023</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(81)</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(755)</w:t>
            </w:r>
          </w:p>
        </w:tc>
        <w:tc>
          <w:tcPr>
            <w:tcW w:w="840" w:type="dxa"/>
            <w:vAlign w:val="bottom"/>
            <w:gridSpan w:val="2"/>
          </w:tcPr>
          <w:p>
            <w:pPr>
              <w:jc w:val="right"/>
              <w:ind w:right="542"/>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(836)</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20"/>
                <w:szCs w:val="20"/>
                <w:color w:val="auto"/>
              </w:rPr>
              <w:t>Reclassification adjustments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94"/>
        </w:trPr>
        <w:tc>
          <w:tcPr>
            <w:tcW w:w="5460" w:type="dxa"/>
            <w:vAlign w:val="bottom"/>
          </w:tcPr>
          <w:p>
            <w:pPr>
              <w:spacing w:after="0"/>
              <w:rPr>
                <w:sz w:val="20"/>
                <w:szCs w:val="20"/>
                <w:color w:val="auto"/>
              </w:rPr>
            </w:pPr>
            <w:r>
              <w:rPr>
                <w:rFonts w:ascii="Arial" w:cs="Arial" w:eastAsia="Arial" w:hAnsi="Arial"/>
                <w:sz w:val="20"/>
                <w:szCs w:val="20"/>
                <w:color w:val="auto"/>
              </w:rPr>
              <w:t>Unrealized gain on hedges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98"/>
        </w:trPr>
        <w:tc>
          <w:tcPr>
            <w:tcW w:w="5460" w:type="dxa"/>
            <w:vAlign w:val="bottom"/>
          </w:tcPr>
          <w:p>
            <w:pPr>
              <w:spacing w:after="0"/>
              <w:rPr>
                <w:sz w:val="20"/>
                <w:szCs w:val="20"/>
                <w:color w:val="auto"/>
              </w:rPr>
            </w:pPr>
            <w:r>
              <w:rPr>
                <w:rFonts w:ascii="Arial" w:cs="Arial" w:eastAsia="Arial" w:hAnsi="Arial"/>
                <w:sz w:val="20"/>
                <w:szCs w:val="20"/>
                <w:color w:val="auto"/>
              </w:rPr>
              <w:t>Currency translation adjustments</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w:t>
            </w:r>
          </w:p>
        </w:tc>
        <w:tc>
          <w:tcPr>
            <w:tcW w:w="0" w:type="dxa"/>
            <w:vAlign w:val="bottom"/>
          </w:tcPr>
          <w:p>
            <w:pPr>
              <w:spacing w:after="0"/>
              <w:rPr>
                <w:sz w:val="1"/>
                <w:szCs w:val="1"/>
                <w:color w:val="auto"/>
              </w:rPr>
            </w:pPr>
          </w:p>
        </w:tc>
      </w:tr>
      <w:tr>
        <w:trPr>
          <w:trHeight w:val="274"/>
        </w:trPr>
        <w:tc>
          <w:tcPr>
            <w:tcW w:w="5460" w:type="dxa"/>
            <w:vAlign w:val="bottom"/>
          </w:tcPr>
          <w:p>
            <w:pPr>
              <w:ind w:left="140"/>
              <w:spacing w:after="0"/>
              <w:rPr>
                <w:sz w:val="20"/>
                <w:szCs w:val="20"/>
                <w:color w:val="auto"/>
              </w:rPr>
            </w:pPr>
            <w:r>
              <w:rPr>
                <w:rFonts w:ascii="Arial" w:cs="Arial" w:eastAsia="Arial" w:hAnsi="Arial"/>
                <w:sz w:val="20"/>
                <w:szCs w:val="20"/>
                <w:color w:val="auto"/>
              </w:rPr>
              <w:t>2024 Activity</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w:t>
            </w:r>
          </w:p>
        </w:tc>
        <w:tc>
          <w:tcPr>
            <w:tcW w:w="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w:t>
            </w:r>
          </w:p>
        </w:tc>
        <w:tc>
          <w:tcPr>
            <w:tcW w:w="0" w:type="dxa"/>
            <w:vAlign w:val="bottom"/>
          </w:tcPr>
          <w:p>
            <w:pPr>
              <w:spacing w:after="0"/>
              <w:rPr>
                <w:sz w:val="1"/>
                <w:szCs w:val="1"/>
                <w:color w:val="auto"/>
              </w:rPr>
            </w:pPr>
          </w:p>
        </w:tc>
      </w:tr>
      <w:tr>
        <w:trPr>
          <w:trHeight w:val="254"/>
        </w:trPr>
        <w:tc>
          <w:tcPr>
            <w:tcW w:w="5460" w:type="dxa"/>
            <w:vAlign w:val="bottom"/>
          </w:tcPr>
          <w:p>
            <w:pPr>
              <w:spacing w:after="0"/>
              <w:rPr>
                <w:sz w:val="20"/>
                <w:szCs w:val="20"/>
                <w:color w:val="auto"/>
              </w:rPr>
            </w:pPr>
            <w:r>
              <w:rPr>
                <w:rFonts w:ascii="Arial" w:cs="Arial" w:eastAsia="Arial" w:hAnsi="Arial"/>
                <w:sz w:val="20"/>
                <w:szCs w:val="20"/>
                <w:color w:val="auto"/>
              </w:rPr>
              <w:t>Balance at December 31, 2024</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(44)</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(1,039)</w:t>
            </w:r>
          </w:p>
        </w:tc>
        <w:tc>
          <w:tcPr>
            <w:tcW w:w="840" w:type="dxa"/>
            <w:vAlign w:val="bottom"/>
            <w:gridSpan w:val="2"/>
          </w:tcPr>
          <w:p>
            <w:pPr>
              <w:jc w:val="right"/>
              <w:ind w:right="542"/>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w w:val="99"/>
              </w:rPr>
              <w:t>—</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(1,083)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-3923665</wp:posOffset>
            </wp:positionV>
            <wp:extent cx="6391275" cy="39306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a:extLst>
                        <a:ext uri="{28A0092B-C50C-407E-A947-70E740481C1C}"/>
                      </a:extLst>
                    </a:blip>
                    <a:srcRect/>
                    <a:stretch>
                      <a:fillRect/>
                    </a:stretch>
                  </pic:blipFill>
                  <pic:spPr bwMode="auto">
                    <a:xfrm>
                      <a:off x="0" y="0"/>
                      <a:ext cx="6391275" cy="3930650"/>
                    </a:xfrm>
                    <a:prstGeom prst="rect">
                      <a:avLst/>
                    </a:prstGeom>
                    <a:noFill/>
                  </pic:spPr>
                </pic:pic>
              </a:graphicData>
            </a:graphic>
          </wp:anchor>
        </w:drawing>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980"/>
          </w:cols>
          <w:pgMar w:left="98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F-7</w:t>
      </w:r>
    </w:p>
    <w:p>
      <w:pPr>
        <w:sectPr>
          <w:pgSz w:w="11880" w:h="15480" w:orient="portrait"/>
          <w:cols w:equalWidth="0" w:num="1">
            <w:col w:w="9980"/>
          </w:cols>
          <w:pgMar w:left="980" w:top="575" w:right="920" w:bottom="0" w:gutter="0" w:footer="0" w:header="0"/>
          <w:type w:val="continuous"/>
        </w:sectPr>
      </w:pPr>
    </w:p>
    <w:bookmarkStart w:id="113" w:name="page114"/>
    <w:bookmarkEnd w:id="113"/>
    <w:p>
      <w:pPr>
        <w:jc w:val="center"/>
        <w:ind w:right="60"/>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5"/>
        </w:trPr>
        <w:tc>
          <w:tcPr>
            <w:tcW w:w="6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1,070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1,425</w:t>
            </w:r>
          </w:p>
        </w:tc>
        <w:tc>
          <w:tcPr>
            <w:tcW w:w="30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60" w:type="dxa"/>
            <w:vAlign w:val="bottom"/>
          </w:tcPr>
          <w:p>
            <w:pPr>
              <w:ind w:left="140"/>
              <w:spacing w:after="0"/>
              <w:rPr>
                <w:sz w:val="20"/>
                <w:szCs w:val="20"/>
                <w:color w:val="auto"/>
              </w:rPr>
            </w:pPr>
            <w:r>
              <w:rPr>
                <w:rFonts w:ascii="Arial" w:cs="Arial" w:eastAsia="Arial" w:hAnsi="Arial"/>
                <w:sz w:val="18"/>
                <w:szCs w:val="18"/>
                <w:color w:val="auto"/>
              </w:rPr>
              <w:t>(Gains)/losses on asset sales, asset impairments and other, net (Note 6, Note 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5"/>
        </w:trPr>
        <w:tc>
          <w:tcPr>
            <w:tcW w:w="6760" w:type="dxa"/>
            <w:vAlign w:val="bottom"/>
          </w:tcPr>
          <w:p>
            <w:pPr>
              <w:ind w:left="14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5"/>
        </w:trPr>
        <w:tc>
          <w:tcPr>
            <w:tcW w:w="6760" w:type="dxa"/>
            <w:vAlign w:val="bottom"/>
          </w:tcPr>
          <w:p>
            <w:pPr>
              <w:ind w:left="140"/>
              <w:spacing w:after="0"/>
              <w:rPr>
                <w:sz w:val="20"/>
                <w:szCs w:val="20"/>
                <w:color w:val="auto"/>
              </w:rPr>
            </w:pPr>
            <w:r>
              <w:rPr>
                <w:rFonts w:ascii="Arial" w:cs="Arial" w:eastAsia="Arial" w:hAnsi="Arial"/>
                <w:sz w:val="18"/>
                <w:szCs w:val="18"/>
                <w:color w:val="auto"/>
              </w:rPr>
              <w:t>Deferred income tax expense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5"/>
        </w:trPr>
        <w:tc>
          <w:tcPr>
            <w:tcW w:w="6760" w:type="dxa"/>
            <w:vAlign w:val="bottom"/>
          </w:tcPr>
          <w:p>
            <w:pPr>
              <w:ind w:left="140"/>
              <w:spacing w:after="0"/>
              <w:rPr>
                <w:sz w:val="20"/>
                <w:szCs w:val="20"/>
                <w:color w:val="auto"/>
              </w:rPr>
            </w:pPr>
            <w:r>
              <w:rPr>
                <w:rFonts w:ascii="Arial" w:cs="Arial" w:eastAsia="Arial" w:hAnsi="Arial"/>
                <w:sz w:val="18"/>
                <w:szCs w:val="18"/>
                <w:color w:val="auto"/>
              </w:rPr>
              <w:t>Gains on sales of linefill</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5"/>
        </w:trPr>
        <w:tc>
          <w:tcPr>
            <w:tcW w:w="6760" w:type="dxa"/>
            <w:vAlign w:val="bottom"/>
          </w:tcPr>
          <w:p>
            <w:pPr>
              <w:ind w:left="140"/>
              <w:spacing w:after="0"/>
              <w:rPr>
                <w:sz w:val="20"/>
                <w:szCs w:val="20"/>
                <w:color w:val="auto"/>
              </w:rPr>
            </w:pPr>
            <w:r>
              <w:rPr>
                <w:rFonts w:ascii="Arial" w:cs="Arial" w:eastAsia="Arial" w:hAnsi="Arial"/>
                <w:sz w:val="18"/>
                <w:szCs w:val="18"/>
                <w:color w:val="auto"/>
              </w:rPr>
              <w:t>(Gain)/loss on foreign currency revaluation</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5"/>
        </w:trPr>
        <w:tc>
          <w:tcPr>
            <w:tcW w:w="6760" w:type="dxa"/>
            <w:vAlign w:val="bottom"/>
          </w:tcPr>
          <w:p>
            <w:pPr>
              <w:ind w:left="140"/>
              <w:spacing w:after="0"/>
              <w:rPr>
                <w:sz w:val="20"/>
                <w:szCs w:val="20"/>
                <w:color w:val="auto"/>
              </w:rPr>
            </w:pPr>
            <w:r>
              <w:rPr>
                <w:rFonts w:ascii="Arial" w:cs="Arial" w:eastAsia="Arial" w:hAnsi="Arial"/>
                <w:sz w:val="18"/>
                <w:szCs w:val="18"/>
                <w:color w:val="auto"/>
              </w:rPr>
              <w:t>Settlement of terminated interest rate hedging instruments (Note 12)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5"/>
        </w:trPr>
        <w:tc>
          <w:tcPr>
            <w:tcW w:w="6760" w:type="dxa"/>
            <w:vAlign w:val="bottom"/>
          </w:tcPr>
          <w:p>
            <w:pPr>
              <w:ind w:left="140"/>
              <w:spacing w:after="0"/>
              <w:rPr>
                <w:sz w:val="20"/>
                <w:szCs w:val="20"/>
                <w:color w:val="auto"/>
              </w:rPr>
            </w:pPr>
            <w:r>
              <w:rPr>
                <w:rFonts w:ascii="Arial" w:cs="Arial" w:eastAsia="Arial" w:hAnsi="Arial"/>
                <w:sz w:val="18"/>
                <w:szCs w:val="18"/>
                <w:color w:val="auto"/>
              </w:rPr>
              <w:t>Change in fair value of Preferred Distribution Rate Reset Option (Note 12)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5"/>
        </w:trPr>
        <w:tc>
          <w:tcPr>
            <w:tcW w:w="6760" w:type="dxa"/>
            <w:vAlign w:val="bottom"/>
          </w:tcPr>
          <w:p>
            <w:pPr>
              <w:ind w:left="14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7"/>
        </w:trPr>
        <w:tc>
          <w:tcPr>
            <w:tcW w:w="6760" w:type="dxa"/>
            <w:vAlign w:val="bottom"/>
          </w:tcPr>
          <w:p>
            <w:pPr>
              <w:ind w:left="140"/>
              <w:spacing w:after="0"/>
              <w:rPr>
                <w:sz w:val="20"/>
                <w:szCs w:val="20"/>
                <w:color w:val="auto"/>
              </w:rPr>
            </w:pPr>
            <w:r>
              <w:rPr>
                <w:rFonts w:ascii="Arial" w:cs="Arial" w:eastAsia="Arial" w:hAnsi="Arial"/>
                <w:sz w:val="18"/>
                <w:szCs w:val="18"/>
                <w:color w:val="auto"/>
              </w:rPr>
              <w:t>Distributions on earnings from unconsolidated entities</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51"/>
        </w:trPr>
        <w:tc>
          <w:tcPr>
            <w:tcW w:w="6760" w:type="dxa"/>
            <w:vAlign w:val="bottom"/>
          </w:tcPr>
          <w:p>
            <w:pPr>
              <w:ind w:left="140"/>
              <w:spacing w:after="0"/>
              <w:rPr>
                <w:sz w:val="20"/>
                <w:szCs w:val="20"/>
                <w:color w:val="auto"/>
              </w:rPr>
            </w:pPr>
            <w:r>
              <w:rPr>
                <w:rFonts w:ascii="Arial" w:cs="Arial" w:eastAsia="Arial" w:hAnsi="Arial"/>
                <w:sz w:val="18"/>
                <w:szCs w:val="18"/>
                <w:color w:val="auto"/>
              </w:rPr>
              <w:t>Gain on investments in unconsolidated entities, net (Note 7, Note 8)</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63"/>
        </w:trPr>
        <w:tc>
          <w:tcPr>
            <w:tcW w:w="676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7"/>
        </w:trPr>
        <w:tc>
          <w:tcPr>
            <w:tcW w:w="6760" w:type="dxa"/>
            <w:vAlign w:val="bottom"/>
          </w:tcPr>
          <w:p>
            <w:pPr>
              <w:ind w:left="120"/>
              <w:spacing w:after="0"/>
              <w:rPr>
                <w:sz w:val="20"/>
                <w:szCs w:val="20"/>
                <w:color w:val="auto"/>
              </w:rPr>
            </w:pPr>
            <w:r>
              <w:rPr>
                <w:rFonts w:ascii="Arial" w:cs="Arial" w:eastAsia="Arial" w:hAnsi="Arial"/>
                <w:sz w:val="18"/>
                <w:szCs w:val="18"/>
                <w:color w:val="auto"/>
              </w:rPr>
              <w:t>Changes in assets and liabilities, net of acquisitions:</w:t>
            </w:r>
          </w:p>
        </w:tc>
        <w:tc>
          <w:tcPr>
            <w:tcW w:w="2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1"/>
        </w:trPr>
        <w:tc>
          <w:tcPr>
            <w:tcW w:w="6760" w:type="dxa"/>
            <w:vAlign w:val="bottom"/>
          </w:tcPr>
          <w:p>
            <w:pPr>
              <w:ind w:left="240"/>
              <w:spacing w:after="0"/>
              <w:rPr>
                <w:sz w:val="20"/>
                <w:szCs w:val="20"/>
                <w:color w:val="auto"/>
              </w:rPr>
            </w:pPr>
            <w:r>
              <w:rPr>
                <w:rFonts w:ascii="Arial" w:cs="Arial" w:eastAsia="Arial" w:hAnsi="Arial"/>
                <w:sz w:val="18"/>
                <w:szCs w:val="18"/>
                <w:color w:val="auto"/>
              </w:rPr>
              <w:t>Trade accounts receivable and 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6760" w:type="dxa"/>
            <w:vAlign w:val="bottom"/>
          </w:tcPr>
          <w:p>
            <w:pPr>
              <w:ind w:left="240"/>
              <w:spacing w:after="0"/>
              <w:rPr>
                <w:sz w:val="20"/>
                <w:szCs w:val="20"/>
                <w:color w:val="auto"/>
              </w:rPr>
            </w:pPr>
            <w:r>
              <w:rPr>
                <w:rFonts w:ascii="Arial" w:cs="Arial" w:eastAsia="Arial" w:hAnsi="Arial"/>
                <w:sz w:val="18"/>
                <w:szCs w:val="18"/>
                <w:color w:val="auto"/>
              </w:rPr>
              <w:t>Trade accounts payable and other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8"/>
        </w:trPr>
        <w:tc>
          <w:tcPr>
            <w:tcW w:w="676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467"/>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Cash paid in connection with acquisitions, net of cash acquired (Note 7)</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Investments in unconsolidated entities (Note 8)</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Cash paid for purchases of linefill</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Proceeds from sales of assets (Note 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Cash received from sales of linefill</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8"/>
        </w:trPr>
        <w:tc>
          <w:tcPr>
            <w:tcW w:w="67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467"/>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borrowings/(repayments) under PAA commercial paper program (Note 10)</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Proceeds from the issuance of PAA senior notes (Note 10)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Repayments of PAA senior notes (Note 10)</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Repurchase of common units by a subsidiary (Note 11)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r>
              <w:rPr>
                <w:rFonts w:ascii="Arial" w:cs="Arial" w:eastAsia="Arial" w:hAnsi="Arial"/>
                <w:sz w:val="18"/>
                <w:szCs w:val="18"/>
                <w:color w:val="auto"/>
              </w:rPr>
              <w:t>Distributions paid to Class A shareholders (Note 11)</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Distributions paid to noncontrolling interests (Note 11)</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8"/>
        </w:trPr>
        <w:tc>
          <w:tcPr>
            <w:tcW w:w="676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448"/>
        </w:trPr>
        <w:tc>
          <w:tcPr>
            <w:tcW w:w="6760" w:type="dxa"/>
            <w:vAlign w:val="bottom"/>
          </w:tcPr>
          <w:p>
            <w:pPr>
              <w:spacing w:after="0"/>
              <w:rPr>
                <w:sz w:val="20"/>
                <w:szCs w:val="20"/>
                <w:color w:val="auto"/>
              </w:rPr>
            </w:pPr>
            <w:r>
              <w:rPr>
                <w:rFonts w:ascii="Arial" w:cs="Arial" w:eastAsia="Arial" w:hAnsi="Arial"/>
                <w:sz w:val="18"/>
                <w:szCs w:val="18"/>
                <w:color w:val="auto"/>
              </w:rPr>
              <w:t>Effect of translation adjustment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5"/>
        </w:trPr>
        <w:tc>
          <w:tcPr>
            <w:tcW w:w="6760" w:type="dxa"/>
            <w:vAlign w:val="bottom"/>
          </w:tcPr>
          <w:p>
            <w:pPr>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96"/>
        </w:trPr>
        <w:tc>
          <w:tcPr>
            <w:tcW w:w="6760" w:type="dxa"/>
            <w:vAlign w:val="bottom"/>
          </w:tcPr>
          <w:p>
            <w:pPr>
              <w:spacing w:after="0" w:line="195" w:lineRule="exact"/>
              <w:rPr>
                <w:sz w:val="20"/>
                <w:szCs w:val="20"/>
                <w:color w:val="auto"/>
              </w:rPr>
            </w:pPr>
            <w:r>
              <w:rPr>
                <w:rFonts w:ascii="Arial" w:cs="Arial" w:eastAsia="Arial" w:hAnsi="Arial"/>
                <w:sz w:val="18"/>
                <w:szCs w:val="18"/>
                <w:color w:val="auto"/>
              </w:rPr>
              <w:t>Cash and cash equivalents and restricted cash, end of period</w:t>
            </w: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349</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453</w:t>
            </w: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ind w:right="12"/>
              <w:spacing w:after="0" w:line="195"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Cash paid for:</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60" w:type="dxa"/>
            <w:vAlign w:val="bottom"/>
            <w:vMerge w:val="continue"/>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351</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377</w:t>
            </w:r>
          </w:p>
        </w:tc>
        <w:tc>
          <w:tcPr>
            <w:tcW w:w="30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Arial" w:cs="Arial" w:eastAsia="Arial" w:hAnsi="Arial"/>
                <w:sz w:val="18"/>
                <w:szCs w:val="18"/>
                <w:color w:val="auto"/>
              </w:rPr>
              <w:t>Interest, net of amounts capitalized</w:t>
            </w: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140"/>
              <w:spacing w:after="0"/>
              <w:rPr>
                <w:sz w:val="20"/>
                <w:szCs w:val="20"/>
                <w:color w:val="auto"/>
              </w:rPr>
            </w:pPr>
            <w:r>
              <w:rPr>
                <w:rFonts w:ascii="Arial" w:cs="Arial" w:eastAsia="Arial" w:hAnsi="Arial"/>
                <w:sz w:val="18"/>
                <w:szCs w:val="18"/>
                <w:color w:val="auto"/>
              </w:rPr>
              <w:t>Income taxes, net of amounts refunded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-7515860</wp:posOffset>
            </wp:positionV>
            <wp:extent cx="6316980" cy="7520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0">
                      <a:extLst>
                        <a:ext uri="{28A0092B-C50C-407E-A947-70E740481C1C}"/>
                      </a:extLst>
                    </a:blip>
                    <a:srcRect/>
                    <a:stretch>
                      <a:fillRect/>
                    </a:stretch>
                  </pic:blipFill>
                  <pic:spPr bwMode="auto">
                    <a:xfrm>
                      <a:off x="0" y="0"/>
                      <a:ext cx="6316980" cy="7520940"/>
                    </a:xfrm>
                    <a:prstGeom prst="rect">
                      <a:avLst/>
                    </a:prstGeom>
                    <a:noFill/>
                  </pic:spPr>
                </pic:pic>
              </a:graphicData>
            </a:graphic>
          </wp:anchor>
        </w:drawing>
      </w: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860"/>
          </w:cols>
          <w:pgMar w:left="1040" w:top="57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F-8</w:t>
      </w:r>
    </w:p>
    <w:p>
      <w:pPr>
        <w:sectPr>
          <w:pgSz w:w="11880" w:h="15480" w:orient="portrait"/>
          <w:cols w:equalWidth="0" w:num="1">
            <w:col w:w="9860"/>
          </w:cols>
          <w:pgMar w:left="1040" w:top="575" w:right="980" w:bottom="0" w:gutter="0" w:footer="0" w:header="0"/>
          <w:type w:val="continuous"/>
        </w:sectPr>
      </w:pPr>
    </w:p>
    <w:bookmarkStart w:id="114" w:name="page115"/>
    <w:bookmarkEnd w:id="114"/>
    <w:p>
      <w:pPr>
        <w:jc w:val="center"/>
        <w:ind w:right="60"/>
        <w:spacing w:after="0" w:line="267" w:lineRule="auto"/>
        <w:rPr>
          <w:sz w:val="20"/>
          <w:szCs w:val="20"/>
          <w:color w:val="auto"/>
        </w:rPr>
      </w:pPr>
      <w:r>
        <w:rPr>
          <w:rFonts w:ascii="Arial" w:cs="Arial" w:eastAsia="Arial" w:hAnsi="Arial"/>
          <w:sz w:val="20"/>
          <w:szCs w:val="20"/>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43"/>
              <w:spacing w:after="0"/>
              <w:rPr>
                <w:sz w:val="20"/>
                <w:szCs w:val="20"/>
                <w:color w:val="auto"/>
              </w:rPr>
            </w:pPr>
            <w:r>
              <w:rPr>
                <w:rFonts w:ascii="Arial" w:cs="Arial" w:eastAsia="Arial" w:hAnsi="Arial"/>
                <w:sz w:val="16"/>
                <w:szCs w:val="16"/>
                <w:b w:val="1"/>
                <w:bCs w:val="1"/>
                <w:color w:val="auto"/>
                <w:w w:val="98"/>
              </w:rPr>
              <w:t>Class A</w:t>
            </w:r>
          </w:p>
        </w:tc>
        <w:tc>
          <w:tcPr>
            <w:tcW w:w="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Noncontrolling</w:t>
            </w:r>
          </w:p>
        </w:tc>
        <w:tc>
          <w:tcPr>
            <w:tcW w:w="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Total Partners’</w:t>
            </w:r>
          </w:p>
        </w:tc>
      </w:tr>
      <w:tr>
        <w:trPr>
          <w:trHeight w:val="210"/>
        </w:trPr>
        <w:tc>
          <w:tcPr>
            <w:tcW w:w="630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w w:val="97"/>
              </w:rPr>
              <w:t>Shareholders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w w:val="92"/>
              </w:rPr>
              <w:t>Interests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Capital</w:t>
            </w:r>
          </w:p>
        </w:tc>
      </w:tr>
      <w:tr>
        <w:trPr>
          <w:trHeight w:val="254"/>
        </w:trPr>
        <w:tc>
          <w:tcPr>
            <w:tcW w:w="6300" w:type="dxa"/>
            <w:vAlign w:val="bottom"/>
          </w:tcPr>
          <w:p>
            <w:pPr>
              <w:spacing w:after="0"/>
              <w:rPr>
                <w:sz w:val="20"/>
                <w:szCs w:val="20"/>
                <w:color w:val="auto"/>
              </w:rPr>
            </w:pPr>
            <w:r>
              <w:rPr>
                <w:rFonts w:ascii="Arial" w:cs="Arial" w:eastAsia="Arial" w:hAnsi="Arial"/>
                <w:sz w:val="20"/>
                <w:szCs w:val="20"/>
                <w:color w:val="auto"/>
              </w:rPr>
              <w:t>Balance at December 31, 2021</w:t>
            </w:r>
          </w:p>
        </w:tc>
        <w:tc>
          <w:tcPr>
            <w:tcW w:w="240" w:type="dxa"/>
            <w:vAlign w:val="bottom"/>
          </w:tcPr>
          <w:p>
            <w:pPr>
              <w:jc w:val="right"/>
              <w:ind w:right="6"/>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1,533</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12,644</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14,177</w:t>
            </w:r>
          </w:p>
        </w:tc>
      </w:tr>
      <w:tr>
        <w:trPr>
          <w:trHeight w:val="20"/>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44"/>
        </w:trPr>
        <w:tc>
          <w:tcPr>
            <w:tcW w:w="630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1,163</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Distributions (Note 11)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(1,083)</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Deferred tax asset (Note 14)</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Other comprehensive loss (Note 11)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Equity-indexed compensation expense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Repurchase of common units by a subsidiary (Note 11)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Contributions from noncontrolling interests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Cactus II Pipeline LLC transaction (Note 7)</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526</w:t>
            </w:r>
          </w:p>
        </w:tc>
      </w:tr>
      <w:tr>
        <w:trPr>
          <w:trHeight w:val="298"/>
        </w:trPr>
        <w:tc>
          <w:tcPr>
            <w:tcW w:w="6300" w:type="dxa"/>
            <w:vAlign w:val="bottom"/>
          </w:tcPr>
          <w:p>
            <w:pPr>
              <w:ind w:left="140"/>
              <w:spacing w:after="0"/>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r>
      <w:tr>
        <w:trPr>
          <w:trHeight w:val="254"/>
        </w:trPr>
        <w:tc>
          <w:tcPr>
            <w:tcW w:w="6300" w:type="dxa"/>
            <w:vAlign w:val="bottom"/>
          </w:tcPr>
          <w:p>
            <w:pPr>
              <w:spacing w:after="0"/>
              <w:rPr>
                <w:sz w:val="20"/>
                <w:szCs w:val="20"/>
                <w:color w:val="auto"/>
              </w:rPr>
            </w:pPr>
            <w:r>
              <w:rPr>
                <w:rFonts w:ascii="Arial" w:cs="Arial" w:eastAsia="Arial" w:hAnsi="Arial"/>
                <w:sz w:val="20"/>
                <w:szCs w:val="20"/>
                <w:color w:val="auto"/>
              </w:rPr>
              <w:t>Balance at December 31, 2022</w:t>
            </w:r>
          </w:p>
        </w:tc>
        <w:tc>
          <w:tcPr>
            <w:tcW w:w="240" w:type="dxa"/>
            <w:vAlign w:val="bottom"/>
          </w:tcPr>
          <w:p>
            <w:pPr>
              <w:jc w:val="right"/>
              <w:ind w:right="6"/>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1,524</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13,114</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14,638</w:t>
            </w:r>
          </w:p>
        </w:tc>
      </w:tr>
      <w:tr>
        <w:trPr>
          <w:trHeight w:val="20"/>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44"/>
        </w:trPr>
        <w:tc>
          <w:tcPr>
            <w:tcW w:w="630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1,425</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Distributions (Note 11)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(1,330)</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Deferred tax asset (Note 14)</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Other comprehensive income (Note 11)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Equity-indexed compensation expense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Contributions from noncontrolling interests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98"/>
        </w:trPr>
        <w:tc>
          <w:tcPr>
            <w:tcW w:w="6300" w:type="dxa"/>
            <w:vAlign w:val="bottom"/>
          </w:tcPr>
          <w:p>
            <w:pPr>
              <w:ind w:left="140"/>
              <w:spacing w:after="0"/>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w:t>
            </w:r>
          </w:p>
        </w:tc>
      </w:tr>
      <w:tr>
        <w:trPr>
          <w:trHeight w:val="254"/>
        </w:trPr>
        <w:tc>
          <w:tcPr>
            <w:tcW w:w="6300" w:type="dxa"/>
            <w:vAlign w:val="bottom"/>
          </w:tcPr>
          <w:p>
            <w:pPr>
              <w:spacing w:after="0"/>
              <w:rPr>
                <w:sz w:val="20"/>
                <w:szCs w:val="20"/>
                <w:color w:val="auto"/>
              </w:rPr>
            </w:pPr>
            <w:r>
              <w:rPr>
                <w:rFonts w:ascii="Arial" w:cs="Arial" w:eastAsia="Arial" w:hAnsi="Arial"/>
                <w:sz w:val="20"/>
                <w:szCs w:val="20"/>
                <w:color w:val="auto"/>
              </w:rPr>
              <w:t>Balance at December 31, 2023</w:t>
            </w:r>
          </w:p>
        </w:tc>
        <w:tc>
          <w:tcPr>
            <w:tcW w:w="240" w:type="dxa"/>
            <w:vAlign w:val="bottom"/>
          </w:tcPr>
          <w:p>
            <w:pPr>
              <w:jc w:val="right"/>
              <w:ind w:right="6"/>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1,548</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13,424</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14,972</w:t>
            </w:r>
          </w:p>
        </w:tc>
      </w:tr>
      <w:tr>
        <w:trPr>
          <w:trHeight w:val="20"/>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44"/>
        </w:trPr>
        <w:tc>
          <w:tcPr>
            <w:tcW w:w="6300" w:type="dxa"/>
            <w:vAlign w:val="bottom"/>
          </w:tcPr>
          <w:p>
            <w:pPr>
              <w:ind w:left="140"/>
              <w:spacing w:after="0"/>
              <w:rPr>
                <w:sz w:val="20"/>
                <w:szCs w:val="20"/>
                <w:color w:val="auto"/>
              </w:rPr>
            </w:pPr>
            <w:r>
              <w:rPr>
                <w:rFonts w:ascii="Arial" w:cs="Arial" w:eastAsia="Arial" w:hAnsi="Arial"/>
                <w:sz w:val="20"/>
                <w:szCs w:val="20"/>
                <w:color w:val="auto"/>
              </w:rPr>
              <w:t>Net income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967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1,070</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Distributions (Note 11)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(251)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(1,569)</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Deferred tax asset (Note 14)</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Other comprehensive loss (Note 11)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(247)</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Equity-indexed compensation expense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94"/>
        </w:trPr>
        <w:tc>
          <w:tcPr>
            <w:tcW w:w="6300" w:type="dxa"/>
            <w:vAlign w:val="bottom"/>
          </w:tcPr>
          <w:p>
            <w:pPr>
              <w:ind w:left="140"/>
              <w:spacing w:after="0"/>
              <w:rPr>
                <w:sz w:val="20"/>
                <w:szCs w:val="20"/>
                <w:color w:val="auto"/>
              </w:rPr>
            </w:pPr>
            <w:r>
              <w:rPr>
                <w:rFonts w:ascii="Arial" w:cs="Arial" w:eastAsia="Arial" w:hAnsi="Arial"/>
                <w:sz w:val="20"/>
                <w:szCs w:val="20"/>
                <w:color w:val="auto"/>
              </w:rPr>
              <w:t>Contributions from noncontrolling interests</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98"/>
        </w:trPr>
        <w:tc>
          <w:tcPr>
            <w:tcW w:w="6300" w:type="dxa"/>
            <w:vAlign w:val="bottom"/>
          </w:tcPr>
          <w:p>
            <w:pPr>
              <w:ind w:left="140"/>
              <w:spacing w:after="0"/>
              <w:rPr>
                <w:sz w:val="20"/>
                <w:szCs w:val="20"/>
                <w:color w:val="auto"/>
              </w:rPr>
            </w:pPr>
            <w:r>
              <w:rPr>
                <w:rFonts w:ascii="Arial" w:cs="Arial" w:eastAsia="Arial" w:hAnsi="Arial"/>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r>
      <w:tr>
        <w:trPr>
          <w:trHeight w:val="254"/>
        </w:trPr>
        <w:tc>
          <w:tcPr>
            <w:tcW w:w="6300" w:type="dxa"/>
            <w:vAlign w:val="bottom"/>
          </w:tcPr>
          <w:p>
            <w:pPr>
              <w:spacing w:after="0"/>
              <w:rPr>
                <w:sz w:val="20"/>
                <w:szCs w:val="20"/>
                <w:color w:val="auto"/>
              </w:rPr>
            </w:pPr>
            <w:r>
              <w:rPr>
                <w:rFonts w:ascii="Arial" w:cs="Arial" w:eastAsia="Arial" w:hAnsi="Arial"/>
                <w:sz w:val="20"/>
                <w:szCs w:val="20"/>
                <w:color w:val="auto"/>
              </w:rPr>
              <w:t>Balance at December 31, 2024</w:t>
            </w:r>
          </w:p>
        </w:tc>
        <w:tc>
          <w:tcPr>
            <w:tcW w:w="240" w:type="dxa"/>
            <w:vAlign w:val="bottom"/>
          </w:tcPr>
          <w:p>
            <w:pPr>
              <w:jc w:val="right"/>
              <w:ind w:right="6"/>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1,351</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12,965</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14,316</w:t>
            </w:r>
          </w:p>
        </w:tc>
      </w:tr>
      <w:tr>
        <w:trPr>
          <w:trHeight w:val="20"/>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-5631815</wp:posOffset>
            </wp:positionV>
            <wp:extent cx="6391275" cy="5638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
                      <a:extLst>
                        <a:ext uri="{28A0092B-C50C-407E-A947-70E740481C1C}"/>
                      </a:extLst>
                    </a:blip>
                    <a:srcRect/>
                    <a:stretch>
                      <a:fillRect/>
                    </a:stretch>
                  </pic:blipFill>
                  <pic:spPr bwMode="auto">
                    <a:xfrm>
                      <a:off x="0" y="0"/>
                      <a:ext cx="6391275" cy="5638800"/>
                    </a:xfrm>
                    <a:prstGeom prst="rect">
                      <a:avLst/>
                    </a:prstGeom>
                    <a:noFill/>
                  </pic:spPr>
                </pic:pic>
              </a:graphicData>
            </a:graphic>
          </wp:anchor>
        </w:drawing>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980"/>
          </w:cols>
          <w:pgMar w:left="980" w:top="57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F-9</w:t>
      </w:r>
    </w:p>
    <w:p>
      <w:pPr>
        <w:sectPr>
          <w:pgSz w:w="11880" w:h="15480" w:orient="portrait"/>
          <w:cols w:equalWidth="0" w:num="1">
            <w:col w:w="9980"/>
          </w:cols>
          <w:pgMar w:left="980" w:top="575" w:right="920" w:bottom="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1—Organization and Basis of Consolidation and Presentation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Organization</w:t>
      </w:r>
    </w:p>
    <w:p>
      <w:pPr>
        <w:spacing w:after="0" w:line="248" w:lineRule="exact"/>
        <w:rPr>
          <w:sz w:val="20"/>
          <w:szCs w:val="20"/>
          <w:color w:val="auto"/>
        </w:rPr>
      </w:pPr>
    </w:p>
    <w:p>
      <w:pPr>
        <w:ind w:right="40" w:firstLine="706"/>
        <w:spacing w:after="0" w:line="303"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December 31, 2024, its sole source of cash flow is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66" w:lineRule="exact"/>
        <w:rPr>
          <w:sz w:val="20"/>
          <w:szCs w:val="20"/>
          <w:color w:val="auto"/>
        </w:rPr>
      </w:pPr>
    </w:p>
    <w:p>
      <w:pPr>
        <w:ind w:right="260" w:firstLine="706"/>
        <w:spacing w:after="0" w:line="249" w:lineRule="auto"/>
        <w:rPr>
          <w:sz w:val="20"/>
          <w:szCs w:val="20"/>
          <w:color w:val="auto"/>
        </w:rPr>
      </w:pPr>
      <w:r>
        <w:rPr>
          <w:rFonts w:ascii="Arial" w:cs="Arial" w:eastAsia="Arial" w:hAnsi="Arial"/>
          <w:sz w:val="20"/>
          <w:szCs w:val="20"/>
          <w:color w:val="auto"/>
        </w:rPr>
        <w:t>As of December 31, 2024, we owned an approximate 85% limited partner interest in Plains AAP, L.P. (“AAP”) through our ownership of approximately 197.5 million Class A units of AAP (“AAP units”). We also own a 100% managing member interest in Plains All American GP LLC (“GP LLC”), a Delaware limited liability company that holds the non-economic general partner interest in AAP. AAP is a Delaware limited partnership that, as of December 31, 2024, directly owned a limited partner interest in PAA through its ownership of approximately 232.9 million PAA common units (approximately 30% of PAA’s total outstanding common units and Series A preferred units combined). AAP is the sole member of PAA GP LLC (“PAA GP”), a Delaware limited liability company that directly holds the non-economic general partner interest in PAA.</w:t>
      </w:r>
    </w:p>
    <w:p>
      <w:pPr>
        <w:spacing w:after="0" w:line="208" w:lineRule="exact"/>
        <w:rPr>
          <w:sz w:val="20"/>
          <w:szCs w:val="20"/>
          <w:color w:val="auto"/>
        </w:rPr>
      </w:pPr>
    </w:p>
    <w:p>
      <w:pPr>
        <w:ind w:right="80" w:firstLine="706"/>
        <w:spacing w:after="0" w:line="264" w:lineRule="auto"/>
        <w:rPr>
          <w:sz w:val="20"/>
          <w:szCs w:val="20"/>
          <w:color w:val="auto"/>
        </w:rPr>
      </w:pPr>
      <w:r>
        <w:rPr>
          <w:rFonts w:ascii="Arial" w:cs="Arial" w:eastAsia="Arial" w:hAnsi="Arial"/>
          <w:sz w:val="19"/>
          <w:szCs w:val="19"/>
          <w:color w:val="auto"/>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and conducted through two operating segments: Crude Oil and NGL. See Note 19 for further discussion of our operating segments.</w:t>
      </w:r>
    </w:p>
    <w:p>
      <w:pPr>
        <w:spacing w:after="0" w:line="199" w:lineRule="exact"/>
        <w:rPr>
          <w:sz w:val="20"/>
          <w:szCs w:val="20"/>
          <w:color w:val="auto"/>
        </w:rPr>
      </w:pPr>
    </w:p>
    <w:p>
      <w:pPr>
        <w:ind w:firstLine="706"/>
        <w:spacing w:after="0" w:line="306" w:lineRule="auto"/>
        <w:rPr>
          <w:sz w:val="20"/>
          <w:szCs w:val="20"/>
          <w:color w:val="auto"/>
        </w:rPr>
      </w:pPr>
      <w:r>
        <w:rPr>
          <w:rFonts w:ascii="Arial" w:cs="Arial" w:eastAsia="Arial" w:hAnsi="Arial"/>
          <w:sz w:val="17"/>
          <w:szCs w:val="17"/>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65" w:lineRule="exact"/>
        <w:rPr>
          <w:sz w:val="20"/>
          <w:szCs w:val="20"/>
          <w:color w:val="auto"/>
        </w:rPr>
      </w:pPr>
    </w:p>
    <w:p>
      <w:pPr>
        <w:ind w:right="820" w:firstLine="706"/>
        <w:spacing w:after="0" w:line="271" w:lineRule="auto"/>
        <w:rPr>
          <w:sz w:val="20"/>
          <w:szCs w:val="20"/>
          <w:color w:val="auto"/>
        </w:rPr>
      </w:pPr>
      <w:r>
        <w:rPr>
          <w:rFonts w:ascii="Arial" w:cs="Arial" w:eastAsia="Arial" w:hAnsi="Arial"/>
          <w:sz w:val="20"/>
          <w:szCs w:val="20"/>
          <w:color w:val="auto"/>
        </w:rPr>
        <w:t>References to the “Plains Entities” include us, our general partner, GP LLC, AAP, PAA GP and PAA and its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Additional defined terms may be used in the following notes and shall have the meanings indicated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1200" w:type="dxa"/>
            <w:vAlign w:val="bottom"/>
          </w:tcPr>
          <w:p>
            <w:pPr>
              <w:spacing w:after="0"/>
              <w:rPr>
                <w:sz w:val="20"/>
                <w:szCs w:val="20"/>
                <w:color w:val="auto"/>
              </w:rPr>
            </w:pPr>
            <w:r>
              <w:rPr>
                <w:rFonts w:ascii="Arial" w:cs="Arial" w:eastAsia="Arial" w:hAnsi="Arial"/>
                <w:sz w:val="20"/>
                <w:szCs w:val="20"/>
                <w:color w:val="auto"/>
              </w:rPr>
              <w:t>AOCI</w:t>
            </w:r>
          </w:p>
        </w:tc>
        <w:tc>
          <w:tcPr>
            <w:tcW w:w="5700" w:type="dxa"/>
            <w:vAlign w:val="bottom"/>
            <w:gridSpan w:val="2"/>
          </w:tcPr>
          <w:p>
            <w:pPr>
              <w:ind w:left="460"/>
              <w:spacing w:after="0"/>
              <w:rPr>
                <w:sz w:val="20"/>
                <w:szCs w:val="20"/>
                <w:color w:val="auto"/>
              </w:rPr>
            </w:pPr>
            <w:r>
              <w:rPr>
                <w:rFonts w:ascii="Arial" w:cs="Arial" w:eastAsia="Arial" w:hAnsi="Arial"/>
                <w:sz w:val="20"/>
                <w:szCs w:val="20"/>
                <w:color w:val="auto"/>
              </w:rPr>
              <w:t>=   Accumulated other comprehensive income/(loss)</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ASC</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4980" w:type="dxa"/>
            <w:vAlign w:val="bottom"/>
          </w:tcPr>
          <w:p>
            <w:pPr>
              <w:ind w:left="160"/>
              <w:spacing w:after="0"/>
              <w:rPr>
                <w:sz w:val="20"/>
                <w:szCs w:val="20"/>
                <w:color w:val="auto"/>
              </w:rPr>
            </w:pPr>
            <w:r>
              <w:rPr>
                <w:rFonts w:ascii="Arial" w:cs="Arial" w:eastAsia="Arial" w:hAnsi="Arial"/>
                <w:sz w:val="20"/>
                <w:szCs w:val="20"/>
                <w:color w:val="auto"/>
              </w:rPr>
              <w:t>Accounting Standards Codification</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ASU</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4980" w:type="dxa"/>
            <w:vAlign w:val="bottom"/>
          </w:tcPr>
          <w:p>
            <w:pPr>
              <w:ind w:left="160"/>
              <w:spacing w:after="0"/>
              <w:rPr>
                <w:sz w:val="20"/>
                <w:szCs w:val="20"/>
                <w:color w:val="auto"/>
              </w:rPr>
            </w:pPr>
            <w:r>
              <w:rPr>
                <w:rFonts w:ascii="Arial" w:cs="Arial" w:eastAsia="Arial" w:hAnsi="Arial"/>
                <w:sz w:val="20"/>
                <w:szCs w:val="20"/>
                <w:color w:val="auto"/>
              </w:rPr>
              <w:t>Accounting Standards Update</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Bcf</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4980" w:type="dxa"/>
            <w:vAlign w:val="bottom"/>
          </w:tcPr>
          <w:p>
            <w:pPr>
              <w:ind w:left="160"/>
              <w:spacing w:after="0"/>
              <w:rPr>
                <w:sz w:val="20"/>
                <w:szCs w:val="20"/>
                <w:color w:val="auto"/>
              </w:rPr>
            </w:pPr>
            <w:r>
              <w:rPr>
                <w:rFonts w:ascii="Arial" w:cs="Arial" w:eastAsia="Arial" w:hAnsi="Arial"/>
                <w:sz w:val="20"/>
                <w:szCs w:val="20"/>
                <w:color w:val="auto"/>
              </w:rPr>
              <w:t>Billion cubic feet</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Btu</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4980" w:type="dxa"/>
            <w:vAlign w:val="bottom"/>
          </w:tcPr>
          <w:p>
            <w:pPr>
              <w:ind w:left="160"/>
              <w:spacing w:after="0"/>
              <w:rPr>
                <w:sz w:val="20"/>
                <w:szCs w:val="20"/>
                <w:color w:val="auto"/>
              </w:rPr>
            </w:pPr>
            <w:r>
              <w:rPr>
                <w:rFonts w:ascii="Arial" w:cs="Arial" w:eastAsia="Arial" w:hAnsi="Arial"/>
                <w:sz w:val="20"/>
                <w:szCs w:val="20"/>
                <w:color w:val="auto"/>
              </w:rPr>
              <w:t>British thermal unit</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CAD</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4980" w:type="dxa"/>
            <w:vAlign w:val="bottom"/>
          </w:tcPr>
          <w:p>
            <w:pPr>
              <w:ind w:left="160"/>
              <w:spacing w:after="0"/>
              <w:rPr>
                <w:sz w:val="20"/>
                <w:szCs w:val="20"/>
                <w:color w:val="auto"/>
              </w:rPr>
            </w:pPr>
            <w:r>
              <w:rPr>
                <w:rFonts w:ascii="Arial" w:cs="Arial" w:eastAsia="Arial" w:hAnsi="Arial"/>
                <w:sz w:val="20"/>
                <w:szCs w:val="20"/>
                <w:color w:val="auto"/>
              </w:rPr>
              <w:t>Canadian dollar</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CODM</w:t>
            </w:r>
          </w:p>
        </w:tc>
        <w:tc>
          <w:tcPr>
            <w:tcW w:w="5700" w:type="dxa"/>
            <w:vAlign w:val="bottom"/>
            <w:gridSpan w:val="2"/>
          </w:tcPr>
          <w:p>
            <w:pPr>
              <w:ind w:left="460"/>
              <w:spacing w:after="0"/>
              <w:rPr>
                <w:sz w:val="20"/>
                <w:szCs w:val="20"/>
                <w:color w:val="auto"/>
              </w:rPr>
            </w:pPr>
            <w:r>
              <w:rPr>
                <w:rFonts w:ascii="Arial" w:cs="Arial" w:eastAsia="Arial" w:hAnsi="Arial"/>
                <w:sz w:val="20"/>
                <w:szCs w:val="20"/>
                <w:color w:val="auto"/>
              </w:rPr>
              <w:t>=   Chief Operating Decision Maker</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DERs</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4980" w:type="dxa"/>
            <w:vAlign w:val="bottom"/>
          </w:tcPr>
          <w:p>
            <w:pPr>
              <w:ind w:left="160"/>
              <w:spacing w:after="0"/>
              <w:rPr>
                <w:sz w:val="20"/>
                <w:szCs w:val="20"/>
                <w:color w:val="auto"/>
              </w:rPr>
            </w:pPr>
            <w:r>
              <w:rPr>
                <w:rFonts w:ascii="Arial" w:cs="Arial" w:eastAsia="Arial" w:hAnsi="Arial"/>
                <w:sz w:val="20"/>
                <w:szCs w:val="20"/>
                <w:color w:val="auto"/>
              </w:rPr>
              <w:t>Distribution equivalent rights</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EBITDA</w:t>
            </w:r>
          </w:p>
        </w:tc>
        <w:tc>
          <w:tcPr>
            <w:tcW w:w="5700" w:type="dxa"/>
            <w:vAlign w:val="bottom"/>
            <w:gridSpan w:val="2"/>
          </w:tcPr>
          <w:p>
            <w:pPr>
              <w:ind w:left="460"/>
              <w:spacing w:after="0"/>
              <w:rPr>
                <w:sz w:val="20"/>
                <w:szCs w:val="20"/>
                <w:color w:val="auto"/>
              </w:rPr>
            </w:pPr>
            <w:r>
              <w:rPr>
                <w:rFonts w:ascii="Arial" w:cs="Arial" w:eastAsia="Arial" w:hAnsi="Arial"/>
                <w:sz w:val="20"/>
                <w:szCs w:val="20"/>
                <w:color w:val="auto"/>
                <w:w w:val="91"/>
              </w:rPr>
              <w:t>=   Earnings before interest, taxes, depreciation and amortization</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EPA</w:t>
            </w:r>
          </w:p>
        </w:tc>
        <w:tc>
          <w:tcPr>
            <w:tcW w:w="5700" w:type="dxa"/>
            <w:vAlign w:val="bottom"/>
            <w:gridSpan w:val="2"/>
          </w:tcPr>
          <w:p>
            <w:pPr>
              <w:ind w:left="460"/>
              <w:spacing w:after="0"/>
              <w:rPr>
                <w:sz w:val="20"/>
                <w:szCs w:val="20"/>
                <w:color w:val="auto"/>
              </w:rPr>
            </w:pPr>
            <w:r>
              <w:rPr>
                <w:rFonts w:ascii="Arial" w:cs="Arial" w:eastAsia="Arial" w:hAnsi="Arial"/>
                <w:sz w:val="20"/>
                <w:szCs w:val="20"/>
                <w:color w:val="auto"/>
              </w:rPr>
              <w:t>=   United States Environmental Protection Agency</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FASB</w:t>
            </w:r>
          </w:p>
        </w:tc>
        <w:tc>
          <w:tcPr>
            <w:tcW w:w="5700" w:type="dxa"/>
            <w:vAlign w:val="bottom"/>
            <w:gridSpan w:val="2"/>
          </w:tcPr>
          <w:p>
            <w:pPr>
              <w:ind w:left="460"/>
              <w:spacing w:after="0"/>
              <w:rPr>
                <w:sz w:val="20"/>
                <w:szCs w:val="20"/>
                <w:color w:val="auto"/>
              </w:rPr>
            </w:pPr>
            <w:r>
              <w:rPr>
                <w:rFonts w:ascii="Arial" w:cs="Arial" w:eastAsia="Arial" w:hAnsi="Arial"/>
                <w:sz w:val="20"/>
                <w:szCs w:val="20"/>
                <w:color w:val="auto"/>
              </w:rPr>
              <w:t>=   Financial Accounting Standards Board</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GAAP</w:t>
            </w:r>
          </w:p>
        </w:tc>
        <w:tc>
          <w:tcPr>
            <w:tcW w:w="5700" w:type="dxa"/>
            <w:vAlign w:val="bottom"/>
            <w:gridSpan w:val="2"/>
          </w:tcPr>
          <w:p>
            <w:pPr>
              <w:ind w:left="460"/>
              <w:spacing w:after="0"/>
              <w:rPr>
                <w:sz w:val="20"/>
                <w:szCs w:val="20"/>
                <w:color w:val="auto"/>
              </w:rPr>
            </w:pPr>
            <w:r>
              <w:rPr>
                <w:rFonts w:ascii="Arial" w:cs="Arial" w:eastAsia="Arial" w:hAnsi="Arial"/>
                <w:sz w:val="20"/>
                <w:szCs w:val="20"/>
                <w:color w:val="auto"/>
                <w:w w:val="91"/>
              </w:rPr>
              <w:t>=   Generally accepted accounting principles in the United States</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ICE</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4980" w:type="dxa"/>
            <w:vAlign w:val="bottom"/>
          </w:tcPr>
          <w:p>
            <w:pPr>
              <w:ind w:left="160"/>
              <w:spacing w:after="0"/>
              <w:rPr>
                <w:sz w:val="20"/>
                <w:szCs w:val="20"/>
                <w:color w:val="auto"/>
              </w:rPr>
            </w:pPr>
            <w:r>
              <w:rPr>
                <w:rFonts w:ascii="Arial" w:cs="Arial" w:eastAsia="Arial" w:hAnsi="Arial"/>
                <w:sz w:val="20"/>
                <w:szCs w:val="20"/>
                <w:color w:val="auto"/>
              </w:rPr>
              <w:t>Intercontinental Exchange</w:t>
            </w:r>
          </w:p>
        </w:tc>
      </w:tr>
    </w:tbl>
    <w:p>
      <w:pPr>
        <w:spacing w:after="0" w:line="200" w:lineRule="exact"/>
        <w:rPr>
          <w:sz w:val="20"/>
          <w:szCs w:val="20"/>
          <w:color w:val="auto"/>
        </w:rPr>
      </w:pPr>
    </w:p>
    <w:p>
      <w:pPr>
        <w:sectPr>
          <w:pgSz w:w="11880" w:h="15480" w:orient="portrait"/>
          <w:cols w:equalWidth="0" w:num="1">
            <w:col w:w="10040"/>
          </w:cols>
          <w:pgMar w:left="920" w:top="337" w:right="920" w:bottom="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880" w:h="15480" w:orient="portrait"/>
          <w:cols w:equalWidth="0" w:num="1">
            <w:col w:w="10040"/>
          </w:cols>
          <w:pgMar w:left="920" w:top="337" w:right="920" w:bottom="0" w:gutter="0" w:footer="0" w:header="0"/>
          <w:type w:val="continuous"/>
        </w:sectPr>
      </w:pPr>
    </w:p>
    <w:bookmarkStart w:id="116" w:name="page117"/>
    <w:bookmarkEnd w:id="116"/>
    <w:tbl>
      <w:tblPr>
        <w:tblLayout w:type="fixed"/>
        <w:tblInd w:w="47" w:type="dxa"/>
        <w:tblCellMar>
          <w:top w:w="0" w:type="dxa"/>
          <w:left w:w="0" w:type="dxa"/>
          <w:bottom w:w="0" w:type="dxa"/>
          <w:right w:w="0" w:type="dxa"/>
        </w:tblCellMar>
      </w:tblPr>
      <w:tr>
        <w:trPr>
          <w:trHeight w:val="235"/>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80" w:type="dxa"/>
            <w:vAlign w:val="bottom"/>
          </w:tcPr>
          <w:p>
            <w:pPr>
              <w:ind w:left="820"/>
              <w:spacing w:after="0"/>
              <w:rPr>
                <w:sz w:val="20"/>
                <w:szCs w:val="20"/>
                <w:color w:val="auto"/>
              </w:rPr>
            </w:pPr>
            <w:r>
              <w:rPr>
                <w:rFonts w:ascii="Arial" w:cs="Arial" w:eastAsia="Arial" w:hAnsi="Arial"/>
                <w:sz w:val="20"/>
                <w:szCs w:val="20"/>
                <w:b w:val="1"/>
                <w:bCs w:val="1"/>
                <w:color w:val="auto"/>
              </w:rPr>
              <w:t>PLAINS GP HOLDINGS, L.P. AND SUBSIDIARIES</w:t>
            </w:r>
          </w:p>
        </w:tc>
      </w:tr>
      <w:tr>
        <w:trPr>
          <w:trHeight w:val="259"/>
        </w:trPr>
        <w:tc>
          <w:tcPr>
            <w:tcW w:w="1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80" w:type="dxa"/>
            <w:vAlign w:val="bottom"/>
          </w:tcPr>
          <w:p>
            <w:pPr>
              <w:ind w:left="240"/>
              <w:spacing w:after="0"/>
              <w:rPr>
                <w:sz w:val="20"/>
                <w:szCs w:val="20"/>
                <w:color w:val="auto"/>
              </w:rPr>
            </w:pPr>
            <w:r>
              <w:rPr>
                <w:rFonts w:ascii="Arial" w:cs="Arial" w:eastAsia="Arial" w:hAnsi="Arial"/>
                <w:sz w:val="20"/>
                <w:szCs w:val="20"/>
                <w:b w:val="1"/>
                <w:bCs w:val="1"/>
                <w:color w:val="auto"/>
                <w:w w:val="98"/>
              </w:rPr>
              <w:t>NOTES TO THE CONSOLIDATED FINANCIAL STATEMENTS</w:t>
            </w:r>
          </w:p>
        </w:tc>
      </w:tr>
      <w:tr>
        <w:trPr>
          <w:trHeight w:val="432"/>
        </w:trPr>
        <w:tc>
          <w:tcPr>
            <w:tcW w:w="1200" w:type="dxa"/>
            <w:vAlign w:val="bottom"/>
          </w:tcPr>
          <w:p>
            <w:pPr>
              <w:spacing w:after="0"/>
              <w:rPr>
                <w:sz w:val="20"/>
                <w:szCs w:val="20"/>
                <w:color w:val="auto"/>
              </w:rPr>
            </w:pPr>
            <w:r>
              <w:rPr>
                <w:rFonts w:ascii="Arial" w:cs="Arial" w:eastAsia="Arial" w:hAnsi="Arial"/>
                <w:sz w:val="20"/>
                <w:szCs w:val="20"/>
                <w:color w:val="auto"/>
              </w:rPr>
              <w:t>ISDA</w:t>
            </w:r>
          </w:p>
        </w:tc>
        <w:tc>
          <w:tcPr>
            <w:tcW w:w="6600" w:type="dxa"/>
            <w:vAlign w:val="bottom"/>
            <w:gridSpan w:val="2"/>
          </w:tcPr>
          <w:p>
            <w:pPr>
              <w:ind w:left="460"/>
              <w:spacing w:after="0"/>
              <w:rPr>
                <w:sz w:val="20"/>
                <w:szCs w:val="20"/>
                <w:color w:val="auto"/>
              </w:rPr>
            </w:pPr>
            <w:r>
              <w:rPr>
                <w:rFonts w:ascii="Arial" w:cs="Arial" w:eastAsia="Arial" w:hAnsi="Arial"/>
                <w:sz w:val="20"/>
                <w:szCs w:val="20"/>
                <w:color w:val="auto"/>
              </w:rPr>
              <w:t>=   International Swaps and Derivatives Association</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LIBOR</w:t>
            </w:r>
          </w:p>
        </w:tc>
        <w:tc>
          <w:tcPr>
            <w:tcW w:w="6600" w:type="dxa"/>
            <w:vAlign w:val="bottom"/>
            <w:gridSpan w:val="2"/>
          </w:tcPr>
          <w:p>
            <w:pPr>
              <w:ind w:left="460"/>
              <w:spacing w:after="0"/>
              <w:rPr>
                <w:sz w:val="20"/>
                <w:szCs w:val="20"/>
                <w:color w:val="auto"/>
              </w:rPr>
            </w:pPr>
            <w:r>
              <w:rPr>
                <w:rFonts w:ascii="Arial" w:cs="Arial" w:eastAsia="Arial" w:hAnsi="Arial"/>
                <w:sz w:val="20"/>
                <w:szCs w:val="20"/>
                <w:color w:val="auto"/>
              </w:rPr>
              <w:t>=   London Interbank Offered Rate</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LTIP</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5880" w:type="dxa"/>
            <w:vAlign w:val="bottom"/>
          </w:tcPr>
          <w:p>
            <w:pPr>
              <w:ind w:left="160"/>
              <w:spacing w:after="0"/>
              <w:rPr>
                <w:sz w:val="20"/>
                <w:szCs w:val="20"/>
                <w:color w:val="auto"/>
              </w:rPr>
            </w:pPr>
            <w:r>
              <w:rPr>
                <w:rFonts w:ascii="Arial" w:cs="Arial" w:eastAsia="Arial" w:hAnsi="Arial"/>
                <w:sz w:val="20"/>
                <w:szCs w:val="20"/>
                <w:color w:val="auto"/>
              </w:rPr>
              <w:t>Long-term incentive plan</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Mcf</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5880" w:type="dxa"/>
            <w:vAlign w:val="bottom"/>
          </w:tcPr>
          <w:p>
            <w:pPr>
              <w:ind w:left="160"/>
              <w:spacing w:after="0"/>
              <w:rPr>
                <w:sz w:val="20"/>
                <w:szCs w:val="20"/>
                <w:color w:val="auto"/>
              </w:rPr>
            </w:pPr>
            <w:r>
              <w:rPr>
                <w:rFonts w:ascii="Arial" w:cs="Arial" w:eastAsia="Arial" w:hAnsi="Arial"/>
                <w:sz w:val="20"/>
                <w:szCs w:val="20"/>
                <w:color w:val="auto"/>
              </w:rPr>
              <w:t>Thousand cubic feet</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MMbls</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5880" w:type="dxa"/>
            <w:vAlign w:val="bottom"/>
          </w:tcPr>
          <w:p>
            <w:pPr>
              <w:ind w:left="160"/>
              <w:spacing w:after="0"/>
              <w:rPr>
                <w:sz w:val="20"/>
                <w:szCs w:val="20"/>
                <w:color w:val="auto"/>
              </w:rPr>
            </w:pPr>
            <w:r>
              <w:rPr>
                <w:rFonts w:ascii="Arial" w:cs="Arial" w:eastAsia="Arial" w:hAnsi="Arial"/>
                <w:sz w:val="20"/>
                <w:szCs w:val="20"/>
                <w:color w:val="auto"/>
              </w:rPr>
              <w:t>Million barrels</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NGL</w:t>
            </w:r>
          </w:p>
        </w:tc>
        <w:tc>
          <w:tcPr>
            <w:tcW w:w="6600" w:type="dxa"/>
            <w:vAlign w:val="bottom"/>
            <w:gridSpan w:val="2"/>
          </w:tcPr>
          <w:p>
            <w:pPr>
              <w:ind w:left="460"/>
              <w:spacing w:after="0"/>
              <w:rPr>
                <w:sz w:val="20"/>
                <w:szCs w:val="20"/>
                <w:color w:val="auto"/>
              </w:rPr>
            </w:pPr>
            <w:r>
              <w:rPr>
                <w:rFonts w:ascii="Arial" w:cs="Arial" w:eastAsia="Arial" w:hAnsi="Arial"/>
                <w:sz w:val="20"/>
                <w:szCs w:val="20"/>
                <w:color w:val="auto"/>
              </w:rPr>
              <w:t>=   Natural gas liquids, including ethane, propane and butane</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NYMEX</w:t>
            </w:r>
          </w:p>
        </w:tc>
        <w:tc>
          <w:tcPr>
            <w:tcW w:w="6600" w:type="dxa"/>
            <w:vAlign w:val="bottom"/>
            <w:gridSpan w:val="2"/>
          </w:tcPr>
          <w:p>
            <w:pPr>
              <w:ind w:left="460"/>
              <w:spacing w:after="0"/>
              <w:rPr>
                <w:sz w:val="20"/>
                <w:szCs w:val="20"/>
                <w:color w:val="auto"/>
              </w:rPr>
            </w:pPr>
            <w:r>
              <w:rPr>
                <w:rFonts w:ascii="Arial" w:cs="Arial" w:eastAsia="Arial" w:hAnsi="Arial"/>
                <w:sz w:val="20"/>
                <w:szCs w:val="20"/>
                <w:color w:val="auto"/>
              </w:rPr>
              <w:t>=   New York Mercantile Exchange</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OECD</w:t>
            </w:r>
          </w:p>
        </w:tc>
        <w:tc>
          <w:tcPr>
            <w:tcW w:w="6600" w:type="dxa"/>
            <w:vAlign w:val="bottom"/>
            <w:gridSpan w:val="2"/>
          </w:tcPr>
          <w:p>
            <w:pPr>
              <w:ind w:left="460"/>
              <w:spacing w:after="0"/>
              <w:rPr>
                <w:sz w:val="20"/>
                <w:szCs w:val="20"/>
                <w:color w:val="auto"/>
              </w:rPr>
            </w:pPr>
            <w:r>
              <w:rPr>
                <w:rFonts w:ascii="Arial" w:cs="Arial" w:eastAsia="Arial" w:hAnsi="Arial"/>
                <w:sz w:val="20"/>
                <w:szCs w:val="20"/>
                <w:color w:val="auto"/>
              </w:rPr>
              <w:t>=   Organisation for Economic Co-operation and Development</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SEC</w:t>
            </w:r>
          </w:p>
        </w:tc>
        <w:tc>
          <w:tcPr>
            <w:tcW w:w="6600" w:type="dxa"/>
            <w:vAlign w:val="bottom"/>
            <w:gridSpan w:val="2"/>
          </w:tcPr>
          <w:p>
            <w:pPr>
              <w:ind w:left="460"/>
              <w:spacing w:after="0"/>
              <w:rPr>
                <w:sz w:val="20"/>
                <w:szCs w:val="20"/>
                <w:color w:val="auto"/>
              </w:rPr>
            </w:pPr>
            <w:r>
              <w:rPr>
                <w:rFonts w:ascii="Arial" w:cs="Arial" w:eastAsia="Arial" w:hAnsi="Arial"/>
                <w:sz w:val="20"/>
                <w:szCs w:val="20"/>
                <w:color w:val="auto"/>
              </w:rPr>
              <w:t>=   United States Securities and Exchange Commission</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SOFR</w:t>
            </w:r>
          </w:p>
        </w:tc>
        <w:tc>
          <w:tcPr>
            <w:tcW w:w="6600" w:type="dxa"/>
            <w:vAlign w:val="bottom"/>
            <w:gridSpan w:val="2"/>
          </w:tcPr>
          <w:p>
            <w:pPr>
              <w:ind w:left="460"/>
              <w:spacing w:after="0"/>
              <w:rPr>
                <w:sz w:val="20"/>
                <w:szCs w:val="20"/>
                <w:color w:val="auto"/>
              </w:rPr>
            </w:pPr>
            <w:r>
              <w:rPr>
                <w:rFonts w:ascii="Arial" w:cs="Arial" w:eastAsia="Arial" w:hAnsi="Arial"/>
                <w:sz w:val="20"/>
                <w:szCs w:val="20"/>
                <w:color w:val="auto"/>
              </w:rPr>
              <w:t>=   Secured Overnight Financing Rate</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TWh</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5880" w:type="dxa"/>
            <w:vAlign w:val="bottom"/>
          </w:tcPr>
          <w:p>
            <w:pPr>
              <w:ind w:left="160"/>
              <w:spacing w:after="0"/>
              <w:rPr>
                <w:sz w:val="20"/>
                <w:szCs w:val="20"/>
                <w:color w:val="auto"/>
              </w:rPr>
            </w:pPr>
            <w:r>
              <w:rPr>
                <w:rFonts w:ascii="Arial" w:cs="Arial" w:eastAsia="Arial" w:hAnsi="Arial"/>
                <w:sz w:val="20"/>
                <w:szCs w:val="20"/>
                <w:color w:val="auto"/>
              </w:rPr>
              <w:t>Terawatt hour</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U.S.</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5880" w:type="dxa"/>
            <w:vAlign w:val="bottom"/>
          </w:tcPr>
          <w:p>
            <w:pPr>
              <w:ind w:left="160"/>
              <w:spacing w:after="0"/>
              <w:rPr>
                <w:sz w:val="20"/>
                <w:szCs w:val="20"/>
                <w:color w:val="auto"/>
              </w:rPr>
            </w:pPr>
            <w:r>
              <w:rPr>
                <w:rFonts w:ascii="Arial" w:cs="Arial" w:eastAsia="Arial" w:hAnsi="Arial"/>
                <w:sz w:val="20"/>
                <w:szCs w:val="20"/>
                <w:color w:val="auto"/>
              </w:rPr>
              <w:t>United States</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USD</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5880" w:type="dxa"/>
            <w:vAlign w:val="bottom"/>
          </w:tcPr>
          <w:p>
            <w:pPr>
              <w:ind w:left="160"/>
              <w:spacing w:after="0"/>
              <w:rPr>
                <w:sz w:val="20"/>
                <w:szCs w:val="20"/>
                <w:color w:val="auto"/>
              </w:rPr>
            </w:pPr>
            <w:r>
              <w:rPr>
                <w:rFonts w:ascii="Arial" w:cs="Arial" w:eastAsia="Arial" w:hAnsi="Arial"/>
                <w:sz w:val="20"/>
                <w:szCs w:val="20"/>
                <w:color w:val="auto"/>
              </w:rPr>
              <w:t>United States dollar</w:t>
            </w:r>
          </w:p>
        </w:tc>
      </w:tr>
      <w:tr>
        <w:trPr>
          <w:trHeight w:val="294"/>
        </w:trPr>
        <w:tc>
          <w:tcPr>
            <w:tcW w:w="1200" w:type="dxa"/>
            <w:vAlign w:val="bottom"/>
          </w:tcPr>
          <w:p>
            <w:pPr>
              <w:spacing w:after="0"/>
              <w:rPr>
                <w:sz w:val="20"/>
                <w:szCs w:val="20"/>
                <w:color w:val="auto"/>
              </w:rPr>
            </w:pPr>
            <w:r>
              <w:rPr>
                <w:rFonts w:ascii="Arial" w:cs="Arial" w:eastAsia="Arial" w:hAnsi="Arial"/>
                <w:sz w:val="20"/>
                <w:szCs w:val="20"/>
                <w:color w:val="auto"/>
              </w:rPr>
              <w:t>WTI</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5880" w:type="dxa"/>
            <w:vAlign w:val="bottom"/>
          </w:tcPr>
          <w:p>
            <w:pPr>
              <w:ind w:left="160"/>
              <w:spacing w:after="0"/>
              <w:rPr>
                <w:sz w:val="20"/>
                <w:szCs w:val="20"/>
                <w:color w:val="auto"/>
              </w:rPr>
            </w:pPr>
            <w:r>
              <w:rPr>
                <w:rFonts w:ascii="Arial" w:cs="Arial" w:eastAsia="Arial" w:hAnsi="Arial"/>
                <w:sz w:val="20"/>
                <w:szCs w:val="20"/>
                <w:color w:val="auto"/>
              </w:rPr>
              <w:t>West Texas Intermediate</w:t>
            </w:r>
          </w:p>
        </w:tc>
      </w:tr>
    </w:tbl>
    <w:p>
      <w:pPr>
        <w:spacing w:after="0" w:line="292"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Basis of Consolidation and Presentation</w:t>
      </w:r>
    </w:p>
    <w:p>
      <w:pPr>
        <w:spacing w:after="0" w:line="248" w:lineRule="exact"/>
        <w:rPr>
          <w:sz w:val="20"/>
          <w:szCs w:val="20"/>
          <w:color w:val="auto"/>
        </w:rPr>
      </w:pPr>
    </w:p>
    <w:p>
      <w:pPr>
        <w:ind w:left="7" w:firstLine="706"/>
        <w:spacing w:after="0" w:line="306"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2024 and 2023, and the consolidated results of our operations, cash flows, changes in partners’ capital, comprehensive income and changes in accumulated other comprehensive income/(loss) for the years ended December 31, 2024, 2023 and 2022. All significant intercompany balances and transactions have been eliminated in consolidation, and certain reclassifications have been made to information from previous years to conform to the current presentation.</w:t>
      </w:r>
    </w:p>
    <w:p>
      <w:pPr>
        <w:spacing w:after="0" w:line="165" w:lineRule="exact"/>
        <w:rPr>
          <w:sz w:val="20"/>
          <w:szCs w:val="20"/>
          <w:color w:val="auto"/>
        </w:rPr>
      </w:pPr>
    </w:p>
    <w:p>
      <w:pPr>
        <w:ind w:left="7" w:right="200" w:firstLine="706"/>
        <w:spacing w:after="0" w:line="251" w:lineRule="auto"/>
        <w:rPr>
          <w:sz w:val="20"/>
          <w:szCs w:val="20"/>
          <w:color w:val="auto"/>
        </w:rPr>
      </w:pPr>
      <w:r>
        <w:rPr>
          <w:rFonts w:ascii="Arial" w:cs="Arial" w:eastAsia="Arial" w:hAnsi="Arial"/>
          <w:sz w:val="20"/>
          <w:szCs w:val="20"/>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spacing w:after="0" w:line="209" w:lineRule="exact"/>
        <w:rPr>
          <w:sz w:val="20"/>
          <w:szCs w:val="20"/>
          <w:color w:val="auto"/>
        </w:rPr>
      </w:pPr>
    </w:p>
    <w:p>
      <w:pPr>
        <w:ind w:left="707"/>
        <w:spacing w:after="0"/>
        <w:rPr>
          <w:sz w:val="20"/>
          <w:szCs w:val="20"/>
          <w:color w:val="auto"/>
        </w:rPr>
      </w:pPr>
      <w:r>
        <w:rPr>
          <w:rFonts w:ascii="Arial" w:cs="Arial" w:eastAsia="Arial" w:hAnsi="Arial"/>
          <w:sz w:val="17"/>
          <w:szCs w:val="17"/>
          <w:color w:val="auto"/>
        </w:rPr>
        <w:t>Management judgment is required to evaluate whether PAGP controls an entity. Key areas of that evaluation include</w:t>
      </w:r>
    </w:p>
    <w:p>
      <w:pPr>
        <w:spacing w:after="0" w:line="59" w:lineRule="exact"/>
        <w:rPr>
          <w:sz w:val="20"/>
          <w:szCs w:val="20"/>
          <w:color w:val="auto"/>
        </w:rPr>
      </w:pPr>
    </w:p>
    <w:p>
      <w:pPr>
        <w:ind w:left="7" w:right="40" w:hanging="7"/>
        <w:spacing w:after="0" w:line="246" w:lineRule="auto"/>
        <w:tabs>
          <w:tab w:leader="none" w:pos="241" w:val="left"/>
        </w:tabs>
        <w:numPr>
          <w:ilvl w:val="0"/>
          <w:numId w:val="72"/>
        </w:numPr>
        <w:rPr>
          <w:rFonts w:ascii="Arial" w:cs="Arial" w:eastAsia="Arial" w:hAnsi="Arial"/>
          <w:sz w:val="20"/>
          <w:szCs w:val="20"/>
          <w:color w:val="auto"/>
        </w:rPr>
      </w:pPr>
      <w:r>
        <w:rPr>
          <w:rFonts w:ascii="Arial" w:cs="Arial" w:eastAsia="Arial" w:hAnsi="Arial"/>
          <w:sz w:val="20"/>
          <w:szCs w:val="20"/>
          <w:color w:val="auto"/>
        </w:rPr>
        <w:t>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13" w:lineRule="exact"/>
        <w:rPr>
          <w:sz w:val="20"/>
          <w:szCs w:val="20"/>
          <w:color w:val="auto"/>
        </w:rPr>
      </w:pPr>
    </w:p>
    <w:p>
      <w:pPr>
        <w:ind w:left="707"/>
        <w:spacing w:after="0"/>
        <w:rPr>
          <w:sz w:val="20"/>
          <w:szCs w:val="20"/>
          <w:color w:val="auto"/>
        </w:rPr>
      </w:pPr>
      <w:r>
        <w:rPr>
          <w:rFonts w:ascii="Arial" w:cs="Arial" w:eastAsia="Arial" w:hAnsi="Arial"/>
          <w:sz w:val="17"/>
          <w:szCs w:val="17"/>
          <w:color w:val="auto"/>
        </w:rPr>
        <w:t>We have determined that our subsidiaries, PAA and AAP, are VIEs and should be consolidated by PAGP because:</w:t>
      </w:r>
    </w:p>
    <w:p>
      <w:pPr>
        <w:spacing w:after="0" w:line="275" w:lineRule="exact"/>
        <w:rPr>
          <w:sz w:val="20"/>
          <w:szCs w:val="20"/>
          <w:color w:val="auto"/>
        </w:rPr>
      </w:pPr>
    </w:p>
    <w:p>
      <w:pPr>
        <w:ind w:left="1067" w:right="20" w:hanging="362"/>
        <w:spacing w:after="0" w:line="254" w:lineRule="auto"/>
        <w:tabs>
          <w:tab w:leader="none" w:pos="1067"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02" w:lineRule="exact"/>
        <w:rPr>
          <w:rFonts w:ascii="Arial" w:cs="Arial" w:eastAsia="Arial" w:hAnsi="Arial"/>
          <w:sz w:val="20"/>
          <w:szCs w:val="20"/>
          <w:color w:val="auto"/>
        </w:rPr>
      </w:pPr>
    </w:p>
    <w:p>
      <w:pPr>
        <w:ind w:left="1067" w:right="380" w:hanging="362"/>
        <w:spacing w:after="0" w:line="258" w:lineRule="auto"/>
        <w:tabs>
          <w:tab w:leader="none" w:pos="1067" w:val="left"/>
        </w:tabs>
        <w:numPr>
          <w:ilvl w:val="0"/>
          <w:numId w:val="73"/>
        </w:numPr>
        <w:rPr>
          <w:rFonts w:ascii="Arial" w:cs="Arial" w:eastAsia="Arial" w:hAnsi="Arial"/>
          <w:sz w:val="20"/>
          <w:szCs w:val="20"/>
          <w:color w:val="auto"/>
        </w:rPr>
      </w:pPr>
      <w:r>
        <w:rPr>
          <w:rFonts w:ascii="Arial" w:cs="Arial" w:eastAsia="Arial" w:hAnsi="Arial"/>
          <w:sz w:val="20"/>
          <w:szCs w:val="20"/>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9" w:lineRule="exact"/>
        <w:rPr>
          <w:rFonts w:ascii="Arial" w:cs="Arial" w:eastAsia="Arial" w:hAnsi="Arial"/>
          <w:sz w:val="20"/>
          <w:szCs w:val="20"/>
          <w:color w:val="auto"/>
        </w:rPr>
      </w:pPr>
    </w:p>
    <w:p>
      <w:pPr>
        <w:ind w:left="1067" w:right="260" w:hanging="362"/>
        <w:spacing w:after="0" w:line="258" w:lineRule="auto"/>
        <w:tabs>
          <w:tab w:leader="none" w:pos="1067" w:val="left"/>
        </w:tabs>
        <w:numPr>
          <w:ilvl w:val="0"/>
          <w:numId w:val="73"/>
        </w:numPr>
        <w:rPr>
          <w:rFonts w:ascii="Arial" w:cs="Arial" w:eastAsia="Arial" w:hAnsi="Arial"/>
          <w:sz w:val="20"/>
          <w:szCs w:val="20"/>
          <w:color w:val="auto"/>
        </w:rPr>
      </w:pPr>
      <w:r>
        <w:rPr>
          <w:rFonts w:ascii="Arial" w:cs="Arial" w:eastAsia="Arial" w:hAnsi="Arial"/>
          <w:sz w:val="20"/>
          <w:szCs w:val="20"/>
          <w:color w:val="auto"/>
        </w:rPr>
        <w:t>PAGP is the primary beneficiary of AAP because it has the power to direct the activities that most significantly impact AAP’s performance and the right to receive benefits, and obligation to absorb losses, that could be significant to AAP.</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F-11</w:t>
      </w:r>
    </w:p>
    <w:p>
      <w:pPr>
        <w:sectPr>
          <w:pgSz w:w="11880" w:h="15480" w:orient="portrait"/>
          <w:cols w:equalWidth="0" w:num="1">
            <w:col w:w="10047"/>
          </w:cols>
          <w:pgMar w:left="913" w:top="337" w:right="920" w:bottom="0" w:gutter="0" w:footer="0" w:header="0"/>
          <w:type w:val="continuous"/>
        </w:sectPr>
      </w:pPr>
    </w:p>
    <w:bookmarkStart w:id="117" w:name="page118"/>
    <w:bookmarkEnd w:id="117"/>
    <w:p>
      <w:pPr>
        <w:jc w:val="center"/>
        <w:ind w:right="-2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 w:firstLine="706"/>
        <w:spacing w:after="0" w:line="266" w:lineRule="auto"/>
        <w:rPr>
          <w:sz w:val="20"/>
          <w:szCs w:val="20"/>
          <w:color w:val="auto"/>
        </w:rPr>
      </w:pPr>
      <w:r>
        <w:rPr>
          <w:rFonts w:ascii="Arial" w:cs="Arial" w:eastAsia="Arial" w:hAnsi="Arial"/>
          <w:sz w:val="19"/>
          <w:szCs w:val="19"/>
          <w:color w:val="auto"/>
        </w:rPr>
        <w:t>With the exception of a deferred tax asset of $1.220 billion and $1.239 billion as of December 31, 2024 and 2023,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2024, 2023 or 2022. See Note 16 for information regarding the Omnibus Agreement entered into by the Plains Entities on November 15, 2016.</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Subsequent Events</w:t>
      </w:r>
    </w:p>
    <w:p>
      <w:pPr>
        <w:spacing w:after="0" w:line="248" w:lineRule="exact"/>
        <w:rPr>
          <w:sz w:val="20"/>
          <w:szCs w:val="20"/>
          <w:color w:val="auto"/>
        </w:rPr>
      </w:pPr>
    </w:p>
    <w:p>
      <w:pPr>
        <w:ind w:left="7" w:right="200" w:firstLine="706"/>
        <w:spacing w:after="0" w:line="271" w:lineRule="auto"/>
        <w:rPr>
          <w:sz w:val="20"/>
          <w:szCs w:val="20"/>
          <w:color w:val="auto"/>
        </w:rPr>
      </w:pPr>
      <w:r>
        <w:rPr>
          <w:rFonts w:ascii="Arial" w:cs="Arial" w:eastAsia="Arial" w:hAnsi="Arial"/>
          <w:sz w:val="20"/>
          <w:szCs w:val="20"/>
          <w:color w:val="auto"/>
        </w:rPr>
        <w:t>Subsequent events have been evaluated through the financial statements issuance date and have been included in the following footnotes where applicable.</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2—Summary of Significant Accounting Policies</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48" w:lineRule="exact"/>
        <w:rPr>
          <w:sz w:val="20"/>
          <w:szCs w:val="20"/>
          <w:color w:val="auto"/>
        </w:rPr>
      </w:pPr>
    </w:p>
    <w:p>
      <w:pPr>
        <w:ind w:left="7" w:firstLine="706"/>
        <w:spacing w:after="0" w:line="293"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w:t>
      </w:r>
    </w:p>
    <w:p>
      <w:pPr>
        <w:spacing w:after="0" w:line="2" w:lineRule="exact"/>
        <w:rPr>
          <w:sz w:val="20"/>
          <w:szCs w:val="20"/>
          <w:color w:val="auto"/>
        </w:rPr>
      </w:pPr>
    </w:p>
    <w:p>
      <w:pPr>
        <w:ind w:left="7" w:right="740" w:hanging="7"/>
        <w:spacing w:after="0" w:line="313" w:lineRule="auto"/>
        <w:tabs>
          <w:tab w:leader="none" w:pos="339"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Purchases and Related Costs</w:t>
      </w:r>
    </w:p>
    <w:p>
      <w:pPr>
        <w:spacing w:after="0" w:line="248" w:lineRule="exact"/>
        <w:rPr>
          <w:sz w:val="20"/>
          <w:szCs w:val="20"/>
          <w:color w:val="auto"/>
        </w:rPr>
      </w:pPr>
    </w:p>
    <w:p>
      <w:pPr>
        <w:ind w:left="7" w:right="60" w:firstLine="706"/>
        <w:spacing w:after="0" w:line="251" w:lineRule="auto"/>
        <w:rPr>
          <w:sz w:val="20"/>
          <w:szCs w:val="20"/>
          <w:color w:val="auto"/>
        </w:rPr>
      </w:pPr>
      <w:r>
        <w:rPr>
          <w:rFonts w:ascii="Arial" w:cs="Arial" w:eastAsia="Arial" w:hAnsi="Arial"/>
          <w:sz w:val="20"/>
          <w:szCs w:val="20"/>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Field Operating Costs and General and Administrative Expenses</w:t>
      </w:r>
    </w:p>
    <w:p>
      <w:pPr>
        <w:spacing w:after="0" w:line="248" w:lineRule="exact"/>
        <w:rPr>
          <w:sz w:val="20"/>
          <w:szCs w:val="20"/>
          <w:color w:val="auto"/>
        </w:rPr>
      </w:pPr>
    </w:p>
    <w:p>
      <w:pPr>
        <w:ind w:left="7" w:right="160" w:firstLine="706"/>
        <w:spacing w:after="0" w:line="303" w:lineRule="auto"/>
        <w:rPr>
          <w:sz w:val="20"/>
          <w:szCs w:val="20"/>
          <w:color w:val="auto"/>
        </w:rPr>
      </w:pPr>
      <w:r>
        <w:rPr>
          <w:rFonts w:ascii="Arial" w:cs="Arial" w:eastAsia="Arial" w:hAnsi="Arial"/>
          <w:sz w:val="17"/>
          <w:szCs w:val="17"/>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Foreign Currency Transactions/Translation</w:t>
      </w:r>
    </w:p>
    <w:p>
      <w:pPr>
        <w:spacing w:after="0" w:line="248" w:lineRule="exact"/>
        <w:rPr>
          <w:sz w:val="20"/>
          <w:szCs w:val="20"/>
          <w:color w:val="auto"/>
        </w:rPr>
      </w:pPr>
    </w:p>
    <w:p>
      <w:pPr>
        <w:ind w:left="7" w:right="260" w:firstLine="706"/>
        <w:spacing w:after="0" w:line="251" w:lineRule="auto"/>
        <w:rPr>
          <w:sz w:val="20"/>
          <w:szCs w:val="20"/>
          <w:color w:val="auto"/>
        </w:rPr>
      </w:pPr>
      <w:r>
        <w:rPr>
          <w:rFonts w:ascii="Arial" w:cs="Arial" w:eastAsia="Arial" w:hAnsi="Arial"/>
          <w:sz w:val="20"/>
          <w:szCs w:val="20"/>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09" w:lineRule="exact"/>
        <w:rPr>
          <w:sz w:val="20"/>
          <w:szCs w:val="20"/>
          <w:color w:val="auto"/>
        </w:rPr>
      </w:pPr>
    </w:p>
    <w:p>
      <w:pPr>
        <w:ind w:left="7" w:right="60" w:firstLine="706"/>
        <w:spacing w:after="0" w:line="300"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2024, 2023 and 2022, the revaluation of foreign currency transactions and monetary assets and liabilities resulted in the recognition of a net gain of $17 million, a net loss of $8 million and a net loss of $41 million, respectively, in our Consolidated Statements of Operations.</w:t>
      </w:r>
    </w:p>
    <w:p>
      <w:pPr>
        <w:sectPr>
          <w:pgSz w:w="11880" w:h="15480" w:orient="portrait"/>
          <w:cols w:equalWidth="0" w:num="1">
            <w:col w:w="10027"/>
          </w:cols>
          <w:pgMar w:left="913" w:top="337" w:right="94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6"/>
        <w:spacing w:after="0"/>
        <w:rPr>
          <w:sz w:val="20"/>
          <w:szCs w:val="20"/>
          <w:color w:val="auto"/>
        </w:rPr>
      </w:pPr>
      <w:r>
        <w:rPr>
          <w:rFonts w:ascii="Arial" w:cs="Arial" w:eastAsia="Arial" w:hAnsi="Arial"/>
          <w:sz w:val="17"/>
          <w:szCs w:val="17"/>
          <w:color w:val="auto"/>
        </w:rPr>
        <w:t>F-12</w:t>
      </w:r>
    </w:p>
    <w:p>
      <w:pPr>
        <w:sectPr>
          <w:pgSz w:w="11880" w:h="15480" w:orient="portrait"/>
          <w:cols w:equalWidth="0" w:num="1">
            <w:col w:w="10027"/>
          </w:cols>
          <w:pgMar w:left="913" w:top="337" w:right="940" w:bottom="0" w:gutter="0" w:footer="0" w:header="0"/>
          <w:type w:val="continuous"/>
        </w:sectPr>
      </w:pPr>
    </w:p>
    <w:bookmarkStart w:id="118" w:name="page119"/>
    <w:bookmarkEnd w:id="118"/>
    <w:p>
      <w:pPr>
        <w:jc w:val="center"/>
        <w:ind w:right="-2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3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248" w:lineRule="exact"/>
        <w:rPr>
          <w:sz w:val="20"/>
          <w:szCs w:val="20"/>
          <w:color w:val="auto"/>
        </w:rPr>
      </w:pPr>
    </w:p>
    <w:p>
      <w:pPr>
        <w:ind w:left="7" w:right="140" w:firstLine="706"/>
        <w:spacing w:after="0" w:line="325" w:lineRule="auto"/>
        <w:rPr>
          <w:sz w:val="20"/>
          <w:szCs w:val="20"/>
          <w:color w:val="auto"/>
        </w:rPr>
      </w:pPr>
      <w:r>
        <w:rPr>
          <w:rFonts w:ascii="Arial" w:cs="Arial" w:eastAsia="Arial" w:hAnsi="Arial"/>
          <w:sz w:val="17"/>
          <w:szCs w:val="17"/>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47" w:lineRule="exact"/>
        <w:rPr>
          <w:sz w:val="20"/>
          <w:szCs w:val="20"/>
          <w:color w:val="auto"/>
        </w:rPr>
      </w:pPr>
    </w:p>
    <w:p>
      <w:pPr>
        <w:ind w:left="7" w:right="260" w:firstLine="706"/>
        <w:spacing w:after="0" w:line="325" w:lineRule="auto"/>
        <w:rPr>
          <w:sz w:val="20"/>
          <w:szCs w:val="20"/>
          <w:color w:val="auto"/>
        </w:rPr>
      </w:pPr>
      <w:r>
        <w:rPr>
          <w:rFonts w:ascii="Arial" w:cs="Arial" w:eastAsia="Arial" w:hAnsi="Arial"/>
          <w:sz w:val="17"/>
          <w:szCs w:val="17"/>
          <w:color w:val="auto"/>
        </w:rPr>
        <w:t>In accordance with our policy, unless they may be covered by funds on deposit, outstanding checks are classified as trade accounts payable rather than negative cash. As of December 31, 2024 and 2023, trade accounts payable included $27 million and $26 million, respectively, of outstanding checks that were reclassified from cash and cash equivalents.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Noncontrolling Interests</w:t>
      </w:r>
    </w:p>
    <w:p>
      <w:pPr>
        <w:spacing w:after="0" w:line="248" w:lineRule="exact"/>
        <w:rPr>
          <w:sz w:val="20"/>
          <w:szCs w:val="20"/>
          <w:color w:val="auto"/>
        </w:rPr>
      </w:pPr>
    </w:p>
    <w:p>
      <w:pPr>
        <w:ind w:left="7" w:right="20" w:firstLine="706"/>
        <w:spacing w:after="0" w:line="325" w:lineRule="auto"/>
        <w:rPr>
          <w:sz w:val="20"/>
          <w:szCs w:val="20"/>
          <w:color w:val="auto"/>
        </w:rPr>
      </w:pPr>
      <w:r>
        <w:rPr>
          <w:rFonts w:ascii="Arial" w:cs="Arial" w:eastAsia="Arial" w:hAnsi="Arial"/>
          <w:sz w:val="17"/>
          <w:szCs w:val="17"/>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11 for additional discussion regarding our noncontrolling interests.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Asset Retirement Obligations</w:t>
      </w:r>
    </w:p>
    <w:p>
      <w:pPr>
        <w:spacing w:after="0" w:line="248" w:lineRule="exact"/>
        <w:rPr>
          <w:sz w:val="20"/>
          <w:szCs w:val="20"/>
          <w:color w:val="auto"/>
        </w:rPr>
      </w:pPr>
    </w:p>
    <w:p>
      <w:pPr>
        <w:ind w:left="7" w:right="360" w:firstLine="706"/>
        <w:spacing w:after="0" w:line="300"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w:t>
      </w:r>
    </w:p>
    <w:p>
      <w:pPr>
        <w:spacing w:after="0" w:line="1" w:lineRule="exact"/>
        <w:rPr>
          <w:sz w:val="20"/>
          <w:szCs w:val="20"/>
          <w:color w:val="auto"/>
        </w:rPr>
      </w:pPr>
    </w:p>
    <w:p>
      <w:pPr>
        <w:ind w:left="7" w:hanging="7"/>
        <w:spacing w:after="0" w:line="267" w:lineRule="auto"/>
        <w:tabs>
          <w:tab w:leader="none" w:pos="35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92" w:lineRule="exact"/>
        <w:rPr>
          <w:sz w:val="20"/>
          <w:szCs w:val="20"/>
          <w:color w:val="auto"/>
        </w:rPr>
      </w:pPr>
    </w:p>
    <w:p>
      <w:pPr>
        <w:ind w:left="7" w:firstLine="706"/>
        <w:spacing w:after="0" w:line="296" w:lineRule="auto"/>
        <w:rPr>
          <w:sz w:val="20"/>
          <w:szCs w:val="20"/>
          <w:color w:val="auto"/>
        </w:rPr>
      </w:pPr>
      <w:r>
        <w:rPr>
          <w:rFonts w:ascii="Arial" w:cs="Arial" w:eastAsia="Arial" w:hAnsi="Arial"/>
          <w:sz w:val="17"/>
          <w:szCs w:val="17"/>
          <w:color w:val="auto"/>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spacing w:after="0" w:line="176" w:lineRule="exact"/>
        <w:rPr>
          <w:sz w:val="20"/>
          <w:szCs w:val="20"/>
          <w:color w:val="auto"/>
        </w:rPr>
      </w:pPr>
    </w:p>
    <w:p>
      <w:pPr>
        <w:ind w:left="7" w:right="100" w:firstLine="706"/>
        <w:spacing w:after="0" w:line="268" w:lineRule="auto"/>
        <w:rPr>
          <w:sz w:val="20"/>
          <w:szCs w:val="20"/>
          <w:color w:val="auto"/>
        </w:rPr>
      </w:pPr>
      <w:r>
        <w:rPr>
          <w:rFonts w:ascii="Arial" w:cs="Arial" w:eastAsia="Arial" w:hAnsi="Arial"/>
          <w:sz w:val="19"/>
          <w:szCs w:val="19"/>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2024, 2023 and 2022 (in millions):</w:t>
      </w:r>
    </w:p>
    <w:p>
      <w:pPr>
        <w:spacing w:after="0" w:line="279"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30"/>
        </w:trPr>
        <w:tc>
          <w:tcPr>
            <w:tcW w:w="34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2022</w:t>
            </w:r>
          </w:p>
        </w:tc>
      </w:tr>
      <w:tr>
        <w:trPr>
          <w:trHeight w:val="270"/>
        </w:trPr>
        <w:tc>
          <w:tcPr>
            <w:tcW w:w="6660" w:type="dxa"/>
            <w:vAlign w:val="bottom"/>
            <w:gridSpan w:val="2"/>
          </w:tcPr>
          <w:p>
            <w:pPr>
              <w:ind w:left="60"/>
              <w:spacing w:after="0"/>
              <w:rPr>
                <w:sz w:val="20"/>
                <w:szCs w:val="20"/>
                <w:color w:val="auto"/>
              </w:rPr>
            </w:pPr>
            <w:r>
              <w:rPr>
                <w:rFonts w:ascii="Arial" w:cs="Arial" w:eastAsia="Arial" w:hAnsi="Arial"/>
                <w:sz w:val="20"/>
                <w:szCs w:val="20"/>
                <w:color w:val="auto"/>
              </w:rPr>
              <w:t>Beginning balance</w:t>
            </w:r>
          </w:p>
        </w:tc>
        <w:tc>
          <w:tcPr>
            <w:tcW w:w="700" w:type="dxa"/>
            <w:vAlign w:val="bottom"/>
          </w:tcPr>
          <w:p>
            <w:pPr>
              <w:jc w:val="right"/>
              <w:ind w:right="469"/>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126</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122</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143</w:t>
            </w:r>
          </w:p>
        </w:tc>
      </w:tr>
      <w:tr>
        <w:trPr>
          <w:trHeight w:val="294"/>
        </w:trPr>
        <w:tc>
          <w:tcPr>
            <w:tcW w:w="6660" w:type="dxa"/>
            <w:vAlign w:val="bottom"/>
            <w:gridSpan w:val="2"/>
          </w:tcPr>
          <w:p>
            <w:pPr>
              <w:ind w:left="200"/>
              <w:spacing w:after="0"/>
              <w:rPr>
                <w:sz w:val="20"/>
                <w:szCs w:val="20"/>
                <w:color w:val="auto"/>
              </w:rPr>
            </w:pPr>
            <w:r>
              <w:rPr>
                <w:rFonts w:ascii="Arial" w:cs="Arial" w:eastAsia="Arial" w:hAnsi="Arial"/>
                <w:sz w:val="20"/>
                <w:szCs w:val="20"/>
                <w:color w:val="auto"/>
              </w:rPr>
              <w:t>Liabilities incurred</w:t>
            </w:r>
          </w:p>
        </w:tc>
        <w:tc>
          <w:tcPr>
            <w:tcW w:w="7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33"/>
        </w:trPr>
        <w:tc>
          <w:tcPr>
            <w:tcW w:w="6660" w:type="dxa"/>
            <w:vAlign w:val="bottom"/>
            <w:gridSpan w:val="2"/>
          </w:tcPr>
          <w:p>
            <w:pPr>
              <w:ind w:left="200"/>
              <w:spacing w:after="0"/>
              <w:rPr>
                <w:sz w:val="20"/>
                <w:szCs w:val="20"/>
                <w:color w:val="auto"/>
              </w:rPr>
            </w:pPr>
            <w:r>
              <w:rPr>
                <w:rFonts w:ascii="Arial" w:cs="Arial" w:eastAsia="Arial" w:hAnsi="Arial"/>
                <w:sz w:val="20"/>
                <w:szCs w:val="20"/>
                <w:color w:val="auto"/>
              </w:rPr>
              <w:t xml:space="preserve">Liabilities settled </w:t>
            </w:r>
            <w:r>
              <w:rPr>
                <w:rFonts w:ascii="Arial" w:cs="Arial" w:eastAsia="Arial" w:hAnsi="Arial"/>
                <w:sz w:val="25"/>
                <w:szCs w:val="25"/>
                <w:color w:val="auto"/>
                <w:vertAlign w:val="superscript"/>
              </w:rPr>
              <w:t>(1)</w:t>
            </w:r>
          </w:p>
        </w:tc>
        <w:tc>
          <w:tcPr>
            <w:tcW w:w="7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55"/>
        </w:trPr>
        <w:tc>
          <w:tcPr>
            <w:tcW w:w="6660" w:type="dxa"/>
            <w:vAlign w:val="bottom"/>
            <w:gridSpan w:val="2"/>
          </w:tcPr>
          <w:p>
            <w:pPr>
              <w:ind w:left="200"/>
              <w:spacing w:after="0"/>
              <w:rPr>
                <w:sz w:val="20"/>
                <w:szCs w:val="20"/>
                <w:color w:val="auto"/>
              </w:rPr>
            </w:pPr>
            <w:r>
              <w:rPr>
                <w:rFonts w:ascii="Arial" w:cs="Arial" w:eastAsia="Arial" w:hAnsi="Arial"/>
                <w:sz w:val="20"/>
                <w:szCs w:val="20"/>
                <w:color w:val="auto"/>
              </w:rPr>
              <w:t>Accretion expense</w:t>
            </w:r>
          </w:p>
        </w:tc>
        <w:tc>
          <w:tcPr>
            <w:tcW w:w="7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8"/>
        </w:trPr>
        <w:tc>
          <w:tcPr>
            <w:tcW w:w="6660" w:type="dxa"/>
            <w:vAlign w:val="bottom"/>
            <w:gridSpan w:val="2"/>
          </w:tcPr>
          <w:p>
            <w:pPr>
              <w:ind w:left="200"/>
              <w:spacing w:after="0"/>
              <w:rPr>
                <w:sz w:val="20"/>
                <w:szCs w:val="20"/>
                <w:color w:val="auto"/>
              </w:rPr>
            </w:pPr>
            <w:r>
              <w:rPr>
                <w:rFonts w:ascii="Arial" w:cs="Arial" w:eastAsia="Arial" w:hAnsi="Arial"/>
                <w:sz w:val="20"/>
                <w:szCs w:val="20"/>
                <w:color w:val="auto"/>
              </w:rPr>
              <w:t>Revisions in estimated cash flows</w:t>
            </w: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54"/>
        </w:trPr>
        <w:tc>
          <w:tcPr>
            <w:tcW w:w="6660" w:type="dxa"/>
            <w:vAlign w:val="bottom"/>
            <w:gridSpan w:val="2"/>
          </w:tcPr>
          <w:p>
            <w:pPr>
              <w:ind w:left="60"/>
              <w:spacing w:after="0"/>
              <w:rPr>
                <w:sz w:val="20"/>
                <w:szCs w:val="20"/>
                <w:color w:val="auto"/>
              </w:rPr>
            </w:pPr>
            <w:r>
              <w:rPr>
                <w:rFonts w:ascii="Arial" w:cs="Arial" w:eastAsia="Arial" w:hAnsi="Arial"/>
                <w:sz w:val="20"/>
                <w:szCs w:val="20"/>
                <w:color w:val="auto"/>
              </w:rPr>
              <w:t>Ending balance</w:t>
            </w:r>
          </w:p>
        </w:tc>
        <w:tc>
          <w:tcPr>
            <w:tcW w:w="700" w:type="dxa"/>
            <w:vAlign w:val="bottom"/>
          </w:tcPr>
          <w:p>
            <w:pPr>
              <w:jc w:val="right"/>
              <w:ind w:right="469"/>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130</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126</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0"/>
        </w:trPr>
        <w:tc>
          <w:tcPr>
            <w:tcW w:w="3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-1247140</wp:posOffset>
            </wp:positionV>
            <wp:extent cx="6382385" cy="1158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2">
                      <a:extLst>
                        <a:ext uri="{28A0092B-C50C-407E-A947-70E740481C1C}"/>
                      </a:extLst>
                    </a:blip>
                    <a:srcRect/>
                    <a:stretch>
                      <a:fillRect/>
                    </a:stretch>
                  </pic:blipFill>
                  <pic:spPr bwMode="auto">
                    <a:xfrm>
                      <a:off x="0" y="0"/>
                      <a:ext cx="6382385" cy="1158240"/>
                    </a:xfrm>
                    <a:prstGeom prst="rect">
                      <a:avLst/>
                    </a:prstGeom>
                    <a:noFill/>
                  </pic:spPr>
                </pic:pic>
              </a:graphicData>
            </a:graphic>
          </wp:anchor>
        </w:drawing>
      </w:r>
    </w:p>
    <w:p>
      <w:pPr>
        <w:spacing w:after="0" w:line="66" w:lineRule="exact"/>
        <w:rPr>
          <w:sz w:val="20"/>
          <w:szCs w:val="20"/>
          <w:color w:val="auto"/>
        </w:rPr>
      </w:pPr>
    </w:p>
    <w:p>
      <w:pPr>
        <w:ind w:left="627" w:right="140" w:hanging="627"/>
        <w:spacing w:after="0" w:line="290" w:lineRule="auto"/>
        <w:tabs>
          <w:tab w:leader="none" w:pos="627" w:val="left"/>
        </w:tabs>
        <w:numPr>
          <w:ilvl w:val="0"/>
          <w:numId w:val="76"/>
        </w:numPr>
        <w:rPr>
          <w:rFonts w:ascii="Arial" w:cs="Arial" w:eastAsia="Arial" w:hAnsi="Arial"/>
          <w:sz w:val="22"/>
          <w:szCs w:val="22"/>
          <w:color w:val="auto"/>
          <w:vertAlign w:val="superscript"/>
        </w:rPr>
      </w:pPr>
      <w:r>
        <w:rPr>
          <w:rFonts w:ascii="Arial" w:cs="Arial" w:eastAsia="Arial" w:hAnsi="Arial"/>
          <w:sz w:val="17"/>
          <w:szCs w:val="17"/>
          <w:color w:val="auto"/>
        </w:rPr>
        <w:t>The 2022 amount primarily relates to the transfer of liabilities to the third party purchaser associated with the sale of Line 901 and the Sisquoc to Pentland portion of Line 903 pipeline. See Note 7 and Note 18 for additional information.</w:t>
      </w:r>
    </w:p>
    <w:p>
      <w:pPr>
        <w:sectPr>
          <w:pgSz w:w="11880" w:h="15480" w:orient="portrait"/>
          <w:cols w:equalWidth="0" w:num="1">
            <w:col w:w="10027"/>
          </w:cols>
          <w:pgMar w:left="913" w:top="3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6"/>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10027"/>
          </w:cols>
          <w:pgMar w:left="913" w:top="337" w:right="940" w:bottom="0" w:gutter="0" w:footer="0" w:header="0"/>
          <w:type w:val="continuous"/>
        </w:sectPr>
      </w:pPr>
    </w:p>
    <w:bookmarkStart w:id="119" w:name="page120"/>
    <w:bookmarkEnd w:id="119"/>
    <w:p>
      <w:pPr>
        <w:jc w:val="center"/>
        <w:ind w:right="-2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Fair Value Measurements</w:t>
      </w:r>
    </w:p>
    <w:p>
      <w:pPr>
        <w:spacing w:after="0" w:line="248" w:lineRule="exact"/>
        <w:rPr>
          <w:sz w:val="20"/>
          <w:szCs w:val="20"/>
          <w:color w:val="auto"/>
        </w:rPr>
      </w:pPr>
    </w:p>
    <w:p>
      <w:pPr>
        <w:ind w:left="7" w:right="80" w:firstLine="706"/>
        <w:spacing w:after="0" w:line="264" w:lineRule="auto"/>
        <w:rPr>
          <w:sz w:val="20"/>
          <w:szCs w:val="20"/>
          <w:color w:val="auto"/>
        </w:rPr>
      </w:pPr>
      <w:r>
        <w:rPr>
          <w:rFonts w:ascii="Arial" w:cs="Arial" w:eastAsia="Arial" w:hAnsi="Arial"/>
          <w:sz w:val="19"/>
          <w:szCs w:val="19"/>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Other Significant Accounting Policies</w:t>
      </w:r>
    </w:p>
    <w:p>
      <w:pPr>
        <w:spacing w:after="0" w:line="248" w:lineRule="exact"/>
        <w:rPr>
          <w:sz w:val="20"/>
          <w:szCs w:val="20"/>
          <w:color w:val="auto"/>
        </w:rPr>
      </w:pPr>
    </w:p>
    <w:p>
      <w:pPr>
        <w:ind w:left="7" w:right="20" w:firstLine="706"/>
        <w:spacing w:after="0" w:line="300" w:lineRule="auto"/>
        <w:rPr>
          <w:sz w:val="20"/>
          <w:szCs w:val="20"/>
          <w:color w:val="auto"/>
        </w:rPr>
      </w:pPr>
      <w:r>
        <w:rPr>
          <w:rFonts w:ascii="Arial" w:cs="Arial" w:eastAsia="Arial" w:hAnsi="Arial"/>
          <w:sz w:val="17"/>
          <w:szCs w:val="17"/>
          <w:color w:val="auto"/>
        </w:rPr>
        <w:t>See the respective footnotes for our accounting policies regarding (i) revenues and accounts receivable, (ii) net income per Class A share, (iii) inventory, linefill and long-term inventory, (iv) property and equipment, (v) acquisitions,</w:t>
      </w:r>
    </w:p>
    <w:p>
      <w:pPr>
        <w:spacing w:after="0" w:line="1" w:lineRule="exact"/>
        <w:rPr>
          <w:sz w:val="20"/>
          <w:szCs w:val="20"/>
          <w:color w:val="auto"/>
        </w:rPr>
      </w:pPr>
    </w:p>
    <w:p>
      <w:pPr>
        <w:ind w:left="327" w:hanging="327"/>
        <w:spacing w:after="0"/>
        <w:tabs>
          <w:tab w:leader="none" w:pos="327"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investments in unconsolidated entities, (vii) intangible assets, (viii) derivatives and risk management activities, (ix) leases,</w:t>
      </w:r>
    </w:p>
    <w:p>
      <w:pPr>
        <w:spacing w:after="0" w:line="39" w:lineRule="exact"/>
        <w:rPr>
          <w:rFonts w:ascii="Arial" w:cs="Arial" w:eastAsia="Arial" w:hAnsi="Arial"/>
          <w:sz w:val="17"/>
          <w:szCs w:val="17"/>
          <w:color w:val="auto"/>
        </w:rPr>
      </w:pPr>
    </w:p>
    <w:p>
      <w:pPr>
        <w:ind w:left="287" w:hanging="287"/>
        <w:spacing w:after="0"/>
        <w:tabs>
          <w:tab w:leader="none" w:pos="287"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income taxes, (xi) equity-indexed compensation and (xii) legal and environmental matters.</w:t>
      </w:r>
    </w:p>
    <w:p>
      <w:pPr>
        <w:spacing w:after="0" w:line="214"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Recent Accounting Pronouncements, Disclosure Rules and Other Legislation</w:t>
      </w:r>
    </w:p>
    <w:p>
      <w:pPr>
        <w:spacing w:after="0" w:line="246" w:lineRule="exact"/>
        <w:rPr>
          <w:sz w:val="20"/>
          <w:szCs w:val="20"/>
          <w:color w:val="auto"/>
        </w:rPr>
      </w:pPr>
    </w:p>
    <w:p>
      <w:pPr>
        <w:ind w:left="707"/>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40" w:lineRule="exact"/>
        <w:rPr>
          <w:sz w:val="20"/>
          <w:szCs w:val="20"/>
          <w:color w:val="auto"/>
        </w:rPr>
      </w:pPr>
    </w:p>
    <w:p>
      <w:pPr>
        <w:ind w:left="7" w:right="140" w:firstLine="706"/>
        <w:spacing w:after="0" w:line="303"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b w:val="1"/>
          <w:bCs w:val="1"/>
          <w:i w:val="1"/>
          <w:iCs w:val="1"/>
          <w:color w:val="auto"/>
        </w:rPr>
        <w:t>Income Statement - Reporting Comprehensive Income - Expense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Disaggregation Disclosures (Subtopic 220-40): Disaggregation of Income Statement Expenses</w:t>
      </w:r>
      <w:r>
        <w:rPr>
          <w:rFonts w:ascii="Arial" w:cs="Arial" w:eastAsia="Arial" w:hAnsi="Arial"/>
          <w:sz w:val="17"/>
          <w:szCs w:val="17"/>
          <w:color w:val="auto"/>
        </w:rPr>
        <w:t>, which requires, among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things, disclosure of specified information about certain costs and expenses in the notes to the financial statements. The guidance is effective prospectively for annual periods beginning after December 15, 2026 and interim periods beginning after December 15, 2027 with retrospective application and early adoption permitted. We intend to provide the required disclosures beginning with our annual report for the year ended December 31, 2027.</w:t>
      </w:r>
    </w:p>
    <w:p>
      <w:pPr>
        <w:spacing w:after="0" w:line="166" w:lineRule="exact"/>
        <w:rPr>
          <w:sz w:val="20"/>
          <w:szCs w:val="20"/>
          <w:color w:val="auto"/>
        </w:rPr>
      </w:pPr>
    </w:p>
    <w:p>
      <w:pPr>
        <w:ind w:left="7" w:right="140" w:firstLine="706"/>
        <w:spacing w:after="0" w:line="307"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b w:val="1"/>
          <w:bCs w:val="1"/>
          <w:i w:val="1"/>
          <w:iCs w:val="1"/>
          <w:color w:val="auto"/>
        </w:rPr>
        <w:t>Income Taxes (Topic 740): Improvements to Income Tax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which requires, among other things, disaggregated information about effective tax rate reconciliation and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taxes paid (net of refunds received) on an annual basis. The guidance is effective prospectively for annual periods beginning after December 15, 2024 with retrospective or early adoption permitted. We intend to provide the required disclosures prospectively beginning with our annual report for the year ended December 31, 2025.</w:t>
      </w:r>
    </w:p>
    <w:p>
      <w:pPr>
        <w:spacing w:after="0" w:line="161" w:lineRule="exact"/>
        <w:rPr>
          <w:sz w:val="20"/>
          <w:szCs w:val="20"/>
          <w:color w:val="auto"/>
        </w:rPr>
      </w:pPr>
    </w:p>
    <w:p>
      <w:pPr>
        <w:ind w:left="7" w:firstLine="706"/>
        <w:spacing w:after="0" w:line="301" w:lineRule="auto"/>
        <w:rPr>
          <w:sz w:val="20"/>
          <w:szCs w:val="20"/>
          <w:color w:val="auto"/>
        </w:rPr>
      </w:pPr>
      <w:r>
        <w:rPr>
          <w:rFonts w:ascii="Arial" w:cs="Arial" w:eastAsia="Arial" w:hAnsi="Arial"/>
          <w:sz w:val="17"/>
          <w:szCs w:val="17"/>
          <w:color w:val="auto"/>
        </w:rPr>
        <w:t xml:space="preserve">In November 2023, the FASB issued ASU 2023-07, </w:t>
      </w:r>
      <w:r>
        <w:rPr>
          <w:rFonts w:ascii="Arial" w:cs="Arial" w:eastAsia="Arial" w:hAnsi="Arial"/>
          <w:sz w:val="17"/>
          <w:szCs w:val="17"/>
          <w:b w:val="1"/>
          <w:bCs w:val="1"/>
          <w:i w:val="1"/>
          <w:iCs w:val="1"/>
          <w:color w:val="auto"/>
        </w:rPr>
        <w:t>Segment Reporting (Topic 280): Improvements to Reportable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Segment Disclosures, </w:t>
      </w:r>
      <w:r>
        <w:rPr>
          <w:rFonts w:ascii="Arial" w:cs="Arial" w:eastAsia="Arial" w:hAnsi="Arial"/>
          <w:sz w:val="17"/>
          <w:szCs w:val="17"/>
          <w:color w:val="auto"/>
        </w:rPr>
        <w:t>which requires disaggregated disclosure of significant segment expenses and other amounts included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adopted this guidance beginning with our annual report for the year ended December 31, 2024. See Note 19 for updated segment disclosures. Other than such disclosure updates, our adoption did not have a material impact on our financial position, results of operations or cash flows.</w:t>
      </w:r>
    </w:p>
    <w:p>
      <w:pPr>
        <w:spacing w:after="0" w:line="166" w:lineRule="exact"/>
        <w:rPr>
          <w:sz w:val="20"/>
          <w:szCs w:val="20"/>
          <w:color w:val="auto"/>
        </w:rPr>
      </w:pPr>
    </w:p>
    <w:p>
      <w:pPr>
        <w:ind w:left="7" w:firstLine="706"/>
        <w:spacing w:after="0" w:line="307" w:lineRule="auto"/>
        <w:rPr>
          <w:sz w:val="20"/>
          <w:szCs w:val="20"/>
          <w:color w:val="auto"/>
        </w:rPr>
      </w:pPr>
      <w:r>
        <w:rPr>
          <w:rFonts w:ascii="Arial" w:cs="Arial" w:eastAsia="Arial" w:hAnsi="Arial"/>
          <w:sz w:val="17"/>
          <w:szCs w:val="17"/>
          <w:color w:val="auto"/>
        </w:rPr>
        <w:t xml:space="preserve">In August 2023, the FASB issued ASU 2023-05, </w:t>
      </w:r>
      <w:r>
        <w:rPr>
          <w:rFonts w:ascii="Arial" w:cs="Arial" w:eastAsia="Arial" w:hAnsi="Arial"/>
          <w:sz w:val="17"/>
          <w:szCs w:val="17"/>
          <w:b w:val="1"/>
          <w:bCs w:val="1"/>
          <w:i w:val="1"/>
          <w:iCs w:val="1"/>
          <w:color w:val="auto"/>
        </w:rPr>
        <w:t>Business Combinations—Joint Venture Formations (Subtopic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805-60): Recognition and Initial Measurement</w:t>
      </w:r>
      <w:r>
        <w:rPr>
          <w:rFonts w:ascii="Arial" w:cs="Arial" w:eastAsia="Arial" w:hAnsi="Arial"/>
          <w:sz w:val="17"/>
          <w:szCs w:val="17"/>
          <w:color w:val="auto"/>
        </w:rPr>
        <w:t>, which requires a newly-formed joint venture to apply a new basis of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will adopt this guidance for joint venture formations on or after January 1, 2025.</w:t>
      </w:r>
    </w:p>
    <w:p>
      <w:pPr>
        <w:sectPr>
          <w:pgSz w:w="11880" w:h="15480" w:orient="portrait"/>
          <w:cols w:equalWidth="0" w:num="1">
            <w:col w:w="10027"/>
          </w:cols>
          <w:pgMar w:left="913" w:top="3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6"/>
        <w:spacing w:after="0"/>
        <w:rPr>
          <w:sz w:val="20"/>
          <w:szCs w:val="20"/>
          <w:color w:val="auto"/>
        </w:rPr>
      </w:pPr>
      <w:r>
        <w:rPr>
          <w:rFonts w:ascii="Arial" w:cs="Arial" w:eastAsia="Arial" w:hAnsi="Arial"/>
          <w:sz w:val="17"/>
          <w:szCs w:val="17"/>
          <w:color w:val="auto"/>
        </w:rPr>
        <w:t>F-14</w:t>
      </w:r>
    </w:p>
    <w:p>
      <w:pPr>
        <w:sectPr>
          <w:pgSz w:w="11880" w:h="15480" w:orient="portrait"/>
          <w:cols w:equalWidth="0" w:num="1">
            <w:col w:w="10027"/>
          </w:cols>
          <w:pgMar w:left="913" w:top="337" w:right="94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SEC Climate Disclosure Rules</w:t>
      </w:r>
    </w:p>
    <w:p>
      <w:pPr>
        <w:spacing w:after="0" w:line="242" w:lineRule="exact"/>
        <w:rPr>
          <w:sz w:val="20"/>
          <w:szCs w:val="20"/>
          <w:color w:val="auto"/>
        </w:rPr>
      </w:pPr>
    </w:p>
    <w:p>
      <w:pPr>
        <w:ind w:right="100" w:firstLine="706"/>
        <w:spacing w:after="0" w:line="303" w:lineRule="auto"/>
        <w:rPr>
          <w:sz w:val="20"/>
          <w:szCs w:val="20"/>
          <w:color w:val="auto"/>
        </w:rPr>
      </w:pPr>
      <w:r>
        <w:rPr>
          <w:rFonts w:ascii="Arial" w:cs="Arial" w:eastAsia="Arial" w:hAnsi="Arial"/>
          <w:sz w:val="17"/>
          <w:szCs w:val="17"/>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In April 2024, the SEC stayed the climate disclosure rules pending resolution of legal challenges. We are monitoring the status of the stay and the outcome of the legal challenge for the applicability of the climate disclosure rules.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20"/>
          <w:szCs w:val="20"/>
          <w:b w:val="1"/>
          <w:bCs w:val="1"/>
          <w:i w:val="1"/>
          <w:iCs w:val="1"/>
          <w:color w:val="auto"/>
        </w:rPr>
        <w:t>International Tax Reform</w:t>
      </w:r>
    </w:p>
    <w:p>
      <w:pPr>
        <w:spacing w:after="0" w:line="242" w:lineRule="exact"/>
        <w:rPr>
          <w:sz w:val="20"/>
          <w:szCs w:val="20"/>
          <w:color w:val="auto"/>
        </w:rPr>
      </w:pPr>
    </w:p>
    <w:p>
      <w:pPr>
        <w:ind w:right="220" w:firstLine="706"/>
        <w:spacing w:after="0" w:line="325" w:lineRule="auto"/>
        <w:rPr>
          <w:sz w:val="20"/>
          <w:szCs w:val="20"/>
          <w:color w:val="auto"/>
        </w:rPr>
      </w:pPr>
      <w:r>
        <w:rPr>
          <w:rFonts w:ascii="Arial" w:cs="Arial" w:eastAsia="Arial" w:hAnsi="Arial"/>
          <w:sz w:val="17"/>
          <w:szCs w:val="17"/>
          <w:color w:val="auto"/>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3—Revenues and Accounts Receivable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48" w:lineRule="exact"/>
        <w:rPr>
          <w:sz w:val="20"/>
          <w:szCs w:val="20"/>
          <w:color w:val="auto"/>
        </w:rPr>
      </w:pPr>
    </w:p>
    <w:p>
      <w:pPr>
        <w:ind w:right="20" w:firstLine="706"/>
        <w:spacing w:after="0" w:line="271" w:lineRule="auto"/>
        <w:rPr>
          <w:sz w:val="20"/>
          <w:szCs w:val="20"/>
          <w:color w:val="auto"/>
        </w:rPr>
      </w:pPr>
      <w:r>
        <w:rPr>
          <w:rFonts w:ascii="Arial" w:cs="Arial" w:eastAsia="Arial" w:hAnsi="Arial"/>
          <w:sz w:val="20"/>
          <w:szCs w:val="20"/>
          <w:color w:val="auto"/>
        </w:rPr>
        <w:t>We disaggregate our revenues by segment and type of activity. These categories depict how the nature, amount, timing and uncertainty of revenues and cash flows are affected by economic factors.</w:t>
      </w:r>
    </w:p>
    <w:p>
      <w:pPr>
        <w:spacing w:after="0" w:line="184" w:lineRule="exact"/>
        <w:rPr>
          <w:sz w:val="20"/>
          <w:szCs w:val="20"/>
          <w:color w:val="auto"/>
        </w:rPr>
      </w:pPr>
    </w:p>
    <w:p>
      <w:pPr>
        <w:ind w:right="280" w:firstLine="706"/>
        <w:spacing w:after="0" w:line="273" w:lineRule="auto"/>
        <w:rPr>
          <w:sz w:val="20"/>
          <w:szCs w:val="20"/>
          <w:color w:val="auto"/>
        </w:rPr>
      </w:pPr>
      <w:r>
        <w:rPr>
          <w:rFonts w:ascii="Arial" w:cs="Arial" w:eastAsia="Arial" w:hAnsi="Arial"/>
          <w:sz w:val="20"/>
          <w:szCs w:val="20"/>
          <w:b w:val="1"/>
          <w:bCs w:val="1"/>
          <w:i w:val="1"/>
          <w:iCs w:val="1"/>
          <w:color w:val="auto"/>
        </w:rPr>
        <w:t xml:space="preserve">Revenues from Contracts with Customers. </w:t>
      </w:r>
      <w:r>
        <w:rPr>
          <w:rFonts w:ascii="Arial" w:cs="Arial" w:eastAsia="Arial" w:hAnsi="Arial"/>
          <w:sz w:val="20"/>
          <w:szCs w:val="20"/>
          <w:color w:val="auto"/>
        </w:rPr>
        <w:t>The following tables present our revenues from contracts with customers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disaggregated by segment and type of activity (in millions):</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49"/>
              <w:spacing w:after="0"/>
              <w:rPr>
                <w:sz w:val="20"/>
                <w:szCs w:val="20"/>
                <w:color w:val="auto"/>
              </w:rPr>
            </w:pPr>
            <w:r>
              <w:rPr>
                <w:rFonts w:ascii="Arial" w:cs="Arial" w:eastAsia="Arial" w:hAnsi="Arial"/>
                <w:sz w:val="16"/>
                <w:szCs w:val="16"/>
                <w:b w:val="1"/>
                <w:bCs w:val="1"/>
                <w:color w:val="auto"/>
                <w:w w:val="89"/>
              </w:rPr>
              <w:t>Year Ended December 31,</w:t>
            </w:r>
          </w:p>
        </w:tc>
        <w:tc>
          <w:tcPr>
            <w:tcW w:w="940" w:type="dxa"/>
            <w:vAlign w:val="bottom"/>
            <w:tcBorders>
              <w:bottom w:val="single" w:sz="8" w:color="auto"/>
            </w:tcBorders>
          </w:tcPr>
          <w:p>
            <w:pPr>
              <w:spacing w:after="0"/>
              <w:rPr>
                <w:sz w:val="18"/>
                <w:szCs w:val="18"/>
                <w:color w:val="auto"/>
              </w:rPr>
            </w:pPr>
          </w:p>
        </w:tc>
      </w:tr>
      <w:tr>
        <w:trPr>
          <w:trHeight w:val="230"/>
        </w:trPr>
        <w:tc>
          <w:tcPr>
            <w:tcW w:w="6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26"/>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r>
      <w:tr>
        <w:trPr>
          <w:trHeight w:val="270"/>
        </w:trPr>
        <w:tc>
          <w:tcPr>
            <w:tcW w:w="6060" w:type="dxa"/>
            <w:vAlign w:val="bottom"/>
          </w:tcPr>
          <w:p>
            <w:pPr>
              <w:spacing w:after="0"/>
              <w:rPr>
                <w:sz w:val="20"/>
                <w:szCs w:val="20"/>
                <w:color w:val="auto"/>
              </w:rPr>
            </w:pPr>
            <w:r>
              <w:rPr>
                <w:rFonts w:ascii="Arial" w:cs="Arial" w:eastAsia="Arial" w:hAnsi="Arial"/>
                <w:sz w:val="20"/>
                <w:szCs w:val="20"/>
                <w:b w:val="1"/>
                <w:bCs w:val="1"/>
                <w:color w:val="auto"/>
              </w:rPr>
              <w:t>Crude Oil segment revenues from contracts with customers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4"/>
        </w:trPr>
        <w:tc>
          <w:tcPr>
            <w:tcW w:w="6060" w:type="dxa"/>
            <w:vAlign w:val="bottom"/>
          </w:tcPr>
          <w:p>
            <w:pPr>
              <w:ind w:left="120"/>
              <w:spacing w:after="0"/>
              <w:rPr>
                <w:sz w:val="20"/>
                <w:szCs w:val="20"/>
                <w:color w:val="auto"/>
              </w:rPr>
            </w:pPr>
            <w:r>
              <w:rPr>
                <w:rFonts w:ascii="Arial" w:cs="Arial" w:eastAsia="Arial" w:hAnsi="Arial"/>
                <w:sz w:val="20"/>
                <w:szCs w:val="20"/>
                <w:color w:val="auto"/>
              </w:rPr>
              <w:t>Sales</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47,036</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45,621</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53,822</w:t>
            </w:r>
          </w:p>
        </w:tc>
      </w:tr>
      <w:tr>
        <w:trPr>
          <w:trHeight w:val="294"/>
        </w:trPr>
        <w:tc>
          <w:tcPr>
            <w:tcW w:w="6060" w:type="dxa"/>
            <w:vAlign w:val="bottom"/>
          </w:tcPr>
          <w:p>
            <w:pPr>
              <w:ind w:left="120"/>
              <w:spacing w:after="0"/>
              <w:rPr>
                <w:sz w:val="20"/>
                <w:szCs w:val="20"/>
                <w:color w:val="auto"/>
              </w:rPr>
            </w:pPr>
            <w:r>
              <w:rPr>
                <w:rFonts w:ascii="Arial" w:cs="Arial" w:eastAsia="Arial" w:hAnsi="Arial"/>
                <w:sz w:val="20"/>
                <w:szCs w:val="20"/>
                <w:color w:val="auto"/>
              </w:rPr>
              <w:t>Transportation</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1,144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745</w:t>
            </w:r>
          </w:p>
        </w:tc>
      </w:tr>
      <w:tr>
        <w:trPr>
          <w:trHeight w:val="298"/>
        </w:trPr>
        <w:tc>
          <w:tcPr>
            <w:tcW w:w="6060" w:type="dxa"/>
            <w:vAlign w:val="bottom"/>
          </w:tcPr>
          <w:p>
            <w:pPr>
              <w:ind w:left="120"/>
              <w:spacing w:after="0"/>
              <w:rPr>
                <w:sz w:val="20"/>
                <w:szCs w:val="20"/>
                <w:color w:val="auto"/>
              </w:rPr>
            </w:pPr>
            <w:r>
              <w:rPr>
                <w:rFonts w:ascii="Arial" w:cs="Arial" w:eastAsia="Arial" w:hAnsi="Arial"/>
                <w:sz w:val="20"/>
                <w:szCs w:val="20"/>
                <w:color w:val="auto"/>
              </w:rPr>
              <w:t>Terminalling, Storage and Other</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362</w:t>
            </w:r>
          </w:p>
        </w:tc>
      </w:tr>
      <w:tr>
        <w:trPr>
          <w:trHeight w:val="254"/>
        </w:trPr>
        <w:tc>
          <w:tcPr>
            <w:tcW w:w="6060" w:type="dxa"/>
            <w:vAlign w:val="bottom"/>
          </w:tcPr>
          <w:p>
            <w:pPr>
              <w:spacing w:after="0"/>
              <w:rPr>
                <w:sz w:val="20"/>
                <w:szCs w:val="20"/>
                <w:color w:val="auto"/>
              </w:rPr>
            </w:pPr>
            <w:r>
              <w:rPr>
                <w:rFonts w:ascii="Arial" w:cs="Arial" w:eastAsia="Arial" w:hAnsi="Arial"/>
                <w:sz w:val="20"/>
                <w:szCs w:val="20"/>
                <w:color w:val="auto"/>
              </w:rPr>
              <w:t>Total Crude Oil segment revenues from contracts with customers</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48,651</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47,146</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54,929</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43"/>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549"/>
              <w:spacing w:after="0"/>
              <w:rPr>
                <w:sz w:val="20"/>
                <w:szCs w:val="20"/>
                <w:color w:val="auto"/>
              </w:rPr>
            </w:pPr>
            <w:r>
              <w:rPr>
                <w:rFonts w:ascii="Arial" w:cs="Arial" w:eastAsia="Arial" w:hAnsi="Arial"/>
                <w:sz w:val="16"/>
                <w:szCs w:val="16"/>
                <w:b w:val="1"/>
                <w:bCs w:val="1"/>
                <w:color w:val="auto"/>
                <w:w w:val="89"/>
              </w:rPr>
              <w:t>Year Ended December 31,</w:t>
            </w:r>
          </w:p>
        </w:tc>
        <w:tc>
          <w:tcPr>
            <w:tcW w:w="940" w:type="dxa"/>
            <w:vAlign w:val="bottom"/>
            <w:tcBorders>
              <w:bottom w:val="single" w:sz="8" w:color="auto"/>
            </w:tcBorders>
          </w:tcPr>
          <w:p>
            <w:pPr>
              <w:spacing w:after="0"/>
              <w:rPr>
                <w:sz w:val="24"/>
                <w:szCs w:val="24"/>
                <w:color w:val="auto"/>
              </w:rPr>
            </w:pPr>
          </w:p>
        </w:tc>
      </w:tr>
      <w:tr>
        <w:trPr>
          <w:trHeight w:val="230"/>
        </w:trPr>
        <w:tc>
          <w:tcPr>
            <w:tcW w:w="6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26"/>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r>
      <w:tr>
        <w:trPr>
          <w:trHeight w:val="270"/>
        </w:trPr>
        <w:tc>
          <w:tcPr>
            <w:tcW w:w="6060" w:type="dxa"/>
            <w:vAlign w:val="bottom"/>
          </w:tcPr>
          <w:p>
            <w:pPr>
              <w:spacing w:after="0"/>
              <w:rPr>
                <w:sz w:val="20"/>
                <w:szCs w:val="20"/>
                <w:color w:val="auto"/>
              </w:rPr>
            </w:pPr>
            <w:r>
              <w:rPr>
                <w:rFonts w:ascii="Arial" w:cs="Arial" w:eastAsia="Arial" w:hAnsi="Arial"/>
                <w:sz w:val="20"/>
                <w:szCs w:val="20"/>
                <w:b w:val="1"/>
                <w:bCs w:val="1"/>
                <w:color w:val="auto"/>
              </w:rPr>
              <w:t>NGL segment revenues from contracts with customers</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4"/>
        </w:trPr>
        <w:tc>
          <w:tcPr>
            <w:tcW w:w="6060" w:type="dxa"/>
            <w:vAlign w:val="bottom"/>
          </w:tcPr>
          <w:p>
            <w:pPr>
              <w:ind w:left="120"/>
              <w:spacing w:after="0"/>
              <w:rPr>
                <w:sz w:val="20"/>
                <w:szCs w:val="20"/>
                <w:color w:val="auto"/>
              </w:rPr>
            </w:pPr>
            <w:r>
              <w:rPr>
                <w:rFonts w:ascii="Arial" w:cs="Arial" w:eastAsia="Arial" w:hAnsi="Arial"/>
                <w:sz w:val="20"/>
                <w:szCs w:val="20"/>
                <w:color w:val="auto"/>
              </w:rPr>
              <w:t>Sales</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1,761</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1,729</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2,414</w:t>
            </w:r>
          </w:p>
        </w:tc>
      </w:tr>
      <w:tr>
        <w:trPr>
          <w:trHeight w:val="294"/>
        </w:trPr>
        <w:tc>
          <w:tcPr>
            <w:tcW w:w="6060" w:type="dxa"/>
            <w:vAlign w:val="bottom"/>
          </w:tcPr>
          <w:p>
            <w:pPr>
              <w:ind w:left="120"/>
              <w:spacing w:after="0"/>
              <w:rPr>
                <w:sz w:val="20"/>
                <w:szCs w:val="20"/>
                <w:color w:val="auto"/>
              </w:rPr>
            </w:pPr>
            <w:r>
              <w:rPr>
                <w:rFonts w:ascii="Arial" w:cs="Arial" w:eastAsia="Arial" w:hAnsi="Arial"/>
                <w:sz w:val="20"/>
                <w:szCs w:val="20"/>
                <w:color w:val="auto"/>
              </w:rPr>
              <w:t>Transportation</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98"/>
        </w:trPr>
        <w:tc>
          <w:tcPr>
            <w:tcW w:w="6060" w:type="dxa"/>
            <w:vAlign w:val="bottom"/>
          </w:tcPr>
          <w:p>
            <w:pPr>
              <w:ind w:left="120"/>
              <w:spacing w:after="0"/>
              <w:rPr>
                <w:sz w:val="20"/>
                <w:szCs w:val="20"/>
                <w:color w:val="auto"/>
              </w:rPr>
            </w:pPr>
            <w:r>
              <w:rPr>
                <w:rFonts w:ascii="Arial" w:cs="Arial" w:eastAsia="Arial" w:hAnsi="Arial"/>
                <w:sz w:val="20"/>
                <w:szCs w:val="20"/>
                <w:color w:val="auto"/>
              </w:rPr>
              <w:t>Terminalling, Storage and Other</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r>
      <w:tr>
        <w:trPr>
          <w:trHeight w:val="254"/>
        </w:trPr>
        <w:tc>
          <w:tcPr>
            <w:tcW w:w="6060" w:type="dxa"/>
            <w:vAlign w:val="bottom"/>
          </w:tcPr>
          <w:p>
            <w:pPr>
              <w:spacing w:after="0"/>
              <w:rPr>
                <w:sz w:val="20"/>
                <w:szCs w:val="20"/>
                <w:color w:val="auto"/>
              </w:rPr>
            </w:pPr>
            <w:r>
              <w:rPr>
                <w:rFonts w:ascii="Arial" w:cs="Arial" w:eastAsia="Arial" w:hAnsi="Arial"/>
                <w:sz w:val="20"/>
                <w:szCs w:val="20"/>
                <w:color w:val="auto"/>
              </w:rPr>
              <w:t>Total NGL segment revenues from contracts with customers</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1,872</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1,853</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2,544</w:t>
            </w:r>
          </w:p>
        </w:tc>
      </w:tr>
      <w:tr>
        <w:trPr>
          <w:trHeight w:val="20"/>
        </w:trPr>
        <w:tc>
          <w:tcPr>
            <w:tcW w:w="6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-2426970</wp:posOffset>
            </wp:positionV>
            <wp:extent cx="6400800" cy="9715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3">
                      <a:extLst>
                        <a:ext uri="{28A0092B-C50C-407E-A947-70E740481C1C}"/>
                      </a:extLst>
                    </a:blip>
                    <a:srcRect/>
                    <a:stretch>
                      <a:fillRect/>
                    </a:stretch>
                  </pic:blipFill>
                  <pic:spPr bwMode="auto">
                    <a:xfrm>
                      <a:off x="0" y="0"/>
                      <a:ext cx="6400800" cy="9715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-964565</wp:posOffset>
            </wp:positionV>
            <wp:extent cx="6400800" cy="9715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4">
                      <a:extLst>
                        <a:ext uri="{28A0092B-C50C-407E-A947-70E740481C1C}"/>
                      </a:extLst>
                    </a:blip>
                    <a:srcRect/>
                    <a:stretch>
                      <a:fillRect/>
                    </a:stretch>
                  </pic:blipFill>
                  <pic:spPr bwMode="auto">
                    <a:xfrm>
                      <a:off x="0" y="0"/>
                      <a:ext cx="6400800" cy="971550"/>
                    </a:xfrm>
                    <a:prstGeom prst="rect">
                      <a:avLst/>
                    </a:prstGeom>
                    <a:noFill/>
                  </pic:spPr>
                </pic:pic>
              </a:graphicData>
            </a:graphic>
          </wp:anchor>
        </w:drawing>
      </w:r>
    </w:p>
    <w:p>
      <w:pPr>
        <w:spacing w:after="0" w:line="221" w:lineRule="exact"/>
        <w:rPr>
          <w:sz w:val="20"/>
          <w:szCs w:val="20"/>
          <w:color w:val="auto"/>
        </w:rPr>
      </w:pPr>
    </w:p>
    <w:p>
      <w:pPr>
        <w:ind w:right="20" w:firstLine="706"/>
        <w:spacing w:after="0" w:line="272" w:lineRule="auto"/>
        <w:rPr>
          <w:sz w:val="20"/>
          <w:szCs w:val="20"/>
          <w:color w:val="auto"/>
        </w:rPr>
      </w:pPr>
      <w:r>
        <w:rPr>
          <w:rFonts w:ascii="Arial" w:cs="Arial" w:eastAsia="Arial" w:hAnsi="Arial"/>
          <w:sz w:val="19"/>
          <w:szCs w:val="19"/>
          <w:b w:val="1"/>
          <w:bCs w:val="1"/>
          <w:i w:val="1"/>
          <w:iCs w:val="1"/>
          <w:color w:val="auto"/>
        </w:rPr>
        <w:t xml:space="preserve">Sales Revenues. </w:t>
      </w:r>
      <w:r>
        <w:rPr>
          <w:rFonts w:ascii="Arial" w:cs="Arial" w:eastAsia="Arial" w:hAnsi="Arial"/>
          <w:sz w:val="19"/>
          <w:szCs w:val="19"/>
          <w:color w:val="auto"/>
        </w:rPr>
        <w:t>Revenues from sales of crude oil and NGL are recognized at the time title to the product sold transfers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186" w:lineRule="exact"/>
        <w:rPr>
          <w:sz w:val="20"/>
          <w:szCs w:val="20"/>
          <w:color w:val="auto"/>
        </w:rPr>
      </w:pPr>
    </w:p>
    <w:p>
      <w:pPr>
        <w:ind w:right="60" w:firstLine="706"/>
        <w:spacing w:after="0" w:line="266" w:lineRule="auto"/>
        <w:rPr>
          <w:sz w:val="20"/>
          <w:szCs w:val="20"/>
          <w:color w:val="auto"/>
        </w:rPr>
      </w:pPr>
      <w:r>
        <w:rPr>
          <w:rFonts w:ascii="Arial" w:cs="Arial" w:eastAsia="Arial" w:hAnsi="Arial"/>
          <w:sz w:val="19"/>
          <w:szCs w:val="19"/>
          <w:b w:val="1"/>
          <w:bCs w:val="1"/>
          <w:i w:val="1"/>
          <w:iCs w:val="1"/>
          <w:color w:val="auto"/>
        </w:rPr>
        <w:t xml:space="preserve">Transportation Revenues. </w:t>
      </w:r>
      <w:r>
        <w:rPr>
          <w:rFonts w:ascii="Arial" w:cs="Arial" w:eastAsia="Arial" w:hAnsi="Arial"/>
          <w:sz w:val="19"/>
          <w:szCs w:val="19"/>
          <w:color w:val="auto"/>
        </w:rPr>
        <w:t>Transportation revenues include revenues from transporting crude oil and NGL on pipelines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880" w:h="15480" w:orient="portrait"/>
          <w:cols w:equalWidth="0" w:num="1">
            <w:col w:w="10040"/>
          </w:cols>
          <w:pgMar w:left="920" w:top="337" w:right="92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8" w:lineRule="exact"/>
        <w:rPr>
          <w:sz w:val="20"/>
          <w:szCs w:val="20"/>
          <w:color w:val="auto"/>
        </w:rPr>
      </w:pPr>
    </w:p>
    <w:p>
      <w:pPr>
        <w:ind w:right="80" w:firstLine="706"/>
        <w:spacing w:after="0" w:line="262" w:lineRule="auto"/>
        <w:rPr>
          <w:sz w:val="20"/>
          <w:szCs w:val="20"/>
          <w:color w:val="auto"/>
        </w:rPr>
      </w:pPr>
      <w:r>
        <w:rPr>
          <w:rFonts w:ascii="Arial" w:cs="Arial" w:eastAsia="Arial" w:hAnsi="Arial"/>
          <w:sz w:val="19"/>
          <w:szCs w:val="19"/>
          <w:b w:val="1"/>
          <w:bCs w:val="1"/>
          <w:i w:val="1"/>
          <w:iCs w:val="1"/>
          <w:color w:val="auto"/>
        </w:rPr>
        <w:t xml:space="preserve">Terminalling, Storage and Other Revenues. </w:t>
      </w:r>
      <w:r>
        <w:rPr>
          <w:rFonts w:ascii="Arial" w:cs="Arial" w:eastAsia="Arial" w:hAnsi="Arial"/>
          <w:sz w:val="19"/>
          <w:szCs w:val="19"/>
          <w:color w:val="auto"/>
        </w:rPr>
        <w:t>Revenues in this category include (i) fees that are generated when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receive liquids from one 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spacing w:after="0" w:line="195" w:lineRule="exact"/>
        <w:rPr>
          <w:sz w:val="20"/>
          <w:szCs w:val="20"/>
          <w:color w:val="auto"/>
        </w:rPr>
      </w:pPr>
    </w:p>
    <w:p>
      <w:pPr>
        <w:ind w:right="60" w:firstLine="706"/>
        <w:spacing w:after="0" w:line="252" w:lineRule="auto"/>
        <w:rPr>
          <w:sz w:val="20"/>
          <w:szCs w:val="20"/>
          <w:color w:val="auto"/>
        </w:rPr>
      </w:pPr>
      <w:r>
        <w:rPr>
          <w:rFonts w:ascii="Arial" w:cs="Arial" w:eastAsia="Arial" w:hAnsi="Arial"/>
          <w:sz w:val="20"/>
          <w:szCs w:val="20"/>
          <w:b w:val="1"/>
          <w:bCs w:val="1"/>
          <w:i w:val="1"/>
          <w:iCs w:val="1"/>
          <w:color w:val="auto"/>
        </w:rPr>
        <w:t xml:space="preserve">Reconciliation to Total Revenues of Reportable Segments. </w:t>
      </w:r>
      <w:r>
        <w:rPr>
          <w:rFonts w:ascii="Arial" w:cs="Arial" w:eastAsia="Arial" w:hAnsi="Arial"/>
          <w:sz w:val="20"/>
          <w:szCs w:val="20"/>
          <w:color w:val="auto"/>
        </w:rPr>
        <w:t>The following disclosures only include information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Ended December 31, 2024</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w w:val="99"/>
              </w:rPr>
              <w:t>Crude Oil</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NGL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Total</w:t>
            </w:r>
          </w:p>
        </w:tc>
      </w:tr>
      <w:tr>
        <w:trPr>
          <w:trHeight w:val="270"/>
        </w:trPr>
        <w:tc>
          <w:tcPr>
            <w:tcW w:w="6040" w:type="dxa"/>
            <w:vAlign w:val="bottom"/>
          </w:tcPr>
          <w:p>
            <w:pPr>
              <w:ind w:left="40"/>
              <w:spacing w:after="0"/>
              <w:rPr>
                <w:sz w:val="20"/>
                <w:szCs w:val="20"/>
                <w:color w:val="auto"/>
              </w:rPr>
            </w:pPr>
            <w:r>
              <w:rPr>
                <w:rFonts w:ascii="Arial" w:cs="Arial" w:eastAsia="Arial" w:hAnsi="Arial"/>
                <w:sz w:val="20"/>
                <w:szCs w:val="20"/>
                <w:color w:val="auto"/>
              </w:rPr>
              <w:t>Revenues from contracts with customers</w:t>
            </w:r>
          </w:p>
        </w:tc>
        <w:tc>
          <w:tcPr>
            <w:tcW w:w="28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48,651</w:t>
            </w:r>
          </w:p>
        </w:tc>
        <w:tc>
          <w:tcPr>
            <w:tcW w:w="400" w:type="dxa"/>
            <w:vAlign w:val="bottom"/>
            <w:gridSpan w:val="4"/>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1,872</w:t>
            </w:r>
          </w:p>
        </w:tc>
        <w:tc>
          <w:tcPr>
            <w:tcW w:w="400" w:type="dxa"/>
            <w:vAlign w:val="bottom"/>
            <w:gridSpan w:val="4"/>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50,523</w:t>
            </w:r>
          </w:p>
        </w:tc>
      </w:tr>
      <w:tr>
        <w:trPr>
          <w:trHeight w:val="298"/>
        </w:trPr>
        <w:tc>
          <w:tcPr>
            <w:tcW w:w="6040" w:type="dxa"/>
            <w:vAlign w:val="bottom"/>
          </w:tcPr>
          <w:p>
            <w:pPr>
              <w:ind w:left="40"/>
              <w:spacing w:after="0"/>
              <w:rPr>
                <w:sz w:val="20"/>
                <w:szCs w:val="20"/>
                <w:color w:val="auto"/>
              </w:rPr>
            </w:pPr>
            <w:r>
              <w:rPr>
                <w:rFonts w:ascii="Arial" w:cs="Arial" w:eastAsia="Arial" w:hAnsi="Arial"/>
                <w:sz w:val="20"/>
                <w:szCs w:val="20"/>
                <w:color w:val="auto"/>
              </w:rPr>
              <w:t>Other revenues</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w:t>
            </w:r>
          </w:p>
        </w:tc>
      </w:tr>
      <w:tr>
        <w:trPr>
          <w:trHeight w:val="274"/>
        </w:trPr>
        <w:tc>
          <w:tcPr>
            <w:tcW w:w="6040" w:type="dxa"/>
            <w:vAlign w:val="bottom"/>
          </w:tcPr>
          <w:p>
            <w:pPr>
              <w:ind w:left="160"/>
              <w:spacing w:after="0"/>
              <w:rPr>
                <w:sz w:val="20"/>
                <w:szCs w:val="20"/>
                <w:color w:val="auto"/>
              </w:rPr>
            </w:pPr>
            <w:r>
              <w:rPr>
                <w:rFonts w:ascii="Arial" w:cs="Arial" w:eastAsia="Arial" w:hAnsi="Arial"/>
                <w:sz w:val="20"/>
                <w:szCs w:val="20"/>
                <w:color w:val="auto"/>
              </w:rPr>
              <w:t>Total revenues of reportable segments</w:t>
            </w:r>
          </w:p>
        </w:tc>
        <w:tc>
          <w:tcPr>
            <w:tcW w:w="28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48,720</w:t>
            </w:r>
          </w:p>
        </w:tc>
        <w:tc>
          <w:tcPr>
            <w:tcW w:w="400" w:type="dxa"/>
            <w:vAlign w:val="bottom"/>
            <w:gridSpan w:val="4"/>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1,724</w:t>
            </w:r>
          </w:p>
        </w:tc>
        <w:tc>
          <w:tcPr>
            <w:tcW w:w="400" w:type="dxa"/>
            <w:vAlign w:val="bottom"/>
            <w:gridSpan w:val="4"/>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50,444</w:t>
            </w:r>
          </w:p>
        </w:tc>
      </w:tr>
      <w:tr>
        <w:trPr>
          <w:trHeight w:val="274"/>
        </w:trPr>
        <w:tc>
          <w:tcPr>
            <w:tcW w:w="6040" w:type="dxa"/>
            <w:vAlign w:val="bottom"/>
          </w:tcPr>
          <w:p>
            <w:pPr>
              <w:ind w:left="40"/>
              <w:spacing w:after="0"/>
              <w:rPr>
                <w:sz w:val="20"/>
                <w:szCs w:val="20"/>
                <w:color w:val="auto"/>
              </w:rPr>
            </w:pPr>
            <w:r>
              <w:rPr>
                <w:rFonts w:ascii="Arial" w:cs="Arial" w:eastAsia="Arial" w:hAnsi="Arial"/>
                <w:sz w:val="20"/>
                <w:szCs w:val="20"/>
                <w:color w:val="auto"/>
              </w:rPr>
              <w:t>Intersegment revenues elimination</w:t>
            </w: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(371)</w:t>
            </w:r>
          </w:p>
        </w:tc>
      </w:tr>
      <w:tr>
        <w:trPr>
          <w:trHeight w:val="254"/>
        </w:trPr>
        <w:tc>
          <w:tcPr>
            <w:tcW w:w="6040" w:type="dxa"/>
            <w:vAlign w:val="bottom"/>
          </w:tcPr>
          <w:p>
            <w:pPr>
              <w:ind w:left="160"/>
              <w:spacing w:after="0"/>
              <w:rPr>
                <w:sz w:val="20"/>
                <w:szCs w:val="20"/>
                <w:color w:val="auto"/>
              </w:rPr>
            </w:pPr>
            <w:r>
              <w:rPr>
                <w:rFonts w:ascii="Arial" w:cs="Arial" w:eastAsia="Arial" w:hAnsi="Arial"/>
                <w:sz w:val="20"/>
                <w:szCs w:val="20"/>
                <w:color w:val="auto"/>
              </w:rPr>
              <w:t>Total revenues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gridSpan w:val="4"/>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50,073</w:t>
            </w:r>
          </w:p>
        </w:tc>
      </w:tr>
      <w:tr>
        <w:trPr>
          <w:trHeight w:val="20"/>
        </w:trPr>
        <w:tc>
          <w:tcPr>
            <w:tcW w:w="6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90"/>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Ended December 31, 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Crude Oil</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NGL</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Total</w:t>
            </w:r>
          </w:p>
        </w:tc>
      </w:tr>
      <w:tr>
        <w:trPr>
          <w:trHeight w:val="270"/>
        </w:trPr>
        <w:tc>
          <w:tcPr>
            <w:tcW w:w="6040" w:type="dxa"/>
            <w:vAlign w:val="bottom"/>
          </w:tcPr>
          <w:p>
            <w:pPr>
              <w:ind w:left="40"/>
              <w:spacing w:after="0"/>
              <w:rPr>
                <w:sz w:val="20"/>
                <w:szCs w:val="20"/>
                <w:color w:val="auto"/>
              </w:rPr>
            </w:pPr>
            <w:r>
              <w:rPr>
                <w:rFonts w:ascii="Arial" w:cs="Arial" w:eastAsia="Arial" w:hAnsi="Arial"/>
                <w:sz w:val="20"/>
                <w:szCs w:val="20"/>
                <w:color w:val="auto"/>
              </w:rPr>
              <w:t>Revenues from contracts with customers</w:t>
            </w:r>
          </w:p>
        </w:tc>
        <w:tc>
          <w:tcPr>
            <w:tcW w:w="28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47,146</w:t>
            </w: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1,853</w:t>
            </w: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48,999</w:t>
            </w:r>
          </w:p>
        </w:tc>
      </w:tr>
      <w:tr>
        <w:trPr>
          <w:trHeight w:val="298"/>
        </w:trPr>
        <w:tc>
          <w:tcPr>
            <w:tcW w:w="6040" w:type="dxa"/>
            <w:vAlign w:val="bottom"/>
          </w:tcPr>
          <w:p>
            <w:pPr>
              <w:ind w:left="40"/>
              <w:spacing w:after="0"/>
              <w:rPr>
                <w:sz w:val="20"/>
                <w:szCs w:val="20"/>
                <w:color w:val="auto"/>
              </w:rPr>
            </w:pPr>
            <w:r>
              <w:rPr>
                <w:rFonts w:ascii="Arial" w:cs="Arial" w:eastAsia="Arial" w:hAnsi="Arial"/>
                <w:sz w:val="20"/>
                <w:szCs w:val="20"/>
                <w:color w:val="auto"/>
              </w:rPr>
              <w:t>Other revenues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w:t>
            </w:r>
          </w:p>
        </w:tc>
      </w:tr>
      <w:tr>
        <w:trPr>
          <w:trHeight w:val="274"/>
        </w:trPr>
        <w:tc>
          <w:tcPr>
            <w:tcW w:w="6040" w:type="dxa"/>
            <w:vAlign w:val="bottom"/>
          </w:tcPr>
          <w:p>
            <w:pPr>
              <w:ind w:left="180"/>
              <w:spacing w:after="0"/>
              <w:rPr>
                <w:sz w:val="20"/>
                <w:szCs w:val="20"/>
                <w:color w:val="auto"/>
              </w:rPr>
            </w:pPr>
            <w:r>
              <w:rPr>
                <w:rFonts w:ascii="Arial" w:cs="Arial" w:eastAsia="Arial" w:hAnsi="Arial"/>
                <w:sz w:val="20"/>
                <w:szCs w:val="20"/>
                <w:color w:val="auto"/>
              </w:rPr>
              <w:t>Total revenues of reportable segments</w:t>
            </w:r>
          </w:p>
        </w:tc>
        <w:tc>
          <w:tcPr>
            <w:tcW w:w="28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47,174</w:t>
            </w: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1,935</w:t>
            </w: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49,109</w:t>
            </w:r>
          </w:p>
        </w:tc>
      </w:tr>
      <w:tr>
        <w:trPr>
          <w:trHeight w:val="274"/>
        </w:trPr>
        <w:tc>
          <w:tcPr>
            <w:tcW w:w="6040" w:type="dxa"/>
            <w:vAlign w:val="bottom"/>
          </w:tcPr>
          <w:p>
            <w:pPr>
              <w:ind w:left="40"/>
              <w:spacing w:after="0"/>
              <w:rPr>
                <w:sz w:val="20"/>
                <w:szCs w:val="20"/>
                <w:color w:val="auto"/>
              </w:rPr>
            </w:pPr>
            <w:r>
              <w:rPr>
                <w:rFonts w:ascii="Arial" w:cs="Arial" w:eastAsia="Arial" w:hAnsi="Arial"/>
                <w:sz w:val="20"/>
                <w:szCs w:val="20"/>
                <w:color w:val="auto"/>
              </w:rPr>
              <w:t>Intersegment revenues elimination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(397)</w:t>
            </w:r>
          </w:p>
        </w:tc>
      </w:tr>
      <w:tr>
        <w:trPr>
          <w:trHeight w:val="254"/>
        </w:trPr>
        <w:tc>
          <w:tcPr>
            <w:tcW w:w="6040" w:type="dxa"/>
            <w:vAlign w:val="bottom"/>
          </w:tcPr>
          <w:p>
            <w:pPr>
              <w:ind w:left="180"/>
              <w:spacing w:after="0"/>
              <w:rPr>
                <w:sz w:val="20"/>
                <w:szCs w:val="20"/>
                <w:color w:val="auto"/>
              </w:rPr>
            </w:pPr>
            <w:r>
              <w:rPr>
                <w:rFonts w:ascii="Arial" w:cs="Arial" w:eastAsia="Arial" w:hAnsi="Arial"/>
                <w:sz w:val="20"/>
                <w:szCs w:val="20"/>
                <w:color w:val="auto"/>
              </w:rPr>
              <w:t>Total revenues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48,712</w:t>
            </w:r>
          </w:p>
        </w:tc>
      </w:tr>
      <w:tr>
        <w:trPr>
          <w:trHeight w:val="20"/>
        </w:trPr>
        <w:tc>
          <w:tcPr>
            <w:tcW w:w="6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70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Ended December 31, 2022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Crude Oil</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NGL</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Total</w:t>
            </w:r>
          </w:p>
        </w:tc>
      </w:tr>
      <w:tr>
        <w:trPr>
          <w:trHeight w:val="285"/>
        </w:trPr>
        <w:tc>
          <w:tcPr>
            <w:tcW w:w="6040" w:type="dxa"/>
            <w:vAlign w:val="bottom"/>
          </w:tcPr>
          <w:p>
            <w:pPr>
              <w:ind w:left="40"/>
              <w:spacing w:after="0"/>
              <w:rPr>
                <w:sz w:val="20"/>
                <w:szCs w:val="20"/>
                <w:color w:val="auto"/>
              </w:rPr>
            </w:pPr>
            <w:r>
              <w:rPr>
                <w:rFonts w:ascii="Arial" w:cs="Arial" w:eastAsia="Arial" w:hAnsi="Arial"/>
                <w:sz w:val="20"/>
                <w:szCs w:val="20"/>
                <w:color w:val="auto"/>
              </w:rPr>
              <w:t>Revenues from contracts with customers</w:t>
            </w:r>
          </w:p>
        </w:tc>
        <w:tc>
          <w:tcPr>
            <w:tcW w:w="28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54,929</w:t>
            </w: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2,544</w:t>
            </w: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57,473</w:t>
            </w:r>
          </w:p>
        </w:tc>
      </w:tr>
      <w:tr>
        <w:trPr>
          <w:trHeight w:val="312"/>
        </w:trPr>
        <w:tc>
          <w:tcPr>
            <w:tcW w:w="6040" w:type="dxa"/>
            <w:vAlign w:val="bottom"/>
          </w:tcPr>
          <w:p>
            <w:pPr>
              <w:ind w:left="40"/>
              <w:spacing w:after="0"/>
              <w:rPr>
                <w:sz w:val="20"/>
                <w:szCs w:val="20"/>
                <w:color w:val="auto"/>
              </w:rPr>
            </w:pPr>
            <w:r>
              <w:rPr>
                <w:rFonts w:ascii="Arial" w:cs="Arial" w:eastAsia="Arial" w:hAnsi="Arial"/>
                <w:sz w:val="20"/>
                <w:szCs w:val="20"/>
                <w:color w:val="auto"/>
              </w:rPr>
              <w:t>Other revenues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w:t>
            </w:r>
          </w:p>
        </w:tc>
      </w:tr>
      <w:tr>
        <w:trPr>
          <w:trHeight w:val="289"/>
        </w:trPr>
        <w:tc>
          <w:tcPr>
            <w:tcW w:w="6040" w:type="dxa"/>
            <w:vAlign w:val="bottom"/>
          </w:tcPr>
          <w:p>
            <w:pPr>
              <w:ind w:left="180"/>
              <w:spacing w:after="0"/>
              <w:rPr>
                <w:sz w:val="20"/>
                <w:szCs w:val="20"/>
                <w:color w:val="auto"/>
              </w:rPr>
            </w:pPr>
            <w:r>
              <w:rPr>
                <w:rFonts w:ascii="Arial" w:cs="Arial" w:eastAsia="Arial" w:hAnsi="Arial"/>
                <w:sz w:val="20"/>
                <w:szCs w:val="20"/>
                <w:color w:val="auto"/>
              </w:rPr>
              <w:t>Total revenues of reportable segments</w:t>
            </w:r>
          </w:p>
        </w:tc>
        <w:tc>
          <w:tcPr>
            <w:tcW w:w="28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55,080</w:t>
            </w: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2,761</w:t>
            </w: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57,841</w:t>
            </w:r>
          </w:p>
        </w:tc>
      </w:tr>
      <w:tr>
        <w:trPr>
          <w:trHeight w:val="289"/>
        </w:trPr>
        <w:tc>
          <w:tcPr>
            <w:tcW w:w="6040" w:type="dxa"/>
            <w:vAlign w:val="bottom"/>
          </w:tcPr>
          <w:p>
            <w:pPr>
              <w:ind w:left="40"/>
              <w:spacing w:after="0"/>
              <w:rPr>
                <w:sz w:val="20"/>
                <w:szCs w:val="20"/>
                <w:color w:val="auto"/>
              </w:rPr>
            </w:pPr>
            <w:r>
              <w:rPr>
                <w:rFonts w:ascii="Arial" w:cs="Arial" w:eastAsia="Arial" w:hAnsi="Arial"/>
                <w:sz w:val="20"/>
                <w:szCs w:val="20"/>
                <w:color w:val="auto"/>
              </w:rPr>
              <w:t>Intersegment revenues elimination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(499)</w:t>
            </w:r>
          </w:p>
        </w:tc>
      </w:tr>
      <w:tr>
        <w:trPr>
          <w:trHeight w:val="269"/>
        </w:trPr>
        <w:tc>
          <w:tcPr>
            <w:tcW w:w="6040" w:type="dxa"/>
            <w:vAlign w:val="bottom"/>
          </w:tcPr>
          <w:p>
            <w:pPr>
              <w:ind w:left="180"/>
              <w:spacing w:after="0"/>
              <w:rPr>
                <w:sz w:val="20"/>
                <w:szCs w:val="20"/>
                <w:color w:val="auto"/>
              </w:rPr>
            </w:pPr>
            <w:r>
              <w:rPr>
                <w:rFonts w:ascii="Arial" w:cs="Arial" w:eastAsia="Arial" w:hAnsi="Arial"/>
                <w:sz w:val="20"/>
                <w:szCs w:val="20"/>
                <w:color w:val="auto"/>
              </w:rPr>
              <w:t>Total revenues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gridSpan w:val="4"/>
          </w:tcPr>
          <w:p>
            <w:pPr>
              <w:jc w:val="right"/>
              <w:ind w:righ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57,342</w:t>
            </w:r>
          </w:p>
        </w:tc>
      </w:tr>
      <w:tr>
        <w:trPr>
          <w:trHeight w:val="20"/>
        </w:trPr>
        <w:tc>
          <w:tcPr>
            <w:tcW w:w="6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-3814445</wp:posOffset>
            </wp:positionV>
            <wp:extent cx="6410325" cy="9715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5">
                      <a:extLst>
                        <a:ext uri="{28A0092B-C50C-407E-A947-70E740481C1C}"/>
                      </a:extLst>
                    </a:blip>
                    <a:srcRect/>
                    <a:stretch>
                      <a:fillRect/>
                    </a:stretch>
                  </pic:blipFill>
                  <pic:spPr bwMode="auto">
                    <a:xfrm>
                      <a:off x="0" y="0"/>
                      <a:ext cx="6410325" cy="9715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-2417445</wp:posOffset>
            </wp:positionV>
            <wp:extent cx="6410325" cy="971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6">
                      <a:extLst>
                        <a:ext uri="{28A0092B-C50C-407E-A947-70E740481C1C}"/>
                      </a:extLst>
                    </a:blip>
                    <a:srcRect/>
                    <a:stretch>
                      <a:fillRect/>
                    </a:stretch>
                  </pic:blipFill>
                  <pic:spPr bwMode="auto">
                    <a:xfrm>
                      <a:off x="0" y="0"/>
                      <a:ext cx="6410325" cy="9715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-1010920</wp:posOffset>
            </wp:positionV>
            <wp:extent cx="6410325" cy="1017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7">
                      <a:extLst>
                        <a:ext uri="{28A0092B-C50C-407E-A947-70E740481C1C}"/>
                      </a:extLst>
                    </a:blip>
                    <a:srcRect/>
                    <a:stretch>
                      <a:fillRect/>
                    </a:stretch>
                  </pic:blipFill>
                  <pic:spPr bwMode="auto">
                    <a:xfrm>
                      <a:off x="0" y="0"/>
                      <a:ext cx="6410325" cy="1017905"/>
                    </a:xfrm>
                    <a:prstGeom prst="rect">
                      <a:avLst/>
                    </a:prstGeom>
                    <a:noFill/>
                  </pic:spPr>
                </pic:pic>
              </a:graphicData>
            </a:graphic>
          </wp:anchor>
        </w:drawing>
      </w:r>
    </w:p>
    <w:p>
      <w:pPr>
        <w:spacing w:after="0" w:line="221" w:lineRule="exact"/>
        <w:rPr>
          <w:sz w:val="20"/>
          <w:szCs w:val="20"/>
          <w:color w:val="auto"/>
        </w:rPr>
      </w:pPr>
    </w:p>
    <w:p>
      <w:pPr>
        <w:ind w:right="80" w:firstLine="706"/>
        <w:spacing w:after="0" w:line="264" w:lineRule="auto"/>
        <w:rPr>
          <w:sz w:val="20"/>
          <w:szCs w:val="20"/>
          <w:color w:val="auto"/>
        </w:rPr>
      </w:pPr>
      <w:r>
        <w:rPr>
          <w:rFonts w:ascii="Arial" w:cs="Arial" w:eastAsia="Arial" w:hAnsi="Arial"/>
          <w:sz w:val="19"/>
          <w:szCs w:val="19"/>
          <w:b w:val="1"/>
          <w:bCs w:val="1"/>
          <w:i w:val="1"/>
          <w:iCs w:val="1"/>
          <w:color w:val="auto"/>
        </w:rPr>
        <w:t xml:space="preserve">Minimum Volume Commitments. </w:t>
      </w:r>
      <w:r>
        <w:rPr>
          <w:rFonts w:ascii="Arial" w:cs="Arial" w:eastAsia="Arial" w:hAnsi="Arial"/>
          <w:sz w:val="19"/>
          <w:szCs w:val="19"/>
          <w:color w:val="auto"/>
        </w:rPr>
        <w:t>We have certain agreements that require counterparties to transport or throughput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880" w:h="15480" w:orient="portrait"/>
          <w:cols w:equalWidth="0" w:num="1">
            <w:col w:w="10040"/>
          </w:cols>
          <w:pgMar w:left="920" w:top="337" w:right="920" w:bottom="0" w:gutter="0" w:footer="0" w:header="0"/>
          <w:type w:val="continuous"/>
        </w:sectPr>
      </w:pPr>
    </w:p>
    <w:bookmarkStart w:id="122" w:name="page123"/>
    <w:bookmarkEnd w:id="122"/>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 w:right="620" w:firstLine="706"/>
        <w:spacing w:after="0" w:line="258" w:lineRule="auto"/>
        <w:rPr>
          <w:sz w:val="20"/>
          <w:szCs w:val="20"/>
          <w:color w:val="auto"/>
        </w:rPr>
      </w:pPr>
      <w:r>
        <w:rPr>
          <w:rFonts w:ascii="Arial" w:cs="Arial" w:eastAsia="Arial" w:hAnsi="Arial"/>
          <w:sz w:val="20"/>
          <w:szCs w:val="20"/>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346"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89"/>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Counterparty Deficiencies</w:t>
            </w:r>
          </w:p>
        </w:tc>
        <w:tc>
          <w:tcPr>
            <w:tcW w:w="80" w:type="dxa"/>
            <w:vAlign w:val="bottom"/>
          </w:tcPr>
          <w:p>
            <w:pPr>
              <w:spacing w:after="0"/>
              <w:rPr>
                <w:sz w:val="24"/>
                <w:szCs w:val="24"/>
                <w:color w:val="auto"/>
              </w:rPr>
            </w:pPr>
          </w:p>
        </w:tc>
        <w:tc>
          <w:tcPr>
            <w:tcW w:w="364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Financial Statement Classification</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89"/>
              </w:rPr>
              <w:t>2023</w:t>
            </w:r>
          </w:p>
        </w:tc>
      </w:tr>
      <w:tr>
        <w:trPr>
          <w:trHeight w:val="285"/>
        </w:trPr>
        <w:tc>
          <w:tcPr>
            <w:tcW w:w="3620" w:type="dxa"/>
            <w:vAlign w:val="bottom"/>
          </w:tcPr>
          <w:p>
            <w:pPr>
              <w:ind w:left="40"/>
              <w:spacing w:after="0"/>
              <w:rPr>
                <w:sz w:val="20"/>
                <w:szCs w:val="20"/>
                <w:color w:val="auto"/>
              </w:rPr>
            </w:pPr>
            <w:r>
              <w:rPr>
                <w:rFonts w:ascii="Arial" w:cs="Arial" w:eastAsia="Arial" w:hAnsi="Arial"/>
                <w:sz w:val="20"/>
                <w:szCs w:val="20"/>
                <w:color w:val="auto"/>
              </w:rPr>
              <w:t>Billed and collected</w:t>
            </w:r>
          </w:p>
        </w:tc>
        <w:tc>
          <w:tcPr>
            <w:tcW w:w="80" w:type="dxa"/>
            <w:vAlign w:val="bottom"/>
          </w:tcPr>
          <w:p>
            <w:pPr>
              <w:spacing w:after="0"/>
              <w:rPr>
                <w:sz w:val="24"/>
                <w:szCs w:val="24"/>
                <w:color w:val="auto"/>
              </w:rPr>
            </w:pPr>
          </w:p>
        </w:tc>
        <w:tc>
          <w:tcPr>
            <w:tcW w:w="3720" w:type="dxa"/>
            <w:vAlign w:val="bottom"/>
            <w:gridSpan w:val="2"/>
          </w:tcPr>
          <w:p>
            <w:pPr>
              <w:ind w:left="40"/>
              <w:spacing w:after="0"/>
              <w:rPr>
                <w:sz w:val="20"/>
                <w:szCs w:val="20"/>
                <w:color w:val="auto"/>
              </w:rPr>
            </w:pPr>
            <w:r>
              <w:rPr>
                <w:rFonts w:ascii="Arial" w:cs="Arial" w:eastAsia="Arial" w:hAnsi="Arial"/>
                <w:sz w:val="20"/>
                <w:szCs w:val="20"/>
                <w:color w:val="auto"/>
              </w:rPr>
              <w:t>Other current liabilities</w:t>
            </w:r>
          </w:p>
        </w:tc>
        <w:tc>
          <w:tcPr>
            <w:tcW w:w="820" w:type="dxa"/>
            <w:vAlign w:val="bottom"/>
          </w:tcPr>
          <w:p>
            <w:pPr>
              <w:jc w:val="right"/>
              <w:ind w:right="592"/>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83</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-199390</wp:posOffset>
            </wp:positionV>
            <wp:extent cx="6410325" cy="221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8">
                      <a:extLst>
                        <a:ext uri="{28A0092B-C50C-407E-A947-70E740481C1C}"/>
                      </a:extLst>
                    </a:blip>
                    <a:srcRect/>
                    <a:stretch>
                      <a:fillRect/>
                    </a:stretch>
                  </pic:blipFill>
                  <pic:spPr bwMode="auto">
                    <a:xfrm>
                      <a:off x="0" y="0"/>
                      <a:ext cx="6410325" cy="221615"/>
                    </a:xfrm>
                    <a:prstGeom prst="rect">
                      <a:avLst/>
                    </a:prstGeom>
                    <a:noFill/>
                  </pic:spPr>
                </pic:pic>
              </a:graphicData>
            </a:graphic>
          </wp:anchor>
        </w:drawing>
      </w:r>
    </w:p>
    <w:p>
      <w:pPr>
        <w:spacing w:after="0" w:line="264" w:lineRule="exact"/>
        <w:rPr>
          <w:sz w:val="20"/>
          <w:szCs w:val="20"/>
          <w:color w:val="auto"/>
        </w:rPr>
      </w:pPr>
    </w:p>
    <w:p>
      <w:pPr>
        <w:ind w:left="7" w:right="180" w:firstLine="706"/>
        <w:spacing w:after="0" w:line="259" w:lineRule="auto"/>
        <w:rPr>
          <w:sz w:val="20"/>
          <w:szCs w:val="20"/>
          <w:color w:val="auto"/>
        </w:rPr>
      </w:pPr>
      <w:r>
        <w:rPr>
          <w:rFonts w:ascii="Arial" w:cs="Arial" w:eastAsia="Arial" w:hAnsi="Arial"/>
          <w:sz w:val="20"/>
          <w:szCs w:val="20"/>
          <w:b w:val="1"/>
          <w:bCs w:val="1"/>
          <w:i w:val="1"/>
          <w:iCs w:val="1"/>
          <w:color w:val="auto"/>
        </w:rPr>
        <w:t>Contract Balances</w:t>
      </w:r>
      <w:r>
        <w:rPr>
          <w:rFonts w:ascii="Arial" w:cs="Arial" w:eastAsia="Arial" w:hAnsi="Arial"/>
          <w:sz w:val="20"/>
          <w:szCs w:val="20"/>
          <w:color w:val="auto"/>
        </w:rPr>
        <w:t>. Our contract balances consist of amounts received associated with services or sales for which we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have not yet completed the related performance obligation. The following table presents the changes in the liability balance associated with contracts with customers (in millions):</w:t>
      </w:r>
    </w:p>
    <w:p>
      <w:pPr>
        <w:spacing w:after="0" w:line="286" w:lineRule="exact"/>
        <w:rPr>
          <w:sz w:val="20"/>
          <w:szCs w:val="20"/>
          <w:color w:val="auto"/>
        </w:rPr>
      </w:pPr>
    </w:p>
    <w:tbl>
      <w:tblPr>
        <w:tblLayout w:type="fixed"/>
        <w:tblInd w:w="87"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w w:val="92"/>
              </w:rPr>
              <w:t>Contract Liabilities</w:t>
            </w:r>
          </w:p>
        </w:tc>
        <w:tc>
          <w:tcPr>
            <w:tcW w:w="0" w:type="dxa"/>
            <w:vAlign w:val="bottom"/>
          </w:tcPr>
          <w:p>
            <w:pPr>
              <w:spacing w:after="0"/>
              <w:rPr>
                <w:sz w:val="1"/>
                <w:szCs w:val="1"/>
                <w:color w:val="auto"/>
              </w:rPr>
            </w:pPr>
          </w:p>
        </w:tc>
      </w:tr>
      <w:tr>
        <w:trPr>
          <w:trHeight w:val="240"/>
        </w:trPr>
        <w:tc>
          <w:tcPr>
            <w:tcW w:w="8180" w:type="dxa"/>
            <w:vAlign w:val="bottom"/>
          </w:tcPr>
          <w:p>
            <w:pPr>
              <w:spacing w:after="0"/>
              <w:rPr>
                <w:sz w:val="20"/>
                <w:szCs w:val="20"/>
                <w:color w:val="auto"/>
              </w:rPr>
            </w:pPr>
            <w:r>
              <w:rPr>
                <w:rFonts w:ascii="Arial" w:cs="Arial" w:eastAsia="Arial" w:hAnsi="Arial"/>
                <w:sz w:val="20"/>
                <w:szCs w:val="20"/>
                <w:color w:val="auto"/>
              </w:rPr>
              <w:t>Balance at December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120"/>
              <w:spacing w:after="0"/>
              <w:rPr>
                <w:sz w:val="20"/>
                <w:szCs w:val="20"/>
                <w:color w:val="auto"/>
              </w:rPr>
            </w:pPr>
            <w:r>
              <w:rPr>
                <w:rFonts w:ascii="Arial" w:cs="Arial" w:eastAsia="Arial" w:hAnsi="Arial"/>
                <w:sz w:val="20"/>
                <w:szCs w:val="20"/>
                <w:color w:val="auto"/>
              </w:rPr>
              <w:t>Amounts recognized as revenue</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1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76"/>
        </w:trPr>
        <w:tc>
          <w:tcPr>
            <w:tcW w:w="8180" w:type="dxa"/>
            <w:vAlign w:val="bottom"/>
          </w:tcPr>
          <w:p>
            <w:pPr>
              <w:ind w:left="120"/>
              <w:spacing w:after="0"/>
              <w:rPr>
                <w:sz w:val="20"/>
                <w:szCs w:val="20"/>
                <w:color w:val="auto"/>
              </w:rPr>
            </w:pPr>
            <w:r>
              <w:rPr>
                <w:rFonts w:ascii="Arial" w:cs="Arial" w:eastAsia="Arial" w:hAnsi="Arial"/>
                <w:sz w:val="20"/>
                <w:szCs w:val="20"/>
                <w:color w:val="auto"/>
              </w:rPr>
              <w:t>Additions</w:t>
            </w:r>
          </w:p>
        </w:tc>
        <w:tc>
          <w:tcPr>
            <w:tcW w:w="1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83"/>
        </w:trPr>
        <w:tc>
          <w:tcPr>
            <w:tcW w:w="8180" w:type="dxa"/>
            <w:vAlign w:val="bottom"/>
          </w:tcPr>
          <w:p>
            <w:pPr>
              <w:ind w:left="12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0"/>
        </w:trPr>
        <w:tc>
          <w:tcPr>
            <w:tcW w:w="8180" w:type="dxa"/>
            <w:vAlign w:val="bottom"/>
          </w:tcPr>
          <w:p>
            <w:pPr>
              <w:spacing w:after="0"/>
              <w:rPr>
                <w:sz w:val="20"/>
                <w:szCs w:val="20"/>
                <w:color w:val="auto"/>
              </w:rPr>
            </w:pPr>
            <w:r>
              <w:rPr>
                <w:rFonts w:ascii="Arial" w:cs="Arial" w:eastAsia="Arial" w:hAnsi="Arial"/>
                <w:sz w:val="20"/>
                <w:szCs w:val="20"/>
                <w:color w:val="auto"/>
              </w:rPr>
              <w:t>Balance at December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120"/>
              <w:spacing w:after="0"/>
              <w:rPr>
                <w:sz w:val="20"/>
                <w:szCs w:val="20"/>
                <w:color w:val="auto"/>
              </w:rPr>
            </w:pPr>
            <w:r>
              <w:rPr>
                <w:rFonts w:ascii="Arial" w:cs="Arial" w:eastAsia="Arial" w:hAnsi="Arial"/>
                <w:sz w:val="20"/>
                <w:szCs w:val="20"/>
                <w:color w:val="auto"/>
              </w:rPr>
              <w:t>Amounts recognized as revenue</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1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61"/>
        </w:trPr>
        <w:tc>
          <w:tcPr>
            <w:tcW w:w="8180" w:type="dxa"/>
            <w:vAlign w:val="bottom"/>
          </w:tcPr>
          <w:p>
            <w:pPr>
              <w:ind w:left="120"/>
              <w:spacing w:after="0"/>
              <w:rPr>
                <w:sz w:val="20"/>
                <w:szCs w:val="20"/>
                <w:color w:val="auto"/>
              </w:rPr>
            </w:pPr>
            <w:r>
              <w:rPr>
                <w:rFonts w:ascii="Arial" w:cs="Arial" w:eastAsia="Arial" w:hAnsi="Arial"/>
                <w:sz w:val="20"/>
                <w:szCs w:val="20"/>
                <w:color w:val="auto"/>
              </w:rPr>
              <w:t>Additions</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83"/>
        </w:trPr>
        <w:tc>
          <w:tcPr>
            <w:tcW w:w="8180" w:type="dxa"/>
            <w:vAlign w:val="bottom"/>
          </w:tcPr>
          <w:p>
            <w:pPr>
              <w:ind w:left="12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0"/>
        </w:trPr>
        <w:tc>
          <w:tcPr>
            <w:tcW w:w="8180" w:type="dxa"/>
            <w:vAlign w:val="bottom"/>
          </w:tcPr>
          <w:p>
            <w:pPr>
              <w:spacing w:after="0"/>
              <w:rPr>
                <w:sz w:val="20"/>
                <w:szCs w:val="20"/>
                <w:color w:val="auto"/>
              </w:rPr>
            </w:pPr>
            <w:r>
              <w:rPr>
                <w:rFonts w:ascii="Arial" w:cs="Arial" w:eastAsia="Arial" w:hAnsi="Arial"/>
                <w:sz w:val="20"/>
                <w:szCs w:val="20"/>
                <w:color w:val="auto"/>
              </w:rPr>
              <w:t>Balance at December 31,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-1636395</wp:posOffset>
            </wp:positionV>
            <wp:extent cx="6372860" cy="16433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9">
                      <a:extLst>
                        <a:ext uri="{28A0092B-C50C-407E-A947-70E740481C1C}"/>
                      </a:extLst>
                    </a:blip>
                    <a:srcRect/>
                    <a:stretch>
                      <a:fillRect/>
                    </a:stretch>
                  </pic:blipFill>
                  <pic:spPr bwMode="auto">
                    <a:xfrm>
                      <a:off x="0" y="0"/>
                      <a:ext cx="6372860" cy="1643380"/>
                    </a:xfrm>
                    <a:prstGeom prst="rect">
                      <a:avLst/>
                    </a:prstGeom>
                    <a:noFill/>
                  </pic:spPr>
                </pic:pic>
              </a:graphicData>
            </a:graphic>
          </wp:anchor>
        </w:drawing>
      </w:r>
    </w:p>
    <w:p>
      <w:pPr>
        <w:spacing w:after="0" w:line="221" w:lineRule="exact"/>
        <w:rPr>
          <w:sz w:val="20"/>
          <w:szCs w:val="20"/>
          <w:color w:val="auto"/>
        </w:rPr>
      </w:pPr>
    </w:p>
    <w:p>
      <w:pPr>
        <w:ind w:left="7" w:right="80" w:firstLine="706"/>
        <w:spacing w:after="0" w:line="301" w:lineRule="auto"/>
        <w:rPr>
          <w:sz w:val="20"/>
          <w:szCs w:val="20"/>
          <w:color w:val="auto"/>
        </w:rPr>
      </w:pPr>
      <w:r>
        <w:rPr>
          <w:rFonts w:ascii="Arial" w:cs="Arial" w:eastAsia="Arial" w:hAnsi="Arial"/>
          <w:sz w:val="17"/>
          <w:szCs w:val="17"/>
          <w:b w:val="1"/>
          <w:bCs w:val="1"/>
          <w:i w:val="1"/>
          <w:iCs w:val="1"/>
          <w:color w:val="auto"/>
        </w:rPr>
        <w:t>Remaining Performance Obligations</w:t>
      </w:r>
      <w:r>
        <w:rPr>
          <w:rFonts w:ascii="Arial" w:cs="Arial" w:eastAsia="Arial" w:hAnsi="Arial"/>
          <w:sz w:val="17"/>
          <w:szCs w:val="17"/>
          <w:color w:val="auto"/>
        </w:rPr>
        <w:t>. The information below includes the amount of consideration allocated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2024 (in millions):</w:t>
      </w:r>
    </w:p>
    <w:p>
      <w:pPr>
        <w:spacing w:after="0" w:line="236"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2029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7"/>
              <w:spacing w:after="0"/>
              <w:rPr>
                <w:sz w:val="20"/>
                <w:szCs w:val="20"/>
                <w:color w:val="auto"/>
              </w:rPr>
            </w:pPr>
            <w:r>
              <w:rPr>
                <w:rFonts w:ascii="Arial" w:cs="Arial" w:eastAsia="Arial" w:hAnsi="Arial"/>
                <w:sz w:val="16"/>
                <w:szCs w:val="16"/>
                <w:b w:val="1"/>
                <w:bCs w:val="1"/>
                <w:color w:val="auto"/>
                <w:w w:val="87"/>
              </w:rPr>
              <w:t>2030 and</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7"/>
        </w:trPr>
        <w:tc>
          <w:tcPr>
            <w:tcW w:w="3940" w:type="dxa"/>
            <w:vAlign w:val="bottom"/>
            <w:gridSpan w:val="2"/>
          </w:tcPr>
          <w:p>
            <w:pPr>
              <w:ind w:left="60"/>
              <w:spacing w:after="0" w:line="217" w:lineRule="exact"/>
              <w:rPr>
                <w:sz w:val="20"/>
                <w:szCs w:val="20"/>
                <w:color w:val="auto"/>
              </w:rPr>
            </w:pPr>
            <w:r>
              <w:rPr>
                <w:rFonts w:ascii="Arial" w:cs="Arial" w:eastAsia="Arial" w:hAnsi="Arial"/>
                <w:sz w:val="20"/>
                <w:szCs w:val="20"/>
                <w:color w:val="auto"/>
              </w:rPr>
              <w:t>Pipeline revenues supported by minimum</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40" w:type="dxa"/>
            <w:vAlign w:val="bottom"/>
            <w:gridSpan w:val="2"/>
          </w:tcPr>
          <w:p>
            <w:pPr>
              <w:ind w:left="220"/>
              <w:spacing w:after="0" w:line="196" w:lineRule="exact"/>
              <w:rPr>
                <w:sz w:val="20"/>
                <w:szCs w:val="20"/>
                <w:color w:val="auto"/>
              </w:rPr>
            </w:pPr>
            <w:r>
              <w:rPr>
                <w:rFonts w:ascii="Arial" w:cs="Arial" w:eastAsia="Arial" w:hAnsi="Arial"/>
                <w:sz w:val="20"/>
                <w:szCs w:val="20"/>
                <w:color w:val="auto"/>
              </w:rPr>
              <w:t>volume commitments and capacity</w:t>
            </w:r>
          </w:p>
        </w:tc>
        <w:tc>
          <w:tcPr>
            <w:tcW w:w="240" w:type="dxa"/>
            <w:vAlign w:val="bottom"/>
            <w:vMerge w:val="restart"/>
          </w:tcPr>
          <w:p>
            <w:pPr>
              <w:jc w:val="right"/>
              <w:ind w:right="2"/>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380</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250</w:t>
            </w:r>
          </w:p>
        </w:tc>
        <w:tc>
          <w:tcPr>
            <w:tcW w:w="320" w:type="dxa"/>
            <w:vAlign w:val="bottom"/>
            <w:gridSpan w:val="2"/>
            <w:vMerge w:val="restart"/>
          </w:tcPr>
          <w:p>
            <w:pPr>
              <w:jc w:val="right"/>
              <w:ind w:right="2"/>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213</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165</w:t>
            </w:r>
          </w:p>
        </w:tc>
        <w:tc>
          <w:tcPr>
            <w:tcW w:w="320" w:type="dxa"/>
            <w:vAlign w:val="bottom"/>
            <w:gridSpan w:val="2"/>
            <w:vMerge w:val="restart"/>
          </w:tcPr>
          <w:p>
            <w:pPr>
              <w:jc w:val="right"/>
              <w:ind w:right="2"/>
              <w:spacing w:after="0"/>
              <w:rPr>
                <w:sz w:val="20"/>
                <w:szCs w:val="20"/>
                <w:color w:val="auto"/>
              </w:rPr>
            </w:pPr>
            <w:r>
              <w:rPr>
                <w:rFonts w:ascii="Arial" w:cs="Arial" w:eastAsia="Arial" w:hAnsi="Arial"/>
                <w:sz w:val="20"/>
                <w:szCs w:val="20"/>
                <w:color w:val="auto"/>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88</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482</w:t>
            </w:r>
          </w:p>
        </w:tc>
        <w:tc>
          <w:tcPr>
            <w:tcW w:w="0" w:type="dxa"/>
            <w:vAlign w:val="bottom"/>
          </w:tcPr>
          <w:p>
            <w:pPr>
              <w:spacing w:after="0"/>
              <w:rPr>
                <w:sz w:val="1"/>
                <w:szCs w:val="1"/>
                <w:color w:val="auto"/>
              </w:rPr>
            </w:pPr>
          </w:p>
        </w:tc>
      </w:tr>
      <w:tr>
        <w:trPr>
          <w:trHeight w:val="288"/>
        </w:trPr>
        <w:tc>
          <w:tcPr>
            <w:tcW w:w="3940" w:type="dxa"/>
            <w:vAlign w:val="bottom"/>
            <w:gridSpan w:val="2"/>
          </w:tcPr>
          <w:p>
            <w:pPr>
              <w:ind w:left="220"/>
              <w:spacing w:after="0"/>
              <w:rPr>
                <w:sz w:val="20"/>
                <w:szCs w:val="20"/>
                <w:color w:val="auto"/>
              </w:rPr>
            </w:pPr>
            <w:r>
              <w:rPr>
                <w:rFonts w:ascii="Arial" w:cs="Arial" w:eastAsia="Arial" w:hAnsi="Arial"/>
                <w:sz w:val="20"/>
                <w:szCs w:val="20"/>
                <w:color w:val="auto"/>
              </w:rPr>
              <w:t xml:space="preserve">agreements </w:t>
            </w:r>
            <w:r>
              <w:rPr>
                <w:rFonts w:ascii="Arial" w:cs="Arial" w:eastAsia="Arial" w:hAnsi="Arial"/>
                <w:sz w:val="25"/>
                <w:szCs w:val="25"/>
                <w:color w:val="auto"/>
                <w:vertAlign w:val="superscript"/>
              </w:rPr>
              <w:t>(1)</w:t>
            </w:r>
          </w:p>
        </w:tc>
        <w:tc>
          <w:tcPr>
            <w:tcW w:w="24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40" w:type="dxa"/>
            <w:vAlign w:val="bottom"/>
            <w:gridSpan w:val="2"/>
          </w:tcPr>
          <w:p>
            <w:pPr>
              <w:ind w:left="60"/>
              <w:spacing w:after="0" w:line="197" w:lineRule="exact"/>
              <w:rPr>
                <w:sz w:val="20"/>
                <w:szCs w:val="20"/>
                <w:color w:val="auto"/>
              </w:rPr>
            </w:pPr>
            <w:r>
              <w:rPr>
                <w:rFonts w:ascii="Arial" w:cs="Arial" w:eastAsia="Arial" w:hAnsi="Arial"/>
                <w:sz w:val="20"/>
                <w:szCs w:val="20"/>
                <w:color w:val="auto"/>
              </w:rPr>
              <w:t>Terminalling, storage and other agreement</w:t>
            </w:r>
          </w:p>
        </w:tc>
        <w:tc>
          <w:tcPr>
            <w:tcW w:w="2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250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213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191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748</w:t>
            </w:r>
          </w:p>
        </w:tc>
        <w:tc>
          <w:tcPr>
            <w:tcW w:w="0" w:type="dxa"/>
            <w:vAlign w:val="bottom"/>
          </w:tcPr>
          <w:p>
            <w:pPr>
              <w:spacing w:after="0"/>
              <w:rPr>
                <w:sz w:val="1"/>
                <w:szCs w:val="1"/>
                <w:color w:val="auto"/>
              </w:rPr>
            </w:pPr>
          </w:p>
        </w:tc>
      </w:tr>
      <w:tr>
        <w:trPr>
          <w:trHeight w:val="258"/>
        </w:trPr>
        <w:tc>
          <w:tcPr>
            <w:tcW w:w="3940" w:type="dxa"/>
            <w:vAlign w:val="bottom"/>
            <w:gridSpan w:val="2"/>
          </w:tcPr>
          <w:p>
            <w:pPr>
              <w:ind w:left="220"/>
              <w:spacing w:after="0"/>
              <w:rPr>
                <w:sz w:val="20"/>
                <w:szCs w:val="20"/>
                <w:color w:val="auto"/>
              </w:rPr>
            </w:pPr>
            <w:r>
              <w:rPr>
                <w:rFonts w:ascii="Arial" w:cs="Arial" w:eastAsia="Arial" w:hAnsi="Arial"/>
                <w:sz w:val="20"/>
                <w:szCs w:val="20"/>
                <w:color w:val="auto"/>
              </w:rPr>
              <w:t>revenues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400"/>
              <w:spacing w:after="0" w:line="210" w:lineRule="exact"/>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2"/>
              <w:spacing w:after="0" w:line="210"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630</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463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2"/>
              <w:spacing w:after="0" w:line="210"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404</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321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2"/>
              <w:spacing w:after="0" w:line="210"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212</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1,230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-1032510</wp:posOffset>
            </wp:positionV>
            <wp:extent cx="6400800" cy="942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0">
                      <a:extLst>
                        <a:ext uri="{28A0092B-C50C-407E-A947-70E740481C1C}"/>
                      </a:extLst>
                    </a:blip>
                    <a:srcRect/>
                    <a:stretch>
                      <a:fillRect/>
                    </a:stretch>
                  </pic:blipFill>
                  <pic:spPr bwMode="auto">
                    <a:xfrm>
                      <a:off x="0" y="0"/>
                      <a:ext cx="6400800" cy="942975"/>
                    </a:xfrm>
                    <a:prstGeom prst="rect">
                      <a:avLst/>
                    </a:prstGeom>
                    <a:noFill/>
                  </pic:spPr>
                </pic:pic>
              </a:graphicData>
            </a:graphic>
          </wp:anchor>
        </w:drawing>
      </w:r>
    </w:p>
    <w:p>
      <w:pPr>
        <w:spacing w:after="0" w:line="33" w:lineRule="exact"/>
        <w:rPr>
          <w:sz w:val="20"/>
          <w:szCs w:val="20"/>
          <w:color w:val="auto"/>
        </w:rPr>
      </w:pPr>
    </w:p>
    <w:p>
      <w:pPr>
        <w:ind w:left="707" w:hanging="707"/>
        <w:spacing w:after="0"/>
        <w:tabs>
          <w:tab w:leader="none" w:pos="707" w:val="left"/>
        </w:tabs>
        <w:numPr>
          <w:ilvl w:val="0"/>
          <w:numId w:val="79"/>
        </w:numPr>
        <w:rPr>
          <w:rFonts w:ascii="Arial" w:cs="Arial" w:eastAsia="Arial" w:hAnsi="Arial"/>
          <w:sz w:val="25"/>
          <w:szCs w:val="25"/>
          <w:color w:val="auto"/>
          <w:vertAlign w:val="superscript"/>
        </w:rPr>
      </w:pPr>
      <w:r>
        <w:rPr>
          <w:rFonts w:ascii="Arial" w:cs="Arial" w:eastAsia="Arial" w:hAnsi="Arial"/>
          <w:sz w:val="20"/>
          <w:szCs w:val="20"/>
          <w:color w:val="auto"/>
        </w:rPr>
        <w:t>Calculated as volumes committed under contracts multiplied by the current applicable tariff rate.</w:t>
      </w:r>
    </w:p>
    <w:p>
      <w:pPr>
        <w:spacing w:after="0" w:line="216" w:lineRule="exact"/>
        <w:rPr>
          <w:sz w:val="20"/>
          <w:szCs w:val="20"/>
          <w:color w:val="auto"/>
        </w:rPr>
      </w:pPr>
    </w:p>
    <w:p>
      <w:pPr>
        <w:ind w:left="7" w:right="80" w:firstLine="706"/>
        <w:spacing w:after="0" w:line="303"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166" w:lineRule="exact"/>
        <w:rPr>
          <w:sz w:val="20"/>
          <w:szCs w:val="20"/>
          <w:color w:val="auto"/>
        </w:rPr>
      </w:pPr>
    </w:p>
    <w:p>
      <w:pPr>
        <w:ind w:left="887" w:hanging="182"/>
        <w:spacing w:after="0"/>
        <w:tabs>
          <w:tab w:leader="none" w:pos="887" w:val="left"/>
        </w:tabs>
        <w:numPr>
          <w:ilvl w:val="0"/>
          <w:numId w:val="80"/>
        </w:numPr>
        <w:rPr>
          <w:rFonts w:ascii="Arial" w:cs="Arial" w:eastAsia="Arial" w:hAnsi="Arial"/>
          <w:sz w:val="20"/>
          <w:szCs w:val="20"/>
          <w:color w:val="auto"/>
        </w:rPr>
      </w:pPr>
      <w:r>
        <w:rPr>
          <w:rFonts w:ascii="Arial" w:cs="Arial" w:eastAsia="Arial" w:hAnsi="Arial"/>
          <w:sz w:val="20"/>
          <w:szCs w:val="20"/>
          <w:color w:val="auto"/>
        </w:rPr>
        <w:t>Minimum volume commitments on certain of our joint venture pipeline systems;</w:t>
      </w:r>
    </w:p>
    <w:p>
      <w:pPr>
        <w:spacing w:after="0" w:line="122" w:lineRule="exact"/>
        <w:rPr>
          <w:rFonts w:ascii="Arial" w:cs="Arial" w:eastAsia="Arial" w:hAnsi="Arial"/>
          <w:sz w:val="20"/>
          <w:szCs w:val="20"/>
          <w:color w:val="auto"/>
        </w:rPr>
      </w:pPr>
    </w:p>
    <w:p>
      <w:pPr>
        <w:ind w:left="887" w:hanging="182"/>
        <w:spacing w:after="0"/>
        <w:tabs>
          <w:tab w:leader="none" w:pos="887" w:val="left"/>
        </w:tabs>
        <w:numPr>
          <w:ilvl w:val="0"/>
          <w:numId w:val="80"/>
        </w:numPr>
        <w:rPr>
          <w:rFonts w:ascii="Arial" w:cs="Arial" w:eastAsia="Arial" w:hAnsi="Arial"/>
          <w:sz w:val="20"/>
          <w:szCs w:val="20"/>
          <w:color w:val="auto"/>
        </w:rPr>
      </w:pPr>
      <w:r>
        <w:rPr>
          <w:rFonts w:ascii="Arial" w:cs="Arial" w:eastAsia="Arial" w:hAnsi="Arial"/>
          <w:sz w:val="20"/>
          <w:szCs w:val="20"/>
          <w:color w:val="auto"/>
        </w:rPr>
        <w:t>Acreage dedications;</w:t>
      </w:r>
    </w:p>
    <w:p>
      <w:pPr>
        <w:spacing w:after="0" w:line="122" w:lineRule="exact"/>
        <w:rPr>
          <w:rFonts w:ascii="Arial" w:cs="Arial" w:eastAsia="Arial" w:hAnsi="Arial"/>
          <w:sz w:val="20"/>
          <w:szCs w:val="20"/>
          <w:color w:val="auto"/>
        </w:rPr>
      </w:pPr>
    </w:p>
    <w:p>
      <w:pPr>
        <w:ind w:left="887" w:hanging="182"/>
        <w:spacing w:after="0"/>
        <w:tabs>
          <w:tab w:leader="none" w:pos="887" w:val="left"/>
        </w:tabs>
        <w:numPr>
          <w:ilvl w:val="0"/>
          <w:numId w:val="80"/>
        </w:numPr>
        <w:rPr>
          <w:rFonts w:ascii="Arial" w:cs="Arial" w:eastAsia="Arial" w:hAnsi="Arial"/>
          <w:sz w:val="20"/>
          <w:szCs w:val="20"/>
          <w:color w:val="auto"/>
        </w:rPr>
      </w:pPr>
      <w:r>
        <w:rPr>
          <w:rFonts w:ascii="Arial" w:cs="Arial" w:eastAsia="Arial" w:hAnsi="Arial"/>
          <w:sz w:val="20"/>
          <w:szCs w:val="20"/>
          <w:color w:val="auto"/>
        </w:rPr>
        <w:t>Buy/sell arrangements with future committed volumes;</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F-17</w:t>
      </w:r>
    </w:p>
    <w:p>
      <w:pPr>
        <w:sectPr>
          <w:pgSz w:w="11880" w:h="15480" w:orient="portrait"/>
          <w:cols w:equalWidth="0" w:num="1">
            <w:col w:w="10047"/>
          </w:cols>
          <w:pgMar w:left="913" w:top="337" w:right="920" w:bottom="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880" w:right="220" w:hanging="182"/>
        <w:spacing w:after="0" w:line="271" w:lineRule="auto"/>
        <w:tabs>
          <w:tab w:leader="none" w:pos="8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Short-term contracts and those with variable consideration due to the election of practical expedients, as discussed below;</w:t>
      </w:r>
    </w:p>
    <w:p>
      <w:pPr>
        <w:spacing w:after="0" w:line="66" w:lineRule="exact"/>
        <w:rPr>
          <w:rFonts w:ascii="Arial" w:cs="Arial" w:eastAsia="Arial" w:hAnsi="Arial"/>
          <w:sz w:val="20"/>
          <w:szCs w:val="20"/>
          <w:color w:val="auto"/>
        </w:rPr>
      </w:pPr>
    </w:p>
    <w:p>
      <w:pPr>
        <w:ind w:left="880" w:hanging="182"/>
        <w:spacing w:after="0"/>
        <w:tabs>
          <w:tab w:leader="none" w:pos="8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Contracts within the scope of ASC Topic 842, </w:t>
      </w:r>
      <w:r>
        <w:rPr>
          <w:rFonts w:ascii="Arial" w:cs="Arial" w:eastAsia="Arial" w:hAnsi="Arial"/>
          <w:sz w:val="20"/>
          <w:szCs w:val="20"/>
          <w:b w:val="1"/>
          <w:bCs w:val="1"/>
          <w:i w:val="1"/>
          <w:iCs w:val="1"/>
          <w:color w:val="auto"/>
        </w:rPr>
        <w:t>Leases</w:t>
      </w:r>
      <w:r>
        <w:rPr>
          <w:rFonts w:ascii="Arial" w:cs="Arial" w:eastAsia="Arial" w:hAnsi="Arial"/>
          <w:sz w:val="20"/>
          <w:szCs w:val="20"/>
          <w:color w:val="auto"/>
        </w:rPr>
        <w:t>; and</w:t>
      </w:r>
    </w:p>
    <w:p>
      <w:pPr>
        <w:spacing w:after="0" w:line="122" w:lineRule="exact"/>
        <w:rPr>
          <w:rFonts w:ascii="Arial" w:cs="Arial" w:eastAsia="Arial" w:hAnsi="Arial"/>
          <w:sz w:val="20"/>
          <w:szCs w:val="20"/>
          <w:color w:val="auto"/>
        </w:rPr>
      </w:pPr>
    </w:p>
    <w:p>
      <w:pPr>
        <w:ind w:left="880" w:hanging="182"/>
        <w:spacing w:after="0"/>
        <w:tabs>
          <w:tab w:leader="none" w:pos="8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Contracts within the scope of ASC Topic 815, </w:t>
      </w:r>
      <w:r>
        <w:rPr>
          <w:rFonts w:ascii="Arial" w:cs="Arial" w:eastAsia="Arial" w:hAnsi="Arial"/>
          <w:sz w:val="20"/>
          <w:szCs w:val="20"/>
          <w:b w:val="1"/>
          <w:bCs w:val="1"/>
          <w:i w:val="1"/>
          <w:iCs w:val="1"/>
          <w:color w:val="auto"/>
        </w:rPr>
        <w:t>Derivatives and Hedging</w:t>
      </w:r>
      <w:r>
        <w:rPr>
          <w:rFonts w:ascii="Arial" w:cs="Arial" w:eastAsia="Arial" w:hAnsi="Arial"/>
          <w:sz w:val="20"/>
          <w:szCs w:val="20"/>
          <w:color w:val="auto"/>
        </w:rPr>
        <w:t>.</w:t>
      </w:r>
    </w:p>
    <w:p>
      <w:pPr>
        <w:spacing w:after="0" w:line="242" w:lineRule="exact"/>
        <w:rPr>
          <w:sz w:val="20"/>
          <w:szCs w:val="20"/>
          <w:color w:val="auto"/>
        </w:rPr>
      </w:pPr>
    </w:p>
    <w:p>
      <w:pPr>
        <w:ind w:right="20" w:firstLine="706"/>
        <w:spacing w:after="0" w:line="264" w:lineRule="auto"/>
        <w:rPr>
          <w:sz w:val="20"/>
          <w:szCs w:val="20"/>
          <w:color w:val="auto"/>
        </w:rPr>
      </w:pPr>
      <w:r>
        <w:rPr>
          <w:rFonts w:ascii="Arial" w:cs="Arial" w:eastAsia="Arial" w:hAnsi="Arial"/>
          <w:sz w:val="19"/>
          <w:szCs w:val="19"/>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199" w:lineRule="exact"/>
        <w:rPr>
          <w:sz w:val="20"/>
          <w:szCs w:val="20"/>
          <w:color w:val="auto"/>
        </w:rPr>
      </w:pPr>
    </w:p>
    <w:p>
      <w:pPr>
        <w:jc w:val="both"/>
        <w:ind w:right="220" w:firstLine="706"/>
        <w:spacing w:after="0" w:line="254" w:lineRule="auto"/>
        <w:rPr>
          <w:sz w:val="20"/>
          <w:szCs w:val="20"/>
          <w:color w:val="auto"/>
        </w:rPr>
      </w:pPr>
      <w:r>
        <w:rPr>
          <w:rFonts w:ascii="Arial" w:cs="Arial" w:eastAsia="Arial" w:hAnsi="Arial"/>
          <w:sz w:val="20"/>
          <w:szCs w:val="20"/>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Trade Accounts Receivable and Other Receivables, Net</w:t>
      </w:r>
    </w:p>
    <w:p>
      <w:pPr>
        <w:spacing w:after="0" w:line="248" w:lineRule="exact"/>
        <w:rPr>
          <w:sz w:val="20"/>
          <w:szCs w:val="20"/>
          <w:color w:val="auto"/>
        </w:rPr>
      </w:pPr>
    </w:p>
    <w:p>
      <w:pPr>
        <w:ind w:firstLine="706"/>
        <w:spacing w:after="0" w:line="312"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160" w:lineRule="exact"/>
        <w:rPr>
          <w:sz w:val="20"/>
          <w:szCs w:val="20"/>
          <w:color w:val="auto"/>
        </w:rPr>
      </w:pPr>
    </w:p>
    <w:p>
      <w:pPr>
        <w:ind w:right="20" w:firstLine="706"/>
        <w:spacing w:after="0" w:line="264" w:lineRule="auto"/>
        <w:rPr>
          <w:sz w:val="20"/>
          <w:szCs w:val="20"/>
          <w:color w:val="auto"/>
        </w:rPr>
      </w:pPr>
      <w:r>
        <w:rPr>
          <w:rFonts w:ascii="Arial" w:cs="Arial" w:eastAsia="Arial" w:hAnsi="Arial"/>
          <w:sz w:val="19"/>
          <w:szCs w:val="19"/>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94" w:lineRule="exact"/>
        <w:rPr>
          <w:sz w:val="20"/>
          <w:szCs w:val="20"/>
          <w:color w:val="auto"/>
        </w:rPr>
      </w:pPr>
    </w:p>
    <w:p>
      <w:pPr>
        <w:ind w:right="40" w:firstLine="706"/>
        <w:spacing w:after="0" w:line="299"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2024 and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880" w:h="15480" w:orient="portrait"/>
          <w:cols w:equalWidth="0" w:num="1">
            <w:col w:w="10040"/>
          </w:cols>
          <w:pgMar w:left="920" w:top="337" w:right="920" w:bottom="0" w:gutter="0" w:footer="0" w:header="0"/>
          <w:type w:val="continuous"/>
        </w:sectPr>
      </w:pPr>
    </w:p>
    <w:bookmarkStart w:id="124" w:name="page125"/>
    <w:bookmarkEnd w:id="124"/>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07"/>
        <w:spacing w:after="0"/>
        <w:rPr>
          <w:sz w:val="20"/>
          <w:szCs w:val="20"/>
          <w:color w:val="auto"/>
        </w:rPr>
      </w:pPr>
      <w:r>
        <w:rPr>
          <w:rFonts w:ascii="Arial" w:cs="Arial" w:eastAsia="Arial" w:hAnsi="Arial"/>
          <w:sz w:val="17"/>
          <w:szCs w:val="17"/>
          <w:color w:val="auto"/>
        </w:rPr>
        <w:t>The following is a reconciliation of trade accounts receivable from revenues from contracts with customers to total</w:t>
      </w:r>
    </w:p>
    <w:p>
      <w:pPr>
        <w:spacing w:after="0" w:line="59" w:lineRule="exact"/>
        <w:rPr>
          <w:sz w:val="20"/>
          <w:szCs w:val="20"/>
          <w:color w:val="auto"/>
        </w:rPr>
      </w:pPr>
    </w:p>
    <w:p>
      <w:pPr>
        <w:ind w:left="7"/>
        <w:spacing w:after="0"/>
        <w:rPr>
          <w:sz w:val="20"/>
          <w:szCs w:val="20"/>
          <w:color w:val="auto"/>
        </w:rPr>
      </w:pPr>
      <w:r>
        <w:rPr>
          <w:rFonts w:ascii="Arial" w:cs="Arial" w:eastAsia="Arial" w:hAnsi="Arial"/>
          <w:sz w:val="19"/>
          <w:szCs w:val="19"/>
          <w:color w:val="auto"/>
        </w:rPr>
        <w:t>Trade accounts receivable and other receivables, net as presented on our Consolidated Balance Sheets (in millions):</w:t>
      </w:r>
    </w:p>
    <w:p>
      <w:pPr>
        <w:spacing w:after="0" w:line="320"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r>
      <w:tr>
        <w:trPr>
          <w:trHeight w:val="230"/>
        </w:trPr>
        <w:tc>
          <w:tcPr>
            <w:tcW w:w="34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86"/>
              <w:spacing w:after="0"/>
              <w:rPr>
                <w:sz w:val="20"/>
                <w:szCs w:val="20"/>
                <w:color w:val="auto"/>
              </w:rPr>
            </w:pPr>
            <w:r>
              <w:rPr>
                <w:rFonts w:ascii="Arial" w:cs="Arial" w:eastAsia="Arial" w:hAnsi="Arial"/>
                <w:sz w:val="16"/>
                <w:szCs w:val="16"/>
                <w:b w:val="1"/>
                <w:bCs w:val="1"/>
                <w:color w:val="auto"/>
              </w:rPr>
              <w:t>2023</w:t>
            </w:r>
          </w:p>
        </w:tc>
      </w:tr>
      <w:tr>
        <w:trPr>
          <w:trHeight w:val="270"/>
        </w:trPr>
        <w:tc>
          <w:tcPr>
            <w:tcW w:w="6620" w:type="dxa"/>
            <w:vAlign w:val="bottom"/>
            <w:gridSpan w:val="2"/>
          </w:tcPr>
          <w:p>
            <w:pPr>
              <w:ind w:left="80"/>
              <w:spacing w:after="0"/>
              <w:rPr>
                <w:sz w:val="20"/>
                <w:szCs w:val="20"/>
                <w:color w:val="auto"/>
              </w:rPr>
            </w:pPr>
            <w:r>
              <w:rPr>
                <w:rFonts w:ascii="Arial" w:cs="Arial" w:eastAsia="Arial" w:hAnsi="Arial"/>
                <w:sz w:val="20"/>
                <w:szCs w:val="20"/>
                <w:color w:val="auto"/>
                <w:w w:val="92"/>
              </w:rPr>
              <w:t>Trade accounts receivable arising from revenues from contracts with customers</w:t>
            </w:r>
          </w:p>
        </w:tc>
        <w:tc>
          <w:tcPr>
            <w:tcW w:w="1020" w:type="dxa"/>
            <w:vAlign w:val="bottom"/>
          </w:tcPr>
          <w:p>
            <w:pPr>
              <w:jc w:val="right"/>
              <w:ind w:right="789"/>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4,090</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3,999</w:t>
            </w:r>
          </w:p>
        </w:tc>
      </w:tr>
      <w:tr>
        <w:trPr>
          <w:trHeight w:val="333"/>
        </w:trPr>
        <w:tc>
          <w:tcPr>
            <w:tcW w:w="6620" w:type="dxa"/>
            <w:vAlign w:val="bottom"/>
            <w:gridSpan w:val="2"/>
          </w:tcPr>
          <w:p>
            <w:pPr>
              <w:ind w:left="80"/>
              <w:spacing w:after="0"/>
              <w:rPr>
                <w:sz w:val="20"/>
                <w:szCs w:val="20"/>
                <w:color w:val="auto"/>
              </w:rPr>
            </w:pPr>
            <w:r>
              <w:rPr>
                <w:rFonts w:ascii="Arial" w:cs="Arial" w:eastAsia="Arial" w:hAnsi="Arial"/>
                <w:sz w:val="20"/>
                <w:szCs w:val="20"/>
                <w:color w:val="auto"/>
              </w:rPr>
              <w:t xml:space="preserve">Other trade accounts receivables and other receivables </w:t>
            </w:r>
            <w:r>
              <w:rPr>
                <w:rFonts w:ascii="Arial" w:cs="Arial" w:eastAsia="Arial" w:hAnsi="Arial"/>
                <w:sz w:val="25"/>
                <w:szCs w:val="25"/>
                <w:color w:val="auto"/>
                <w:vertAlign w:val="superscript"/>
              </w:rPr>
              <w:t>(1)</w:t>
            </w:r>
          </w:p>
        </w:tc>
        <w:tc>
          <w:tcPr>
            <w:tcW w:w="10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7,413</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7,535</w:t>
            </w:r>
          </w:p>
        </w:tc>
      </w:tr>
      <w:tr>
        <w:trPr>
          <w:trHeight w:val="258"/>
        </w:trPr>
        <w:tc>
          <w:tcPr>
            <w:tcW w:w="6620" w:type="dxa"/>
            <w:vAlign w:val="bottom"/>
            <w:gridSpan w:val="2"/>
          </w:tcPr>
          <w:p>
            <w:pPr>
              <w:ind w:left="80"/>
              <w:spacing w:after="0"/>
              <w:rPr>
                <w:sz w:val="20"/>
                <w:szCs w:val="20"/>
                <w:color w:val="auto"/>
              </w:rPr>
            </w:pPr>
            <w:r>
              <w:rPr>
                <w:rFonts w:ascii="Arial" w:cs="Arial" w:eastAsia="Arial" w:hAnsi="Arial"/>
                <w:sz w:val="20"/>
                <w:szCs w:val="20"/>
                <w:color w:val="auto"/>
              </w:rPr>
              <w:t>Impact due to contractual rights of offset with counterparties</w:t>
            </w:r>
          </w:p>
        </w:tc>
        <w:tc>
          <w:tcPr>
            <w:tcW w:w="10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(7,602)</w:t>
            </w:r>
          </w:p>
        </w:tc>
        <w:tc>
          <w:tcPr>
            <w:tcW w:w="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(7,774)</w:t>
            </w:r>
          </w:p>
        </w:tc>
      </w:tr>
      <w:tr>
        <w:trPr>
          <w:trHeight w:val="254"/>
        </w:trPr>
        <w:tc>
          <w:tcPr>
            <w:tcW w:w="6620" w:type="dxa"/>
            <w:vAlign w:val="bottom"/>
            <w:gridSpan w:val="2"/>
          </w:tcPr>
          <w:p>
            <w:pPr>
              <w:ind w:left="220"/>
              <w:spacing w:after="0"/>
              <w:rPr>
                <w:sz w:val="20"/>
                <w:szCs w:val="20"/>
                <w:color w:val="auto"/>
              </w:rPr>
            </w:pPr>
            <w:r>
              <w:rPr>
                <w:rFonts w:ascii="Arial" w:cs="Arial" w:eastAsia="Arial" w:hAnsi="Arial"/>
                <w:sz w:val="20"/>
                <w:szCs w:val="20"/>
                <w:color w:val="auto"/>
              </w:rPr>
              <w:t>Trade accounts receivable and other receivables, net</w:t>
            </w:r>
          </w:p>
        </w:tc>
        <w:tc>
          <w:tcPr>
            <w:tcW w:w="1020" w:type="dxa"/>
            <w:vAlign w:val="bottom"/>
          </w:tcPr>
          <w:p>
            <w:pPr>
              <w:jc w:val="right"/>
              <w:ind w:right="789"/>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3,901</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3,760</w:t>
            </w:r>
          </w:p>
        </w:tc>
      </w:tr>
      <w:tr>
        <w:trPr>
          <w:trHeight w:val="20"/>
        </w:trPr>
        <w:tc>
          <w:tcPr>
            <w:tcW w:w="3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3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-874395</wp:posOffset>
            </wp:positionV>
            <wp:extent cx="6363335" cy="784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1">
                      <a:extLst>
                        <a:ext uri="{28A0092B-C50C-407E-A947-70E740481C1C}"/>
                      </a:extLst>
                    </a:blip>
                    <a:srcRect/>
                    <a:stretch>
                      <a:fillRect/>
                    </a:stretch>
                  </pic:blipFill>
                  <pic:spPr bwMode="auto">
                    <a:xfrm>
                      <a:off x="0" y="0"/>
                      <a:ext cx="6363335" cy="784860"/>
                    </a:xfrm>
                    <a:prstGeom prst="rect">
                      <a:avLst/>
                    </a:prstGeom>
                    <a:noFill/>
                  </pic:spPr>
                </pic:pic>
              </a:graphicData>
            </a:graphic>
          </wp:anchor>
        </w:drawing>
      </w:r>
    </w:p>
    <w:p>
      <w:pPr>
        <w:spacing w:after="0" w:line="66" w:lineRule="exact"/>
        <w:rPr>
          <w:sz w:val="20"/>
          <w:szCs w:val="20"/>
          <w:color w:val="auto"/>
        </w:rPr>
      </w:pPr>
    </w:p>
    <w:p>
      <w:pPr>
        <w:ind w:left="707" w:right="260" w:hanging="707"/>
        <w:spacing w:after="0" w:line="227" w:lineRule="auto"/>
        <w:tabs>
          <w:tab w:leader="none" w:pos="707" w:val="left"/>
        </w:tabs>
        <w:numPr>
          <w:ilvl w:val="0"/>
          <w:numId w:val="82"/>
        </w:numPr>
        <w:rPr>
          <w:rFonts w:ascii="Arial" w:cs="Arial" w:eastAsia="Arial" w:hAnsi="Arial"/>
          <w:sz w:val="25"/>
          <w:szCs w:val="25"/>
          <w:color w:val="auto"/>
          <w:vertAlign w:val="superscript"/>
        </w:rPr>
      </w:pPr>
      <w:r>
        <w:rPr>
          <w:rFonts w:ascii="Arial" w:cs="Arial" w:eastAsia="Arial" w:hAnsi="Arial"/>
          <w:sz w:val="20"/>
          <w:szCs w:val="20"/>
          <w:color w:val="auto"/>
        </w:rPr>
        <w:t>The balance is comprised primarily of accounts receivable associated with buy/sell arrangements that are not within the scope of ASC 606.</w:t>
      </w:r>
    </w:p>
    <w:p>
      <w:pPr>
        <w:spacing w:after="0" w:line="26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4—Net Income Per Class A Share</w:t>
      </w:r>
    </w:p>
    <w:p>
      <w:pPr>
        <w:spacing w:after="0" w:line="248" w:lineRule="exact"/>
        <w:rPr>
          <w:sz w:val="20"/>
          <w:szCs w:val="20"/>
          <w:color w:val="auto"/>
        </w:rPr>
      </w:pPr>
    </w:p>
    <w:p>
      <w:pPr>
        <w:ind w:left="7" w:right="20" w:firstLine="706"/>
        <w:spacing w:after="0" w:line="325" w:lineRule="auto"/>
        <w:rPr>
          <w:sz w:val="20"/>
          <w:szCs w:val="20"/>
          <w:color w:val="auto"/>
        </w:rPr>
      </w:pPr>
      <w:r>
        <w:rPr>
          <w:rFonts w:ascii="Arial" w:cs="Arial" w:eastAsia="Arial" w:hAnsi="Arial"/>
          <w:sz w:val="17"/>
          <w:szCs w:val="17"/>
          <w:color w:val="auto"/>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47" w:lineRule="exact"/>
        <w:rPr>
          <w:sz w:val="20"/>
          <w:szCs w:val="20"/>
          <w:color w:val="auto"/>
        </w:rPr>
      </w:pPr>
    </w:p>
    <w:p>
      <w:pPr>
        <w:ind w:left="7" w:right="40" w:firstLine="706"/>
        <w:spacing w:after="0" w:line="303" w:lineRule="auto"/>
        <w:rPr>
          <w:sz w:val="20"/>
          <w:szCs w:val="20"/>
          <w:color w:val="auto"/>
        </w:rPr>
      </w:pPr>
      <w:r>
        <w:rPr>
          <w:rFonts w:ascii="Arial" w:cs="Arial" w:eastAsia="Arial" w:hAnsi="Arial"/>
          <w:sz w:val="17"/>
          <w:szCs w:val="17"/>
          <w:color w:val="auto"/>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66" w:lineRule="exact"/>
        <w:rPr>
          <w:sz w:val="20"/>
          <w:szCs w:val="20"/>
          <w:color w:val="auto"/>
        </w:rPr>
      </w:pPr>
    </w:p>
    <w:p>
      <w:pPr>
        <w:ind w:left="7" w:firstLine="706"/>
        <w:spacing w:after="0" w:line="266" w:lineRule="auto"/>
        <w:rPr>
          <w:sz w:val="20"/>
          <w:szCs w:val="20"/>
          <w:color w:val="auto"/>
        </w:rPr>
      </w:pPr>
      <w:r>
        <w:rPr>
          <w:rFonts w:ascii="Arial" w:cs="Arial" w:eastAsia="Arial" w:hAnsi="Arial"/>
          <w:sz w:val="19"/>
          <w:szCs w:val="19"/>
          <w:color w:val="auto"/>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for information regarding exchanges of AAP units. PAGP LTIP awards that are deemed to be dilutive are reduced by a hypothetical share repurchase based on the remaining unamortized fair value, as prescribed by the treasury stock method in guidance issued by the FASB. See Note 17 for information regarding PAGP LTIP awards.</w:t>
      </w:r>
    </w:p>
    <w:p>
      <w:pPr>
        <w:spacing w:after="0" w:line="193" w:lineRule="exact"/>
        <w:rPr>
          <w:sz w:val="20"/>
          <w:szCs w:val="20"/>
          <w:color w:val="auto"/>
        </w:rPr>
      </w:pPr>
    </w:p>
    <w:p>
      <w:pPr>
        <w:ind w:left="7" w:right="280" w:firstLine="706"/>
        <w:spacing w:after="0" w:line="296" w:lineRule="auto"/>
        <w:rPr>
          <w:sz w:val="20"/>
          <w:szCs w:val="20"/>
          <w:color w:val="auto"/>
        </w:rPr>
      </w:pPr>
      <w:r>
        <w:rPr>
          <w:rFonts w:ascii="Arial" w:cs="Arial" w:eastAsia="Arial" w:hAnsi="Arial"/>
          <w:sz w:val="17"/>
          <w:szCs w:val="17"/>
          <w:color w:val="auto"/>
        </w:rPr>
        <w:t>On a weighted-average basis, for the years ended December 31, 2024, 2023 and 2022, the possible exchange of 35 million, 44 million and 47 million AAP units, respectively, would not have had a dilutive effect on basic net income per Class A share. For the years ended December 31, 2024, 2023 and 2022, our PAGP LTIP awards were dilutive; however, this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7"/>
          <w:szCs w:val="17"/>
          <w:color w:val="auto"/>
        </w:rPr>
        <w:t>did not change the presentation of diluted weighted average Class A shares outstanding or diluted net income per Class A share.</w:t>
      </w:r>
    </w:p>
    <w:p>
      <w:pPr>
        <w:spacing w:after="0" w:line="255" w:lineRule="exact"/>
        <w:rPr>
          <w:sz w:val="20"/>
          <w:szCs w:val="20"/>
          <w:color w:val="auto"/>
        </w:rPr>
      </w:pPr>
    </w:p>
    <w:p>
      <w:pPr>
        <w:ind w:left="7" w:right="220" w:firstLine="706"/>
        <w:spacing w:after="0" w:line="271" w:lineRule="auto"/>
        <w:rPr>
          <w:sz w:val="20"/>
          <w:szCs w:val="20"/>
          <w:color w:val="auto"/>
        </w:rPr>
      </w:pPr>
      <w:r>
        <w:rPr>
          <w:rFonts w:ascii="Arial" w:cs="Arial" w:eastAsia="Arial" w:hAnsi="Arial"/>
          <w:sz w:val="20"/>
          <w:szCs w:val="20"/>
          <w:color w:val="auto"/>
        </w:rPr>
        <w:t>The following table sets forth the computation of basic and diluted net income per Class A share (in millions, except per share data):</w:t>
      </w:r>
    </w:p>
    <w:p>
      <w:pPr>
        <w:spacing w:after="0" w:line="274" w:lineRule="exact"/>
        <w:rPr>
          <w:sz w:val="20"/>
          <w:szCs w:val="20"/>
          <w:color w:val="auto"/>
        </w:rPr>
      </w:pPr>
    </w:p>
    <w:tbl>
      <w:tblPr>
        <w:tblLayout w:type="fixed"/>
        <w:tblInd w:w="67"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r>
      <w:tr>
        <w:trPr>
          <w:trHeight w:val="230"/>
        </w:trPr>
        <w:tc>
          <w:tcPr>
            <w:tcW w:w="6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w w:val="89"/>
              </w:rPr>
              <w:t>2022</w:t>
            </w:r>
          </w:p>
        </w:tc>
      </w:tr>
      <w:tr>
        <w:trPr>
          <w:trHeight w:val="254"/>
        </w:trPr>
        <w:tc>
          <w:tcPr>
            <w:tcW w:w="6720" w:type="dxa"/>
            <w:vAlign w:val="bottom"/>
          </w:tcPr>
          <w:p>
            <w:pPr>
              <w:spacing w:after="0"/>
              <w:rPr>
                <w:sz w:val="20"/>
                <w:szCs w:val="20"/>
                <w:color w:val="auto"/>
              </w:rPr>
            </w:pPr>
            <w:r>
              <w:rPr>
                <w:rFonts w:ascii="Arial" w:cs="Arial" w:eastAsia="Arial" w:hAnsi="Arial"/>
                <w:sz w:val="20"/>
                <w:szCs w:val="20"/>
                <w:b w:val="1"/>
                <w:bCs w:val="1"/>
                <w:color w:val="auto"/>
              </w:rPr>
              <w:t>Basic and Diluted Net Income per Class A Share</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96"/>
        </w:trPr>
        <w:tc>
          <w:tcPr>
            <w:tcW w:w="6720" w:type="dxa"/>
            <w:vAlign w:val="bottom"/>
          </w:tcPr>
          <w:p>
            <w:pPr>
              <w:ind w:left="140"/>
              <w:spacing w:after="0"/>
              <w:rPr>
                <w:sz w:val="20"/>
                <w:szCs w:val="20"/>
                <w:color w:val="auto"/>
              </w:rPr>
            </w:pPr>
            <w:r>
              <w:rPr>
                <w:rFonts w:ascii="Arial" w:cs="Arial" w:eastAsia="Arial" w:hAnsi="Arial"/>
                <w:sz w:val="20"/>
                <w:szCs w:val="20"/>
                <w:color w:val="auto"/>
              </w:rPr>
              <w:t>Net income attributable to PAGP</w:t>
            </w: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103</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198</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168</w:t>
            </w:r>
          </w:p>
        </w:tc>
      </w:tr>
      <w:tr>
        <w:trPr>
          <w:trHeight w:val="294"/>
        </w:trPr>
        <w:tc>
          <w:tcPr>
            <w:tcW w:w="6720" w:type="dxa"/>
            <w:vAlign w:val="bottom"/>
          </w:tcPr>
          <w:p>
            <w:pPr>
              <w:ind w:left="140"/>
              <w:spacing w:after="0"/>
              <w:rPr>
                <w:sz w:val="20"/>
                <w:szCs w:val="20"/>
                <w:color w:val="auto"/>
              </w:rPr>
            </w:pPr>
            <w:r>
              <w:rPr>
                <w:rFonts w:ascii="Arial" w:cs="Arial" w:eastAsia="Arial" w:hAnsi="Arial"/>
                <w:sz w:val="20"/>
                <w:szCs w:val="20"/>
                <w:color w:val="auto"/>
              </w:rPr>
              <w:t>Basic and diluted weighted average Class A shares outstanding</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195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194</w:t>
            </w:r>
          </w:p>
        </w:tc>
      </w:tr>
      <w:tr>
        <w:trPr>
          <w:trHeight w:val="513"/>
        </w:trPr>
        <w:tc>
          <w:tcPr>
            <w:tcW w:w="6720" w:type="dxa"/>
            <w:vAlign w:val="bottom"/>
          </w:tcPr>
          <w:p>
            <w:pPr>
              <w:ind w:left="140"/>
              <w:spacing w:after="0"/>
              <w:rPr>
                <w:sz w:val="20"/>
                <w:szCs w:val="20"/>
                <w:color w:val="auto"/>
              </w:rPr>
            </w:pPr>
            <w:r>
              <w:rPr>
                <w:rFonts w:ascii="Arial" w:cs="Arial" w:eastAsia="Arial" w:hAnsi="Arial"/>
                <w:sz w:val="20"/>
                <w:szCs w:val="20"/>
                <w:color w:val="auto"/>
              </w:rPr>
              <w:t>Basic and diluted net income per Class A share</w:t>
            </w: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0.52</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1.01</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0.86</w:t>
            </w:r>
          </w:p>
        </w:tc>
      </w:tr>
      <w:tr>
        <w:trPr>
          <w:trHeight w:val="20"/>
        </w:trPr>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-917575</wp:posOffset>
            </wp:positionV>
            <wp:extent cx="6391275" cy="924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2">
                      <a:extLst>
                        <a:ext uri="{28A0092B-C50C-407E-A947-70E740481C1C}"/>
                      </a:extLst>
                    </a:blip>
                    <a:srcRect/>
                    <a:stretch>
                      <a:fillRect/>
                    </a:stretch>
                  </pic:blipFill>
                  <pic:spPr bwMode="auto">
                    <a:xfrm>
                      <a:off x="0" y="0"/>
                      <a:ext cx="6391275" cy="924560"/>
                    </a:xfrm>
                    <a:prstGeom prst="rect">
                      <a:avLst/>
                    </a:prstGeom>
                    <a:noFill/>
                  </pic:spPr>
                </pic:pic>
              </a:graphicData>
            </a:graphic>
          </wp:anchor>
        </w:drawing>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F-19</w:t>
      </w:r>
    </w:p>
    <w:p>
      <w:pPr>
        <w:sectPr>
          <w:pgSz w:w="11880" w:h="15480" w:orient="portrait"/>
          <w:cols w:equalWidth="0" w:num="1">
            <w:col w:w="10047"/>
          </w:cols>
          <w:pgMar w:left="913" w:top="337" w:right="920" w:bottom="0" w:gutter="0" w:footer="0" w:header="0"/>
          <w:type w:val="continuous"/>
        </w:sectPr>
      </w:pPr>
    </w:p>
    <w:bookmarkStart w:id="125" w:name="page126"/>
    <w:bookmarkEnd w:id="125"/>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5—Inventory, Linefill and Long-term Inventory</w:t>
      </w:r>
    </w:p>
    <w:p>
      <w:pPr>
        <w:spacing w:after="0" w:line="248" w:lineRule="exact"/>
        <w:rPr>
          <w:sz w:val="20"/>
          <w:szCs w:val="20"/>
          <w:color w:val="auto"/>
        </w:rPr>
      </w:pPr>
    </w:p>
    <w:p>
      <w:pPr>
        <w:ind w:left="7" w:firstLine="706"/>
        <w:spacing w:after="0" w:line="266" w:lineRule="auto"/>
        <w:rPr>
          <w:sz w:val="20"/>
          <w:szCs w:val="20"/>
          <w:color w:val="auto"/>
        </w:rPr>
      </w:pPr>
      <w:r>
        <w:rPr>
          <w:rFonts w:ascii="Arial" w:cs="Arial" w:eastAsia="Arial" w:hAnsi="Arial"/>
          <w:sz w:val="19"/>
          <w:szCs w:val="19"/>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2024, 2023 or 2022.</w:t>
      </w:r>
    </w:p>
    <w:p>
      <w:pPr>
        <w:spacing w:after="0" w:line="193" w:lineRule="exact"/>
        <w:rPr>
          <w:sz w:val="20"/>
          <w:szCs w:val="20"/>
          <w:color w:val="auto"/>
        </w:rPr>
      </w:pPr>
    </w:p>
    <w:p>
      <w:pPr>
        <w:ind w:left="7" w:right="20" w:firstLine="706"/>
        <w:spacing w:after="0" w:line="300" w:lineRule="auto"/>
        <w:rPr>
          <w:sz w:val="20"/>
          <w:szCs w:val="20"/>
          <w:color w:val="auto"/>
        </w:rPr>
      </w:pPr>
      <w:r>
        <w:rPr>
          <w:rFonts w:ascii="Arial" w:cs="Arial" w:eastAsia="Arial" w:hAnsi="Arial"/>
          <w:sz w:val="17"/>
          <w:szCs w:val="17"/>
          <w:color w:val="auto"/>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2024, 2023 and 2022, we did not recognize any material impairments of linefill.</w:t>
      </w:r>
    </w:p>
    <w:p>
      <w:pPr>
        <w:spacing w:after="0" w:line="171" w:lineRule="exact"/>
        <w:rPr>
          <w:sz w:val="20"/>
          <w:szCs w:val="20"/>
          <w:color w:val="auto"/>
        </w:rPr>
      </w:pPr>
    </w:p>
    <w:p>
      <w:pPr>
        <w:ind w:left="7" w:right="80" w:firstLine="706"/>
        <w:spacing w:after="0" w:line="306" w:lineRule="auto"/>
        <w:rPr>
          <w:sz w:val="20"/>
          <w:szCs w:val="20"/>
          <w:color w:val="auto"/>
        </w:rPr>
      </w:pPr>
      <w:r>
        <w:rPr>
          <w:rFonts w:ascii="Arial" w:cs="Arial" w:eastAsia="Arial" w:hAnsi="Arial"/>
          <w:sz w:val="17"/>
          <w:szCs w:val="17"/>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165" w:lineRule="exact"/>
        <w:rPr>
          <w:sz w:val="20"/>
          <w:szCs w:val="20"/>
          <w:color w:val="auto"/>
        </w:rPr>
      </w:pPr>
    </w:p>
    <w:p>
      <w:pPr>
        <w:ind w:left="7" w:right="540" w:firstLine="706"/>
        <w:spacing w:after="0" w:line="271" w:lineRule="auto"/>
        <w:rPr>
          <w:sz w:val="20"/>
          <w:szCs w:val="20"/>
          <w:color w:val="auto"/>
        </w:rPr>
      </w:pPr>
      <w:r>
        <w:rPr>
          <w:rFonts w:ascii="Arial" w:cs="Arial" w:eastAsia="Arial" w:hAnsi="Arial"/>
          <w:sz w:val="20"/>
          <w:szCs w:val="20"/>
          <w:color w:val="auto"/>
        </w:rPr>
        <w:t>Inventory, linefill and long-term inventory consisted of the following (barrels in thousands and carrying value in millions):</w:t>
      </w:r>
    </w:p>
    <w:p>
      <w:pPr>
        <w:spacing w:after="0" w:line="274"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6"/>
                <w:szCs w:val="16"/>
                <w:b w:val="1"/>
                <w:bCs w:val="1"/>
                <w:color w:val="auto"/>
              </w:rPr>
              <w:t>December 31, 2023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line="182" w:lineRule="exact"/>
              <w:rPr>
                <w:sz w:val="20"/>
                <w:szCs w:val="20"/>
                <w:color w:val="auto"/>
              </w:rPr>
            </w:pPr>
            <w:r>
              <w:rPr>
                <w:rFonts w:ascii="Arial" w:cs="Arial" w:eastAsia="Arial" w:hAnsi="Arial"/>
                <w:sz w:val="16"/>
                <w:szCs w:val="16"/>
                <w:b w:val="1"/>
                <w:bCs w:val="1"/>
                <w:color w:val="auto"/>
              </w:rPr>
              <w:t>Unit of</w:t>
            </w:r>
          </w:p>
        </w:tc>
        <w:tc>
          <w:tcPr>
            <w:tcW w:w="60" w:type="dxa"/>
            <w:vAlign w:val="bottom"/>
          </w:tcPr>
          <w:p>
            <w:pPr>
              <w:spacing w:after="0"/>
              <w:rPr>
                <w:sz w:val="15"/>
                <w:szCs w:val="15"/>
                <w:color w:val="auto"/>
              </w:rPr>
            </w:pPr>
          </w:p>
        </w:tc>
        <w:tc>
          <w:tcPr>
            <w:tcW w:w="840" w:type="dxa"/>
            <w:vAlign w:val="bottom"/>
            <w:gridSpan w:val="2"/>
          </w:tcPr>
          <w:p>
            <w:pPr>
              <w:jc w:val="right"/>
              <w:ind w:right="4"/>
              <w:spacing w:after="0" w:line="182"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1"/>
              </w:rPr>
              <w:t>Price/</w:t>
            </w:r>
          </w:p>
        </w:tc>
        <w:tc>
          <w:tcPr>
            <w:tcW w:w="60" w:type="dxa"/>
            <w:vAlign w:val="bottom"/>
          </w:tcPr>
          <w:p>
            <w:pPr>
              <w:spacing w:after="0"/>
              <w:rPr>
                <w:sz w:val="15"/>
                <w:szCs w:val="15"/>
                <w:color w:val="auto"/>
              </w:rPr>
            </w:pPr>
          </w:p>
        </w:tc>
        <w:tc>
          <w:tcPr>
            <w:tcW w:w="84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rPr>
              <w:t>Volumes</w:t>
            </w:r>
          </w:p>
        </w:tc>
        <w:tc>
          <w:tcPr>
            <w:tcW w:w="80" w:type="dxa"/>
            <w:vAlign w:val="bottom"/>
          </w:tcPr>
          <w:p>
            <w:pPr>
              <w:spacing w:after="0"/>
              <w:rPr>
                <w:sz w:val="15"/>
                <w:szCs w:val="15"/>
                <w:color w:val="auto"/>
              </w:rPr>
            </w:pPr>
          </w:p>
        </w:tc>
        <w:tc>
          <w:tcPr>
            <w:tcW w:w="840" w:type="dxa"/>
            <w:vAlign w:val="bottom"/>
          </w:tcPr>
          <w:p>
            <w:pPr>
              <w:ind w:left="180"/>
              <w:spacing w:after="0" w:line="182" w:lineRule="exact"/>
              <w:rPr>
                <w:sz w:val="20"/>
                <w:szCs w:val="20"/>
                <w:color w:val="auto"/>
              </w:rPr>
            </w:pPr>
            <w:r>
              <w:rPr>
                <w:rFonts w:ascii="Arial" w:cs="Arial" w:eastAsia="Arial" w:hAnsi="Arial"/>
                <w:sz w:val="16"/>
                <w:szCs w:val="16"/>
                <w:b w:val="1"/>
                <w:bCs w:val="1"/>
                <w:color w:val="auto"/>
              </w:rPr>
              <w:t>Unit of</w:t>
            </w:r>
          </w:p>
        </w:tc>
        <w:tc>
          <w:tcPr>
            <w:tcW w:w="60" w:type="dxa"/>
            <w:vAlign w:val="bottom"/>
          </w:tcPr>
          <w:p>
            <w:pPr>
              <w:spacing w:after="0"/>
              <w:rPr>
                <w:sz w:val="15"/>
                <w:szCs w:val="15"/>
                <w:color w:val="auto"/>
              </w:rPr>
            </w:pPr>
          </w:p>
        </w:tc>
        <w:tc>
          <w:tcPr>
            <w:tcW w:w="840" w:type="dxa"/>
            <w:vAlign w:val="bottom"/>
            <w:gridSpan w:val="2"/>
          </w:tcPr>
          <w:p>
            <w:pPr>
              <w:jc w:val="right"/>
              <w:ind w:right="4"/>
              <w:spacing w:after="0" w:line="182"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26"/>
              <w:spacing w:after="0" w:line="182" w:lineRule="exact"/>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Measure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24"/>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84"/>
              </w:rPr>
              <w:t xml:space="preserve">Unit </w:t>
            </w:r>
            <w:r>
              <w:rPr>
                <w:rFonts w:ascii="Arial" w:cs="Arial" w:eastAsia="Arial" w:hAnsi="Arial"/>
                <w:sz w:val="20"/>
                <w:szCs w:val="20"/>
                <w:b w:val="1"/>
                <w:bCs w:val="1"/>
                <w:color w:val="auto"/>
                <w:w w:val="84"/>
                <w:vertAlign w:val="superscript"/>
              </w:rPr>
              <w:t>(1)</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Measure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24"/>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6"/>
              <w:spacing w:after="0" w:line="210" w:lineRule="exact"/>
              <w:rPr>
                <w:sz w:val="20"/>
                <w:szCs w:val="20"/>
                <w:color w:val="auto"/>
              </w:rPr>
            </w:pPr>
            <w:r>
              <w:rPr>
                <w:rFonts w:ascii="Arial" w:cs="Arial" w:eastAsia="Arial" w:hAnsi="Arial"/>
                <w:sz w:val="16"/>
                <w:szCs w:val="16"/>
                <w:b w:val="1"/>
                <w:bCs w:val="1"/>
                <w:color w:val="auto"/>
                <w:w w:val="88"/>
              </w:rPr>
              <w:t xml:space="preserve">Unit </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56"/>
        </w:trPr>
        <w:tc>
          <w:tcPr>
            <w:tcW w:w="2700" w:type="dxa"/>
            <w:vAlign w:val="bottom"/>
          </w:tcPr>
          <w:p>
            <w:pPr>
              <w:ind w:left="100"/>
              <w:spacing w:after="0"/>
              <w:rPr>
                <w:sz w:val="20"/>
                <w:szCs w:val="20"/>
                <w:color w:val="auto"/>
              </w:rPr>
            </w:pPr>
            <w:r>
              <w:rPr>
                <w:rFonts w:ascii="Arial" w:cs="Arial" w:eastAsia="Arial" w:hAnsi="Arial"/>
                <w:sz w:val="20"/>
                <w:szCs w:val="20"/>
                <w:b w:val="1"/>
                <w:bCs w:val="1"/>
                <w:color w:val="auto"/>
              </w:rPr>
              <w:t>Inventory</w:t>
            </w:r>
          </w:p>
        </w:tc>
        <w:tc>
          <w:tcPr>
            <w:tcW w:w="5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700" w:type="dxa"/>
            <w:vAlign w:val="bottom"/>
          </w:tcPr>
          <w:p>
            <w:pPr>
              <w:ind w:left="100"/>
              <w:spacing w:after="0"/>
              <w:rPr>
                <w:sz w:val="20"/>
                <w:szCs w:val="20"/>
                <w:color w:val="auto"/>
              </w:rPr>
            </w:pPr>
            <w:r>
              <w:rPr>
                <w:rFonts w:ascii="Arial" w:cs="Arial" w:eastAsia="Arial" w:hAnsi="Arial"/>
                <w:sz w:val="20"/>
                <w:szCs w:val="20"/>
                <w:color w:val="auto"/>
              </w:rPr>
              <w:t>Crude oil</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3,911</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259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66.22</w:t>
            </w:r>
          </w:p>
        </w:tc>
        <w:tc>
          <w:tcPr>
            <w:tcW w:w="80" w:type="dxa"/>
            <w:vAlign w:val="bottom"/>
            <w:tcBorders>
              <w:right w:val="single" w:sz="8" w:color="auto"/>
            </w:tcBorders>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5,877</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383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65.17</w:t>
            </w:r>
          </w:p>
        </w:tc>
        <w:tc>
          <w:tcPr>
            <w:tcW w:w="0" w:type="dxa"/>
            <w:vAlign w:val="bottom"/>
          </w:tcPr>
          <w:p>
            <w:pPr>
              <w:spacing w:after="0"/>
              <w:rPr>
                <w:sz w:val="1"/>
                <w:szCs w:val="1"/>
                <w:color w:val="auto"/>
              </w:rPr>
            </w:pPr>
          </w:p>
        </w:tc>
      </w:tr>
      <w:tr>
        <w:trPr>
          <w:trHeight w:val="294"/>
        </w:trPr>
        <w:tc>
          <w:tcPr>
            <w:tcW w:w="2700" w:type="dxa"/>
            <w:vAlign w:val="bottom"/>
          </w:tcPr>
          <w:p>
            <w:pPr>
              <w:ind w:left="100"/>
              <w:spacing w:after="0"/>
              <w:rPr>
                <w:sz w:val="20"/>
                <w:szCs w:val="20"/>
                <w:color w:val="auto"/>
              </w:rPr>
            </w:pPr>
            <w:r>
              <w:rPr>
                <w:rFonts w:ascii="Arial" w:cs="Arial" w:eastAsia="Arial" w:hAnsi="Arial"/>
                <w:sz w:val="20"/>
                <w:szCs w:val="20"/>
                <w:color w:val="auto"/>
              </w:rPr>
              <w:t>NGL</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6,985</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166</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23.77</w:t>
            </w:r>
          </w:p>
        </w:tc>
        <w:tc>
          <w:tcPr>
            <w:tcW w:w="80" w:type="dxa"/>
            <w:vAlign w:val="bottom"/>
            <w:tcBorders>
              <w:right w:val="single" w:sz="8" w:color="auto"/>
            </w:tcBorders>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5,957</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154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25.85</w:t>
            </w:r>
          </w:p>
        </w:tc>
        <w:tc>
          <w:tcPr>
            <w:tcW w:w="0" w:type="dxa"/>
            <w:vAlign w:val="bottom"/>
          </w:tcPr>
          <w:p>
            <w:pPr>
              <w:spacing w:after="0"/>
              <w:rPr>
                <w:sz w:val="1"/>
                <w:szCs w:val="1"/>
                <w:color w:val="auto"/>
              </w:rPr>
            </w:pPr>
          </w:p>
        </w:tc>
      </w:tr>
      <w:tr>
        <w:trPr>
          <w:trHeight w:val="298"/>
        </w:trPr>
        <w:tc>
          <w:tcPr>
            <w:tcW w:w="2700" w:type="dxa"/>
            <w:vAlign w:val="bottom"/>
          </w:tcPr>
          <w:p>
            <w:pPr>
              <w:ind w:left="100"/>
              <w:spacing w:after="0"/>
              <w:rPr>
                <w:sz w:val="20"/>
                <w:szCs w:val="20"/>
                <w:color w:val="auto"/>
              </w:rPr>
            </w:pPr>
            <w:r>
              <w:rPr>
                <w:rFonts w:ascii="Arial" w:cs="Arial" w:eastAsia="Arial" w:hAnsi="Arial"/>
                <w:sz w:val="20"/>
                <w:szCs w:val="20"/>
                <w:color w:val="auto"/>
              </w:rPr>
              <w:t>Other</w:t>
            </w: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N/A</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right w:val="single" w:sz="8" w:color="auto"/>
            </w:tcBorders>
            <w:gridSpan w:val="2"/>
          </w:tcPr>
          <w:p>
            <w:pPr>
              <w:ind w:left="320"/>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N/A</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74"/>
        </w:trPr>
        <w:tc>
          <w:tcPr>
            <w:tcW w:w="2700" w:type="dxa"/>
            <w:vAlign w:val="bottom"/>
          </w:tcPr>
          <w:p>
            <w:pPr>
              <w:ind w:left="220"/>
              <w:spacing w:after="0"/>
              <w:rPr>
                <w:sz w:val="20"/>
                <w:szCs w:val="20"/>
                <w:color w:val="auto"/>
              </w:rPr>
            </w:pPr>
            <w:r>
              <w:rPr>
                <w:rFonts w:ascii="Arial" w:cs="Arial" w:eastAsia="Arial" w:hAnsi="Arial"/>
                <w:sz w:val="20"/>
                <w:szCs w:val="20"/>
                <w:color w:val="auto"/>
              </w:rPr>
              <w:t>Inventory subtotal</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6"/>
        </w:trPr>
        <w:tc>
          <w:tcPr>
            <w:tcW w:w="2700" w:type="dxa"/>
            <w:vAlign w:val="bottom"/>
          </w:tcPr>
          <w:p>
            <w:pPr>
              <w:ind w:left="100"/>
              <w:spacing w:after="0"/>
              <w:rPr>
                <w:sz w:val="20"/>
                <w:szCs w:val="20"/>
                <w:color w:val="auto"/>
              </w:rPr>
            </w:pPr>
            <w:r>
              <w:rPr>
                <w:rFonts w:ascii="Arial" w:cs="Arial" w:eastAsia="Arial" w:hAnsi="Arial"/>
                <w:sz w:val="20"/>
                <w:szCs w:val="20"/>
                <w:b w:val="1"/>
                <w:bCs w:val="1"/>
                <w:color w:val="auto"/>
              </w:rPr>
              <w:t>Linefill</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700" w:type="dxa"/>
            <w:vAlign w:val="bottom"/>
          </w:tcPr>
          <w:p>
            <w:pPr>
              <w:ind w:left="100"/>
              <w:spacing w:after="0"/>
              <w:rPr>
                <w:sz w:val="20"/>
                <w:szCs w:val="20"/>
                <w:color w:val="auto"/>
              </w:rPr>
            </w:pPr>
            <w:r>
              <w:rPr>
                <w:rFonts w:ascii="Arial" w:cs="Arial" w:eastAsia="Arial" w:hAnsi="Arial"/>
                <w:sz w:val="20"/>
                <w:szCs w:val="20"/>
                <w:color w:val="auto"/>
              </w:rPr>
              <w:t>Crude oil</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15,521</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906</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58.37</w:t>
            </w:r>
          </w:p>
        </w:tc>
        <w:tc>
          <w:tcPr>
            <w:tcW w:w="80" w:type="dxa"/>
            <w:vAlign w:val="bottom"/>
            <w:tcBorders>
              <w:right w:val="single" w:sz="8" w:color="auto"/>
            </w:tcBorders>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15,409</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909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58.99</w:t>
            </w:r>
          </w:p>
        </w:tc>
        <w:tc>
          <w:tcPr>
            <w:tcW w:w="0" w:type="dxa"/>
            <w:vAlign w:val="bottom"/>
          </w:tcPr>
          <w:p>
            <w:pPr>
              <w:spacing w:after="0"/>
              <w:rPr>
                <w:sz w:val="1"/>
                <w:szCs w:val="1"/>
                <w:color w:val="auto"/>
              </w:rPr>
            </w:pPr>
          </w:p>
        </w:tc>
      </w:tr>
      <w:tr>
        <w:trPr>
          <w:trHeight w:val="298"/>
        </w:trPr>
        <w:tc>
          <w:tcPr>
            <w:tcW w:w="2700" w:type="dxa"/>
            <w:vAlign w:val="bottom"/>
          </w:tcPr>
          <w:p>
            <w:pPr>
              <w:ind w:left="100"/>
              <w:spacing w:after="0"/>
              <w:rPr>
                <w:sz w:val="20"/>
                <w:szCs w:val="20"/>
                <w:color w:val="auto"/>
              </w:rPr>
            </w:pPr>
            <w:r>
              <w:rPr>
                <w:rFonts w:ascii="Arial" w:cs="Arial" w:eastAsia="Arial" w:hAnsi="Arial"/>
                <w:sz w:val="20"/>
                <w:szCs w:val="20"/>
                <w:color w:val="auto"/>
              </w:rPr>
              <w:t>NGL</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2,259</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27.45</w:t>
            </w:r>
          </w:p>
        </w:tc>
        <w:tc>
          <w:tcPr>
            <w:tcW w:w="80" w:type="dxa"/>
            <w:vAlign w:val="bottom"/>
            <w:tcBorders>
              <w:right w:val="single" w:sz="8" w:color="auto"/>
            </w:tcBorders>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2,168</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30.90</w:t>
            </w:r>
          </w:p>
        </w:tc>
        <w:tc>
          <w:tcPr>
            <w:tcW w:w="0" w:type="dxa"/>
            <w:vAlign w:val="bottom"/>
          </w:tcPr>
          <w:p>
            <w:pPr>
              <w:spacing w:after="0"/>
              <w:rPr>
                <w:sz w:val="1"/>
                <w:szCs w:val="1"/>
                <w:color w:val="auto"/>
              </w:rPr>
            </w:pPr>
          </w:p>
        </w:tc>
      </w:tr>
      <w:tr>
        <w:trPr>
          <w:trHeight w:val="274"/>
        </w:trPr>
        <w:tc>
          <w:tcPr>
            <w:tcW w:w="2700" w:type="dxa"/>
            <w:vAlign w:val="bottom"/>
          </w:tcPr>
          <w:p>
            <w:pPr>
              <w:ind w:left="220"/>
              <w:spacing w:after="0"/>
              <w:rPr>
                <w:sz w:val="20"/>
                <w:szCs w:val="20"/>
                <w:color w:val="auto"/>
              </w:rPr>
            </w:pPr>
            <w:r>
              <w:rPr>
                <w:rFonts w:ascii="Arial" w:cs="Arial" w:eastAsia="Arial" w:hAnsi="Arial"/>
                <w:sz w:val="20"/>
                <w:szCs w:val="20"/>
                <w:color w:val="auto"/>
              </w:rPr>
              <w:t>Linefill subtotal</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6"/>
        </w:trPr>
        <w:tc>
          <w:tcPr>
            <w:tcW w:w="2700" w:type="dxa"/>
            <w:vAlign w:val="bottom"/>
          </w:tcPr>
          <w:p>
            <w:pPr>
              <w:ind w:left="100"/>
              <w:spacing w:after="0"/>
              <w:rPr>
                <w:sz w:val="20"/>
                <w:szCs w:val="20"/>
                <w:color w:val="auto"/>
              </w:rPr>
            </w:pPr>
            <w:r>
              <w:rPr>
                <w:rFonts w:ascii="Arial" w:cs="Arial" w:eastAsia="Arial" w:hAnsi="Arial"/>
                <w:sz w:val="20"/>
                <w:szCs w:val="20"/>
                <w:b w:val="1"/>
                <w:bCs w:val="1"/>
                <w:color w:val="auto"/>
              </w:rPr>
              <w:t>Long-term inventory</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700" w:type="dxa"/>
            <w:vAlign w:val="bottom"/>
          </w:tcPr>
          <w:p>
            <w:pPr>
              <w:ind w:left="100"/>
              <w:spacing w:after="0"/>
              <w:rPr>
                <w:sz w:val="20"/>
                <w:szCs w:val="20"/>
                <w:color w:val="auto"/>
              </w:rPr>
            </w:pPr>
            <w:r>
              <w:rPr>
                <w:rFonts w:ascii="Arial" w:cs="Arial" w:eastAsia="Arial" w:hAnsi="Arial"/>
                <w:sz w:val="20"/>
                <w:szCs w:val="20"/>
                <w:color w:val="auto"/>
              </w:rPr>
              <w:t>Crude oil</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3,424</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239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69.80</w:t>
            </w:r>
          </w:p>
        </w:tc>
        <w:tc>
          <w:tcPr>
            <w:tcW w:w="80" w:type="dxa"/>
            <w:vAlign w:val="bottom"/>
            <w:tcBorders>
              <w:right w:val="single" w:sz="8" w:color="auto"/>
            </w:tcBorders>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3,256</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232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71.25</w:t>
            </w:r>
          </w:p>
        </w:tc>
        <w:tc>
          <w:tcPr>
            <w:tcW w:w="0" w:type="dxa"/>
            <w:vAlign w:val="bottom"/>
          </w:tcPr>
          <w:p>
            <w:pPr>
              <w:spacing w:after="0"/>
              <w:rPr>
                <w:sz w:val="1"/>
                <w:szCs w:val="1"/>
                <w:color w:val="auto"/>
              </w:rPr>
            </w:pPr>
          </w:p>
        </w:tc>
      </w:tr>
      <w:tr>
        <w:trPr>
          <w:trHeight w:val="298"/>
        </w:trPr>
        <w:tc>
          <w:tcPr>
            <w:tcW w:w="2700" w:type="dxa"/>
            <w:vAlign w:val="bottom"/>
          </w:tcPr>
          <w:p>
            <w:pPr>
              <w:ind w:left="100"/>
              <w:spacing w:after="0"/>
              <w:rPr>
                <w:sz w:val="20"/>
                <w:szCs w:val="20"/>
                <w:color w:val="auto"/>
              </w:rPr>
            </w:pPr>
            <w:r>
              <w:rPr>
                <w:rFonts w:ascii="Arial" w:cs="Arial" w:eastAsia="Arial" w:hAnsi="Arial"/>
                <w:sz w:val="20"/>
                <w:szCs w:val="20"/>
                <w:color w:val="auto"/>
              </w:rPr>
              <w:t>NGL</w:t>
            </w: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auto"/>
              </w:rPr>
              <w:t>1,355</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30.26</w:t>
            </w:r>
          </w:p>
        </w:tc>
        <w:tc>
          <w:tcPr>
            <w:tcW w:w="80" w:type="dxa"/>
            <w:vAlign w:val="bottom"/>
            <w:tcBorders>
              <w:right w:val="single" w:sz="8" w:color="auto"/>
            </w:tcBorders>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1,326</w:t>
            </w:r>
          </w:p>
        </w:tc>
        <w:tc>
          <w:tcPr>
            <w:tcW w:w="8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Arial" w:cs="Arial" w:eastAsia="Arial" w:hAnsi="Arial"/>
                <w:sz w:val="20"/>
                <w:szCs w:val="20"/>
                <w:color w:val="auto"/>
              </w:rPr>
              <w:t>barrels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24.89</w:t>
            </w:r>
          </w:p>
        </w:tc>
        <w:tc>
          <w:tcPr>
            <w:tcW w:w="0" w:type="dxa"/>
            <w:vAlign w:val="bottom"/>
          </w:tcPr>
          <w:p>
            <w:pPr>
              <w:spacing w:after="0"/>
              <w:rPr>
                <w:sz w:val="1"/>
                <w:szCs w:val="1"/>
                <w:color w:val="auto"/>
              </w:rPr>
            </w:pPr>
          </w:p>
        </w:tc>
      </w:tr>
      <w:tr>
        <w:trPr>
          <w:trHeight w:val="274"/>
        </w:trPr>
        <w:tc>
          <w:tcPr>
            <w:tcW w:w="2700" w:type="dxa"/>
            <w:vAlign w:val="bottom"/>
          </w:tcPr>
          <w:p>
            <w:pPr>
              <w:ind w:left="220"/>
              <w:spacing w:after="0"/>
              <w:rPr>
                <w:sz w:val="20"/>
                <w:szCs w:val="20"/>
                <w:color w:val="auto"/>
              </w:rPr>
            </w:pPr>
            <w:r>
              <w:rPr>
                <w:rFonts w:ascii="Arial" w:cs="Arial" w:eastAsia="Arial" w:hAnsi="Arial"/>
                <w:sz w:val="20"/>
                <w:szCs w:val="20"/>
                <w:color w:val="auto"/>
                <w:w w:val="97"/>
              </w:rPr>
              <w:t>Long-term inventory subtotal</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3"/>
        </w:trPr>
        <w:tc>
          <w:tcPr>
            <w:tcW w:w="2700" w:type="dxa"/>
            <w:vAlign w:val="bottom"/>
          </w:tcPr>
          <w:p>
            <w:pPr>
              <w:ind w:left="100"/>
              <w:spacing w:after="0"/>
              <w:rPr>
                <w:sz w:val="20"/>
                <w:szCs w:val="20"/>
                <w:color w:val="auto"/>
              </w:rPr>
            </w:pPr>
            <w:r>
              <w:rPr>
                <w:rFonts w:ascii="Arial" w:cs="Arial" w:eastAsia="Arial" w:hAnsi="Arial"/>
                <w:sz w:val="20"/>
                <w:szCs w:val="20"/>
                <w:b w:val="1"/>
                <w:bCs w:val="1"/>
                <w:color w:val="auto"/>
              </w:rPr>
              <w:t>Total</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1,687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1,789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7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4036695</wp:posOffset>
                </wp:positionH>
                <wp:positionV relativeFrom="paragraph">
                  <wp:posOffset>-3018155</wp:posOffset>
                </wp:positionV>
                <wp:extent cx="0" cy="290322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03220"/>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85pt,-237.6499pt" to="317.85pt,-9.0499pt" o:allowincell="f" strokecolor="#000000" strokeweight="0pt"/>
            </w:pict>
          </mc:Fallback>
        </mc:AlternateContent>
        <w:drawing>
          <wp:anchor simplePos="0" relativeHeight="251657728" behindDoc="1" locked="0" layoutInCell="0" allowOverlap="1">
            <wp:simplePos x="0" y="0"/>
            <wp:positionH relativeFrom="column">
              <wp:posOffset>19685</wp:posOffset>
            </wp:positionH>
            <wp:positionV relativeFrom="paragraph">
              <wp:posOffset>-3208020</wp:posOffset>
            </wp:positionV>
            <wp:extent cx="6344920" cy="3118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3">
                      <a:extLst>
                        <a:ext uri="{28A0092B-C50C-407E-A947-70E740481C1C}"/>
                      </a:extLst>
                    </a:blip>
                    <a:srcRect/>
                    <a:stretch>
                      <a:fillRect/>
                    </a:stretch>
                  </pic:blipFill>
                  <pic:spPr bwMode="auto">
                    <a:xfrm>
                      <a:off x="0" y="0"/>
                      <a:ext cx="6344920" cy="3118485"/>
                    </a:xfrm>
                    <a:prstGeom prst="rect">
                      <a:avLst/>
                    </a:prstGeom>
                    <a:noFill/>
                  </pic:spPr>
                </pic:pic>
              </a:graphicData>
            </a:graphic>
          </wp:anchor>
        </w:drawing>
      </w:r>
    </w:p>
    <w:p>
      <w:pPr>
        <w:spacing w:after="0" w:line="125" w:lineRule="exact"/>
        <w:rPr>
          <w:sz w:val="20"/>
          <w:szCs w:val="20"/>
          <w:color w:val="auto"/>
        </w:rPr>
      </w:pPr>
    </w:p>
    <w:p>
      <w:pPr>
        <w:ind w:left="707" w:right="220" w:hanging="707"/>
        <w:spacing w:after="0" w:line="237" w:lineRule="auto"/>
        <w:tabs>
          <w:tab w:leader="none" w:pos="707" w:val="left"/>
        </w:tabs>
        <w:numPr>
          <w:ilvl w:val="0"/>
          <w:numId w:val="83"/>
        </w:numPr>
        <w:rPr>
          <w:rFonts w:ascii="Arial" w:cs="Arial" w:eastAsia="Arial" w:hAnsi="Arial"/>
          <w:sz w:val="24"/>
          <w:szCs w:val="24"/>
          <w:color w:val="auto"/>
          <w:vertAlign w:val="superscript"/>
        </w:rPr>
      </w:pPr>
      <w:r>
        <w:rPr>
          <w:rFonts w:ascii="Arial" w:cs="Arial" w:eastAsia="Arial" w:hAnsi="Arial"/>
          <w:sz w:val="19"/>
          <w:szCs w:val="19"/>
          <w:color w:val="auto"/>
        </w:rPr>
        <w:t>Price per unit of measure is comprised of a weighted average associated with various grades, qualities and locations. Accordingly, these prices may not coincide with any published benchmarks for such products.</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F-20</w:t>
      </w:r>
    </w:p>
    <w:p>
      <w:pPr>
        <w:sectPr>
          <w:pgSz w:w="11880" w:h="15480" w:orient="portrait"/>
          <w:cols w:equalWidth="0" w:num="1">
            <w:col w:w="10047"/>
          </w:cols>
          <w:pgMar w:left="913" w:top="337" w:right="920" w:bottom="0" w:gutter="0" w:footer="0" w:header="0"/>
          <w:type w:val="continuous"/>
        </w:sectPr>
      </w:pPr>
    </w:p>
    <w:bookmarkStart w:id="126" w:name="page127"/>
    <w:bookmarkEnd w:id="126"/>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6—Property and Equipment</w:t>
      </w:r>
    </w:p>
    <w:p>
      <w:pPr>
        <w:spacing w:after="0" w:line="248" w:lineRule="exact"/>
        <w:rPr>
          <w:sz w:val="20"/>
          <w:szCs w:val="20"/>
          <w:color w:val="auto"/>
        </w:rPr>
      </w:pPr>
    </w:p>
    <w:p>
      <w:pPr>
        <w:ind w:left="7" w:right="120" w:firstLine="706"/>
        <w:spacing w:after="0" w:line="250" w:lineRule="auto"/>
        <w:rPr>
          <w:sz w:val="20"/>
          <w:szCs w:val="20"/>
          <w:color w:val="auto"/>
        </w:rPr>
      </w:pPr>
      <w:r>
        <w:rPr>
          <w:rFonts w:ascii="Arial" w:cs="Arial" w:eastAsia="Arial" w:hAnsi="Arial"/>
          <w:sz w:val="20"/>
          <w:szCs w:val="20"/>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9" w:lineRule="exact"/>
        <w:rPr>
          <w:sz w:val="20"/>
          <w:szCs w:val="20"/>
          <w:color w:val="auto"/>
        </w:rPr>
      </w:pPr>
    </w:p>
    <w:p>
      <w:pPr>
        <w:ind w:left="707"/>
        <w:spacing w:after="0"/>
        <w:rPr>
          <w:sz w:val="20"/>
          <w:szCs w:val="20"/>
          <w:color w:val="auto"/>
        </w:rPr>
      </w:pPr>
      <w:r>
        <w:rPr>
          <w:rFonts w:ascii="Arial" w:cs="Arial" w:eastAsia="Arial" w:hAnsi="Arial"/>
          <w:sz w:val="20"/>
          <w:szCs w:val="20"/>
          <w:color w:val="auto"/>
        </w:rPr>
        <w:t>Property and equipment, net is stated at cost and consisted of the following (in millions):</w:t>
      </w:r>
    </w:p>
    <w:p>
      <w:pPr>
        <w:spacing w:after="0" w:line="328"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Estimated Useful</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30"/>
        </w:trPr>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Lives (Years)</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w w:val="89"/>
              </w:rPr>
              <w:t>2023</w:t>
            </w:r>
          </w:p>
        </w:tc>
      </w:tr>
      <w:tr>
        <w:trPr>
          <w:trHeight w:val="270"/>
        </w:trPr>
        <w:tc>
          <w:tcPr>
            <w:tcW w:w="5940" w:type="dxa"/>
            <w:vAlign w:val="bottom"/>
            <w:gridSpan w:val="2"/>
          </w:tcPr>
          <w:p>
            <w:pPr>
              <w:ind w:left="60"/>
              <w:spacing w:after="0"/>
              <w:rPr>
                <w:sz w:val="20"/>
                <w:szCs w:val="20"/>
                <w:color w:val="auto"/>
              </w:rPr>
            </w:pPr>
            <w:r>
              <w:rPr>
                <w:rFonts w:ascii="Arial" w:cs="Arial" w:eastAsia="Arial" w:hAnsi="Arial"/>
                <w:sz w:val="20"/>
                <w:szCs w:val="20"/>
                <w:color w:val="auto"/>
              </w:rPr>
              <w:t>Crude oil pipeline systems</w:t>
            </w: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10 - 50</w:t>
            </w:r>
          </w:p>
        </w:tc>
        <w:tc>
          <w:tcPr>
            <w:tcW w:w="60" w:type="dxa"/>
            <w:vAlign w:val="bottom"/>
          </w:tcPr>
          <w:p>
            <w:pPr>
              <w:spacing w:after="0"/>
              <w:rPr>
                <w:sz w:val="23"/>
                <w:szCs w:val="23"/>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14,621</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14,265</w:t>
            </w:r>
          </w:p>
        </w:tc>
      </w:tr>
      <w:tr>
        <w:trPr>
          <w:trHeight w:val="294"/>
        </w:trPr>
        <w:tc>
          <w:tcPr>
            <w:tcW w:w="5940" w:type="dxa"/>
            <w:vAlign w:val="bottom"/>
            <w:gridSpan w:val="2"/>
          </w:tcPr>
          <w:p>
            <w:pPr>
              <w:ind w:left="60"/>
              <w:spacing w:after="0"/>
              <w:rPr>
                <w:sz w:val="20"/>
                <w:szCs w:val="20"/>
                <w:color w:val="auto"/>
              </w:rPr>
            </w:pPr>
            <w:r>
              <w:rPr>
                <w:rFonts w:ascii="Arial" w:cs="Arial" w:eastAsia="Arial" w:hAnsi="Arial"/>
                <w:sz w:val="20"/>
                <w:szCs w:val="20"/>
                <w:color w:val="auto"/>
              </w:rPr>
              <w:t>Crude oil storage and terminal facilities</w:t>
            </w: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10 - 50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2,679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2,664</w:t>
            </w:r>
          </w:p>
        </w:tc>
      </w:tr>
      <w:tr>
        <w:trPr>
          <w:trHeight w:val="294"/>
        </w:trPr>
        <w:tc>
          <w:tcPr>
            <w:tcW w:w="5940" w:type="dxa"/>
            <w:vAlign w:val="bottom"/>
            <w:gridSpan w:val="2"/>
          </w:tcPr>
          <w:p>
            <w:pPr>
              <w:ind w:left="60"/>
              <w:spacing w:after="0"/>
              <w:rPr>
                <w:sz w:val="20"/>
                <w:szCs w:val="20"/>
                <w:color w:val="auto"/>
              </w:rPr>
            </w:pPr>
            <w:r>
              <w:rPr>
                <w:rFonts w:ascii="Arial" w:cs="Arial" w:eastAsia="Arial" w:hAnsi="Arial"/>
                <w:sz w:val="20"/>
                <w:szCs w:val="20"/>
                <w:color w:val="auto"/>
              </w:rPr>
              <w:t>NGL storage, terminal, fractionation and processing facilities</w:t>
            </w: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10 - 50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2,412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2,554</w:t>
            </w:r>
          </w:p>
        </w:tc>
      </w:tr>
      <w:tr>
        <w:trPr>
          <w:trHeight w:val="294"/>
        </w:trPr>
        <w:tc>
          <w:tcPr>
            <w:tcW w:w="5940" w:type="dxa"/>
            <w:vAlign w:val="bottom"/>
            <w:gridSpan w:val="2"/>
          </w:tcPr>
          <w:p>
            <w:pPr>
              <w:ind w:left="60"/>
              <w:spacing w:after="0"/>
              <w:rPr>
                <w:sz w:val="20"/>
                <w:szCs w:val="20"/>
                <w:color w:val="auto"/>
              </w:rPr>
            </w:pPr>
            <w:r>
              <w:rPr>
                <w:rFonts w:ascii="Arial" w:cs="Arial" w:eastAsia="Arial" w:hAnsi="Arial"/>
                <w:sz w:val="20"/>
                <w:szCs w:val="20"/>
                <w:color w:val="auto"/>
              </w:rPr>
              <w:t>NGL pipeline systems</w:t>
            </w: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10 - 50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491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506</w:t>
            </w:r>
          </w:p>
        </w:tc>
      </w:tr>
      <w:tr>
        <w:trPr>
          <w:trHeight w:val="294"/>
        </w:trPr>
        <w:tc>
          <w:tcPr>
            <w:tcW w:w="5940" w:type="dxa"/>
            <w:vAlign w:val="bottom"/>
            <w:gridSpan w:val="2"/>
          </w:tcPr>
          <w:p>
            <w:pPr>
              <w:ind w:left="60"/>
              <w:spacing w:after="0"/>
              <w:rPr>
                <w:sz w:val="20"/>
                <w:szCs w:val="20"/>
                <w:color w:val="auto"/>
              </w:rPr>
            </w:pPr>
            <w:r>
              <w:rPr>
                <w:rFonts w:ascii="Arial" w:cs="Arial" w:eastAsia="Arial" w:hAnsi="Arial"/>
                <w:sz w:val="20"/>
                <w:szCs w:val="20"/>
                <w:color w:val="auto"/>
              </w:rPr>
              <w:t>Office property and equipment and rolling stock</w:t>
            </w: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2 - 50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464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556</w:t>
            </w:r>
          </w:p>
        </w:tc>
      </w:tr>
      <w:tr>
        <w:trPr>
          <w:trHeight w:val="294"/>
        </w:trPr>
        <w:tc>
          <w:tcPr>
            <w:tcW w:w="5940" w:type="dxa"/>
            <w:vAlign w:val="bottom"/>
            <w:gridSpan w:val="2"/>
          </w:tcPr>
          <w:p>
            <w:pPr>
              <w:ind w:left="60"/>
              <w:spacing w:after="0"/>
              <w:rPr>
                <w:sz w:val="20"/>
                <w:szCs w:val="20"/>
                <w:color w:val="auto"/>
              </w:rPr>
            </w:pPr>
            <w:r>
              <w:rPr>
                <w:rFonts w:ascii="Arial" w:cs="Arial" w:eastAsia="Arial" w:hAnsi="Arial"/>
                <w:sz w:val="20"/>
                <w:szCs w:val="20"/>
                <w:color w:val="auto"/>
              </w:rPr>
              <w:t>Construction in progress</w:t>
            </w:r>
          </w:p>
        </w:tc>
        <w:tc>
          <w:tcPr>
            <w:tcW w:w="1460" w:type="dxa"/>
            <w:vAlign w:val="bottom"/>
            <w:gridSpan w:val="2"/>
          </w:tcPr>
          <w:p>
            <w:pPr>
              <w:jc w:val="center"/>
              <w:ind w:right="40"/>
              <w:spacing w:after="0"/>
              <w:rPr>
                <w:sz w:val="20"/>
                <w:szCs w:val="20"/>
                <w:color w:val="auto"/>
              </w:rPr>
            </w:pPr>
            <w:r>
              <w:rPr>
                <w:rFonts w:ascii="Arial" w:cs="Arial" w:eastAsia="Arial" w:hAnsi="Arial"/>
                <w:sz w:val="20"/>
                <w:szCs w:val="20"/>
                <w:color w:val="auto"/>
              </w:rPr>
              <w:t>N/A</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297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257</w:t>
            </w:r>
          </w:p>
        </w:tc>
      </w:tr>
      <w:tr>
        <w:trPr>
          <w:trHeight w:val="298"/>
        </w:trPr>
        <w:tc>
          <w:tcPr>
            <w:tcW w:w="5940" w:type="dxa"/>
            <w:vAlign w:val="bottom"/>
            <w:gridSpan w:val="2"/>
          </w:tcPr>
          <w:p>
            <w:pPr>
              <w:ind w:left="60"/>
              <w:spacing w:after="0"/>
              <w:rPr>
                <w:sz w:val="20"/>
                <w:szCs w:val="20"/>
                <w:color w:val="auto"/>
              </w:rPr>
            </w:pPr>
            <w:r>
              <w:rPr>
                <w:rFonts w:ascii="Arial" w:cs="Arial" w:eastAsia="Arial" w:hAnsi="Arial"/>
                <w:sz w:val="20"/>
                <w:szCs w:val="20"/>
                <w:color w:val="auto"/>
              </w:rPr>
              <w:t>Land and other</w:t>
            </w:r>
          </w:p>
        </w:tc>
        <w:tc>
          <w:tcPr>
            <w:tcW w:w="1460" w:type="dxa"/>
            <w:vAlign w:val="bottom"/>
            <w:gridSpan w:val="2"/>
          </w:tcPr>
          <w:p>
            <w:pPr>
              <w:jc w:val="center"/>
              <w:ind w:right="80"/>
              <w:spacing w:after="0"/>
              <w:rPr>
                <w:sz w:val="20"/>
                <w:szCs w:val="20"/>
                <w:color w:val="auto"/>
              </w:rPr>
            </w:pPr>
            <w:r>
              <w:rPr>
                <w:rFonts w:ascii="Arial" w:cs="Arial" w:eastAsia="Arial" w:hAnsi="Arial"/>
                <w:sz w:val="20"/>
                <w:szCs w:val="20"/>
                <w:color w:val="auto"/>
              </w:rPr>
              <w:t>N/A</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341</w:t>
            </w:r>
          </w:p>
        </w:tc>
      </w:tr>
      <w:tr>
        <w:trPr>
          <w:trHeight w:val="310"/>
        </w:trPr>
        <w:tc>
          <w:tcPr>
            <w:tcW w:w="5940" w:type="dxa"/>
            <w:vAlign w:val="bottom"/>
            <w:gridSpan w:val="2"/>
          </w:tcPr>
          <w:p>
            <w:pPr>
              <w:ind w:left="180"/>
              <w:spacing w:after="0"/>
              <w:rPr>
                <w:sz w:val="20"/>
                <w:szCs w:val="20"/>
                <w:color w:val="auto"/>
              </w:rPr>
            </w:pPr>
            <w:r>
              <w:rPr>
                <w:rFonts w:ascii="Arial" w:cs="Arial" w:eastAsia="Arial" w:hAnsi="Arial"/>
                <w:sz w:val="20"/>
                <w:szCs w:val="20"/>
                <w:color w:val="auto"/>
              </w:rPr>
              <w:t xml:space="preserve">Property and equipment, gross </w:t>
            </w:r>
            <w:r>
              <w:rPr>
                <w:rFonts w:ascii="Arial" w:cs="Arial" w:eastAsia="Arial" w:hAnsi="Arial"/>
                <w:sz w:val="25"/>
                <w:szCs w:val="25"/>
                <w:color w:val="auto"/>
                <w:vertAlign w:val="superscript"/>
              </w:rPr>
              <w:t>(1)</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21,300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21,143</w:t>
            </w:r>
          </w:p>
        </w:tc>
      </w:tr>
      <w:tr>
        <w:trPr>
          <w:trHeight w:val="258"/>
        </w:trPr>
        <w:tc>
          <w:tcPr>
            <w:tcW w:w="5940" w:type="dxa"/>
            <w:vAlign w:val="bottom"/>
            <w:gridSpan w:val="2"/>
          </w:tcPr>
          <w:p>
            <w:pPr>
              <w:ind w:left="60"/>
              <w:spacing w:after="0"/>
              <w:rPr>
                <w:sz w:val="20"/>
                <w:szCs w:val="20"/>
                <w:color w:val="auto"/>
              </w:rPr>
            </w:pPr>
            <w:r>
              <w:rPr>
                <w:rFonts w:ascii="Arial" w:cs="Arial" w:eastAsia="Arial" w:hAnsi="Arial"/>
                <w:sz w:val="20"/>
                <w:szCs w:val="20"/>
                <w:color w:val="auto"/>
              </w:rPr>
              <w:t>Accumulated depreciation</w:t>
            </w: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(5,876)</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(5,361)</w:t>
            </w:r>
          </w:p>
        </w:tc>
      </w:tr>
      <w:tr>
        <w:trPr>
          <w:trHeight w:val="254"/>
        </w:trPr>
        <w:tc>
          <w:tcPr>
            <w:tcW w:w="5940" w:type="dxa"/>
            <w:vAlign w:val="bottom"/>
            <w:gridSpan w:val="2"/>
          </w:tcPr>
          <w:p>
            <w:pPr>
              <w:ind w:left="180"/>
              <w:spacing w:after="0"/>
              <w:rPr>
                <w:sz w:val="20"/>
                <w:szCs w:val="20"/>
                <w:color w:val="auto"/>
              </w:rPr>
            </w:pPr>
            <w:r>
              <w:rPr>
                <w:rFonts w:ascii="Arial" w:cs="Arial" w:eastAsia="Arial" w:hAnsi="Arial"/>
                <w:sz w:val="20"/>
                <w:szCs w:val="20"/>
                <w:color w:val="auto"/>
              </w:rPr>
              <w:t>Property and equipment, net</w:t>
            </w: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15,424</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15,782</w:t>
            </w:r>
          </w:p>
        </w:tc>
      </w:tr>
      <w:tr>
        <w:trPr>
          <w:trHeight w:val="20"/>
        </w:trPr>
        <w:tc>
          <w:tcPr>
            <w:tcW w:w="3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-1994535</wp:posOffset>
            </wp:positionV>
            <wp:extent cx="6400800" cy="1905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4">
                      <a:extLst>
                        <a:ext uri="{28A0092B-C50C-407E-A947-70E740481C1C}"/>
                      </a:extLst>
                    </a:blip>
                    <a:srcRect/>
                    <a:stretch>
                      <a:fillRect/>
                    </a:stretch>
                  </pic:blipFill>
                  <pic:spPr bwMode="auto">
                    <a:xfrm>
                      <a:off x="0" y="0"/>
                      <a:ext cx="6400800" cy="1905000"/>
                    </a:xfrm>
                    <a:prstGeom prst="rect">
                      <a:avLst/>
                    </a:prstGeom>
                    <a:noFill/>
                  </pic:spPr>
                </pic:pic>
              </a:graphicData>
            </a:graphic>
          </wp:anchor>
        </w:drawing>
      </w:r>
    </w:p>
    <w:p>
      <w:pPr>
        <w:spacing w:after="0" w:line="33" w:lineRule="exact"/>
        <w:rPr>
          <w:sz w:val="20"/>
          <w:szCs w:val="20"/>
          <w:color w:val="auto"/>
        </w:rPr>
      </w:pPr>
    </w:p>
    <w:p>
      <w:pPr>
        <w:ind w:left="707" w:hanging="707"/>
        <w:spacing w:after="0"/>
        <w:tabs>
          <w:tab w:leader="none" w:pos="707" w:val="left"/>
        </w:tabs>
        <w:numPr>
          <w:ilvl w:val="0"/>
          <w:numId w:val="84"/>
        </w:numPr>
        <w:rPr>
          <w:rFonts w:ascii="Arial" w:cs="Arial" w:eastAsia="Arial" w:hAnsi="Arial"/>
          <w:sz w:val="25"/>
          <w:szCs w:val="25"/>
          <w:color w:val="auto"/>
          <w:vertAlign w:val="superscript"/>
        </w:rPr>
      </w:pPr>
      <w:r>
        <w:rPr>
          <w:rFonts w:ascii="Arial" w:cs="Arial" w:eastAsia="Arial" w:hAnsi="Arial"/>
          <w:sz w:val="20"/>
          <w:szCs w:val="20"/>
          <w:color w:val="auto"/>
        </w:rPr>
        <w:t>We include rights-of-way, which are intangible assets, within property and equipment.</w:t>
      </w:r>
    </w:p>
    <w:p>
      <w:pPr>
        <w:spacing w:after="0" w:line="216" w:lineRule="exact"/>
        <w:rPr>
          <w:sz w:val="20"/>
          <w:szCs w:val="20"/>
          <w:color w:val="auto"/>
        </w:rPr>
      </w:pPr>
    </w:p>
    <w:p>
      <w:pPr>
        <w:jc w:val="both"/>
        <w:ind w:left="7" w:right="40" w:firstLine="706"/>
        <w:spacing w:after="0" w:line="241" w:lineRule="auto"/>
        <w:rPr>
          <w:sz w:val="20"/>
          <w:szCs w:val="20"/>
          <w:color w:val="auto"/>
        </w:rPr>
      </w:pPr>
      <w:r>
        <w:rPr>
          <w:rFonts w:ascii="Arial" w:cs="Arial" w:eastAsia="Arial" w:hAnsi="Arial"/>
          <w:sz w:val="20"/>
          <w:szCs w:val="20"/>
          <w:color w:val="auto"/>
        </w:rPr>
        <w:t>We calculate our depreciation using the straight-line method, based on estimated useful lives and salvage values of our assets. Depreciation expense for the years ended December 31, 2024, 2023 and 2022 was $753 million, $736 million and $710 million, respectively.</w:t>
      </w:r>
    </w:p>
    <w:p>
      <w:pPr>
        <w:spacing w:after="0" w:line="185" w:lineRule="exact"/>
        <w:rPr>
          <w:sz w:val="20"/>
          <w:szCs w:val="20"/>
          <w:color w:val="auto"/>
        </w:rPr>
      </w:pPr>
    </w:p>
    <w:p>
      <w:pPr>
        <w:ind w:left="7" w:right="740" w:firstLine="706"/>
        <w:spacing w:after="0" w:line="271" w:lineRule="auto"/>
        <w:rPr>
          <w:sz w:val="20"/>
          <w:szCs w:val="20"/>
          <w:color w:val="auto"/>
        </w:rPr>
      </w:pPr>
      <w:r>
        <w:rPr>
          <w:rFonts w:ascii="Arial" w:cs="Arial" w:eastAsia="Arial" w:hAnsi="Arial"/>
          <w:sz w:val="20"/>
          <w:szCs w:val="20"/>
          <w:color w:val="auto"/>
        </w:rPr>
        <w:t>As of December 31, 2024, 2023 and 2022, we incurred liabilities of $78 million, $55 million and $46 million, respectively, for construction in progress that had not been paid.</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Impairment of Long-Lived Assets (Held and Used)</w:t>
      </w:r>
    </w:p>
    <w:p>
      <w:pPr>
        <w:spacing w:after="0" w:line="248" w:lineRule="exact"/>
        <w:rPr>
          <w:sz w:val="20"/>
          <w:szCs w:val="20"/>
          <w:color w:val="auto"/>
        </w:rPr>
      </w:pPr>
    </w:p>
    <w:p>
      <w:pPr>
        <w:ind w:left="7" w:firstLine="706"/>
        <w:spacing w:after="0" w:line="264" w:lineRule="auto"/>
        <w:rPr>
          <w:sz w:val="20"/>
          <w:szCs w:val="20"/>
          <w:color w:val="auto"/>
        </w:rPr>
      </w:pPr>
      <w:r>
        <w:rPr>
          <w:rFonts w:ascii="Arial" w:cs="Arial" w:eastAsia="Arial" w:hAnsi="Arial"/>
          <w:sz w:val="19"/>
          <w:szCs w:val="19"/>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9" w:lineRule="exact"/>
        <w:rPr>
          <w:sz w:val="20"/>
          <w:szCs w:val="20"/>
          <w:color w:val="auto"/>
        </w:rPr>
      </w:pPr>
    </w:p>
    <w:p>
      <w:pPr>
        <w:ind w:left="7" w:right="40" w:firstLine="706"/>
        <w:spacing w:after="0" w:line="254" w:lineRule="auto"/>
        <w:rPr>
          <w:sz w:val="20"/>
          <w:szCs w:val="20"/>
          <w:color w:val="auto"/>
        </w:rPr>
      </w:pPr>
      <w:r>
        <w:rPr>
          <w:rFonts w:ascii="Arial" w:cs="Arial" w:eastAsia="Arial" w:hAnsi="Arial"/>
          <w:sz w:val="20"/>
          <w:szCs w:val="20"/>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85" w:lineRule="exact"/>
        <w:rPr>
          <w:sz w:val="20"/>
          <w:szCs w:val="20"/>
          <w:color w:val="auto"/>
        </w:rPr>
      </w:pPr>
    </w:p>
    <w:p>
      <w:pPr>
        <w:ind w:left="1067" w:hanging="362"/>
        <w:spacing w:after="0"/>
        <w:tabs>
          <w:tab w:leader="none" w:pos="1067" w:val="left"/>
        </w:tabs>
        <w:numPr>
          <w:ilvl w:val="0"/>
          <w:numId w:val="85"/>
        </w:numPr>
        <w:rPr>
          <w:rFonts w:ascii="Arial" w:cs="Arial" w:eastAsia="Arial" w:hAnsi="Arial"/>
          <w:sz w:val="20"/>
          <w:szCs w:val="20"/>
          <w:color w:val="auto"/>
        </w:rPr>
      </w:pPr>
      <w:r>
        <w:rPr>
          <w:rFonts w:ascii="Arial" w:cs="Arial" w:eastAsia="Arial" w:hAnsi="Arial"/>
          <w:sz w:val="20"/>
          <w:szCs w:val="20"/>
          <w:color w:val="auto"/>
        </w:rPr>
        <w:t>whether there is an indication of impairment;</w:t>
      </w:r>
    </w:p>
    <w:p>
      <w:pPr>
        <w:spacing w:after="0" w:line="122" w:lineRule="exact"/>
        <w:rPr>
          <w:rFonts w:ascii="Arial" w:cs="Arial" w:eastAsia="Arial" w:hAnsi="Arial"/>
          <w:sz w:val="20"/>
          <w:szCs w:val="20"/>
          <w:color w:val="auto"/>
        </w:rPr>
      </w:pPr>
    </w:p>
    <w:p>
      <w:pPr>
        <w:ind w:left="1067" w:hanging="362"/>
        <w:spacing w:after="0"/>
        <w:tabs>
          <w:tab w:leader="none" w:pos="1067"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grouping of assets;</w:t>
      </w:r>
    </w:p>
    <w:p>
      <w:pPr>
        <w:spacing w:after="0" w:line="122" w:lineRule="exact"/>
        <w:rPr>
          <w:rFonts w:ascii="Arial" w:cs="Arial" w:eastAsia="Arial" w:hAnsi="Arial"/>
          <w:sz w:val="20"/>
          <w:szCs w:val="20"/>
          <w:color w:val="auto"/>
        </w:rPr>
      </w:pPr>
    </w:p>
    <w:p>
      <w:pPr>
        <w:ind w:left="1067" w:hanging="362"/>
        <w:spacing w:after="0"/>
        <w:tabs>
          <w:tab w:leader="none" w:pos="1067"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intention of “holding,” “abandoning” or “selling” an asset;</w:t>
      </w:r>
    </w:p>
    <w:p>
      <w:pPr>
        <w:spacing w:after="0" w:line="122" w:lineRule="exact"/>
        <w:rPr>
          <w:rFonts w:ascii="Arial" w:cs="Arial" w:eastAsia="Arial" w:hAnsi="Arial"/>
          <w:sz w:val="20"/>
          <w:szCs w:val="20"/>
          <w:color w:val="auto"/>
        </w:rPr>
      </w:pPr>
    </w:p>
    <w:p>
      <w:pPr>
        <w:ind w:left="1067" w:hanging="362"/>
        <w:spacing w:after="0"/>
        <w:tabs>
          <w:tab w:leader="none" w:pos="1067"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forecast of undiscounted expected future cash flow over the asset’s estimated useful life; and</w:t>
      </w:r>
    </w:p>
    <w:p>
      <w:pPr>
        <w:spacing w:after="0" w:line="122" w:lineRule="exact"/>
        <w:rPr>
          <w:rFonts w:ascii="Arial" w:cs="Arial" w:eastAsia="Arial" w:hAnsi="Arial"/>
          <w:sz w:val="20"/>
          <w:szCs w:val="20"/>
          <w:color w:val="auto"/>
        </w:rPr>
      </w:pPr>
    </w:p>
    <w:p>
      <w:pPr>
        <w:ind w:left="1067" w:hanging="362"/>
        <w:spacing w:after="0"/>
        <w:tabs>
          <w:tab w:leader="none" w:pos="1067" w:val="left"/>
        </w:tabs>
        <w:numPr>
          <w:ilvl w:val="0"/>
          <w:numId w:val="85"/>
        </w:numPr>
        <w:rPr>
          <w:rFonts w:ascii="Arial" w:cs="Arial" w:eastAsia="Arial" w:hAnsi="Arial"/>
          <w:sz w:val="20"/>
          <w:szCs w:val="20"/>
          <w:color w:val="auto"/>
        </w:rPr>
      </w:pPr>
      <w:r>
        <w:rPr>
          <w:rFonts w:ascii="Arial" w:cs="Arial" w:eastAsia="Arial" w:hAnsi="Arial"/>
          <w:sz w:val="20"/>
          <w:szCs w:val="20"/>
          <w:color w:val="auto"/>
        </w:rPr>
        <w:t>if an impairment exists, the fair value of the asset or asset group.</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10047"/>
          </w:cols>
          <w:pgMar w:left="913" w:top="337" w:right="920" w:bottom="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45" w:lineRule="exact"/>
        <w:rPr>
          <w:sz w:val="20"/>
          <w:szCs w:val="20"/>
          <w:color w:val="auto"/>
        </w:rPr>
      </w:pPr>
    </w:p>
    <w:p>
      <w:pPr>
        <w:ind w:right="320" w:firstLine="706"/>
        <w:spacing w:after="0" w:line="271" w:lineRule="auto"/>
        <w:rPr>
          <w:sz w:val="20"/>
          <w:szCs w:val="20"/>
          <w:color w:val="auto"/>
        </w:rPr>
      </w:pPr>
      <w:r>
        <w:rPr>
          <w:rFonts w:ascii="Arial" w:cs="Arial" w:eastAsia="Arial" w:hAnsi="Arial"/>
          <w:sz w:val="20"/>
          <w:szCs w:val="20"/>
          <w:color w:val="auto"/>
        </w:rPr>
        <w:t>In addition, when we evaluate property and equipment and other long-lived assets for recoverability, it may also be necessary to review related depreciation estimates and methods.</w:t>
      </w:r>
    </w:p>
    <w:p>
      <w:pPr>
        <w:spacing w:after="0" w:line="186" w:lineRule="exact"/>
        <w:rPr>
          <w:sz w:val="20"/>
          <w:szCs w:val="20"/>
          <w:color w:val="auto"/>
        </w:rPr>
      </w:pPr>
    </w:p>
    <w:p>
      <w:pPr>
        <w:ind w:firstLine="706"/>
        <w:spacing w:after="0" w:line="262" w:lineRule="auto"/>
        <w:rPr>
          <w:sz w:val="20"/>
          <w:szCs w:val="20"/>
          <w:color w:val="auto"/>
        </w:rPr>
      </w:pPr>
      <w:r>
        <w:rPr>
          <w:rFonts w:ascii="Arial" w:cs="Arial" w:eastAsia="Arial" w:hAnsi="Arial"/>
          <w:sz w:val="19"/>
          <w:szCs w:val="19"/>
          <w:color w:val="auto"/>
        </w:rPr>
        <w:t>During the fourth quarter of 2024, we recognized approximately $140 million of non-cash charges related to the write-down of certain of our long-lived U.S. based NGL terminal assets included in our NGL segment due to asset impairments and accelerated depreciation. Such charges are reflected in “(Gains)/losses on asset sales, asset impairments and other, net” on our Consolidated Statement of Operations. We have experienced a decrease in demand for our services at certain of our terminals within two asset groups related to changing market conditions specific to their locations, which was a triggering event that required us to assess the recoverability of carrying value of such long-lived assets. As a result of our impairment review, we wrote-off the portion of the carrying amount of these long-lived assets that exceeded their fair value. Our estimated fair value was based on the determination that a portion of the long-lived assets had no residual value. We consider such inputs to be a Level 3 input in the fair value hierarchy. Further, we determined that an acceleration of depreciation was appropriate for another portion of the long-lived assets.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We did not recognize any material asset impairments during the year ended December 31, 2023.</w:t>
      </w:r>
    </w:p>
    <w:p>
      <w:pPr>
        <w:spacing w:after="0" w:line="240" w:lineRule="exact"/>
        <w:rPr>
          <w:sz w:val="20"/>
          <w:szCs w:val="20"/>
          <w:color w:val="auto"/>
        </w:rPr>
      </w:pPr>
    </w:p>
    <w:p>
      <w:pPr>
        <w:ind w:firstLine="706"/>
        <w:spacing w:after="0" w:line="294" w:lineRule="auto"/>
        <w:rPr>
          <w:sz w:val="20"/>
          <w:szCs w:val="20"/>
          <w:color w:val="auto"/>
        </w:rPr>
      </w:pPr>
      <w:r>
        <w:rPr>
          <w:rFonts w:ascii="Arial" w:cs="Arial" w:eastAsia="Arial" w:hAnsi="Arial"/>
          <w:sz w:val="17"/>
          <w:szCs w:val="17"/>
          <w:color w:val="auto"/>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asset impairments and other,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7—Acquisitions, Divestitures and Other Transactions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Rattler Permian Transaction</w:t>
      </w:r>
    </w:p>
    <w:p>
      <w:pPr>
        <w:spacing w:after="0" w:line="248" w:lineRule="exact"/>
        <w:rPr>
          <w:sz w:val="20"/>
          <w:szCs w:val="20"/>
          <w:color w:val="auto"/>
        </w:rPr>
      </w:pPr>
    </w:p>
    <w:p>
      <w:pPr>
        <w:ind w:right="20" w:firstLine="706"/>
        <w:spacing w:after="0" w:line="303" w:lineRule="auto"/>
        <w:rPr>
          <w:sz w:val="20"/>
          <w:szCs w:val="20"/>
          <w:color w:val="auto"/>
        </w:rPr>
      </w:pPr>
      <w:r>
        <w:rPr>
          <w:rFonts w:ascii="Arial" w:cs="Arial" w:eastAsia="Arial" w:hAnsi="Arial"/>
          <w:sz w:val="17"/>
          <w:szCs w:val="17"/>
          <w:color w:val="auto"/>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spacing w:after="0" w:line="166" w:lineRule="exact"/>
        <w:rPr>
          <w:sz w:val="20"/>
          <w:szCs w:val="20"/>
          <w:color w:val="auto"/>
        </w:rPr>
      </w:pPr>
    </w:p>
    <w:p>
      <w:pPr>
        <w:ind w:right="460" w:firstLine="706"/>
        <w:spacing w:after="0" w:line="278" w:lineRule="auto"/>
        <w:rPr>
          <w:sz w:val="20"/>
          <w:szCs w:val="20"/>
          <w:color w:val="auto"/>
        </w:rPr>
      </w:pPr>
      <w:r>
        <w:rPr>
          <w:rFonts w:ascii="Arial" w:cs="Arial" w:eastAsia="Arial" w:hAnsi="Arial"/>
          <w:sz w:val="19"/>
          <w:szCs w:val="19"/>
          <w:color w:val="auto"/>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spacing w:after="0" w:line="182" w:lineRule="exact"/>
        <w:rPr>
          <w:sz w:val="20"/>
          <w:szCs w:val="20"/>
          <w:color w:val="auto"/>
        </w:rPr>
      </w:pPr>
    </w:p>
    <w:p>
      <w:pPr>
        <w:ind w:right="80" w:firstLine="706"/>
        <w:spacing w:after="0" w:line="264" w:lineRule="auto"/>
        <w:rPr>
          <w:sz w:val="20"/>
          <w:szCs w:val="20"/>
          <w:color w:val="auto"/>
        </w:rPr>
      </w:pPr>
      <w:r>
        <w:rPr>
          <w:rFonts w:ascii="Arial" w:cs="Arial" w:eastAsia="Arial" w:hAnsi="Arial"/>
          <w:sz w:val="19"/>
          <w:szCs w:val="19"/>
          <w:color w:val="auto"/>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approximately 11%, based on the estimate of the risk that a theoretical market participant would assign to the business. The remeasurement of the Permian JV’s investment in OMOG to fair value resulted in a gain of $29 million. This gain has been recognized in the line item “Gain on investments in unconsolidated entities, net” on our Consolidated Statement of Operations.</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880" w:h="15480" w:orient="portrait"/>
          <w:cols w:equalWidth="0" w:num="1">
            <w:col w:w="10040"/>
          </w:cols>
          <w:pgMar w:left="920" w:top="337" w:right="920" w:bottom="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45" w:lineRule="exact"/>
        <w:rPr>
          <w:sz w:val="20"/>
          <w:szCs w:val="20"/>
          <w:color w:val="auto"/>
        </w:rPr>
      </w:pPr>
    </w:p>
    <w:p>
      <w:pPr>
        <w:ind w:right="100" w:firstLine="706"/>
        <w:spacing w:after="0" w:line="303" w:lineRule="auto"/>
        <w:rPr>
          <w:sz w:val="20"/>
          <w:szCs w:val="20"/>
          <w:color w:val="auto"/>
        </w:rPr>
      </w:pPr>
      <w:r>
        <w:rPr>
          <w:rFonts w:ascii="Arial" w:cs="Arial" w:eastAsia="Arial" w:hAnsi="Arial"/>
          <w:sz w:val="17"/>
          <w:szCs w:val="17"/>
          <w:color w:val="auto"/>
        </w:rPr>
        <w:t>The determination of the fair value of the assets and liabilities assumed was estimated in accordance with applicable accounting guidance. The analysis was performed based on estimates that are reflective of market participant assumptions. While the purchase price for the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determination of the fair value of the assets acquired and liabilities assumed in connection with the transaction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7"/>
              </w:rPr>
              <w:t>Estimated Useful Lives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vMerge w:val="restart"/>
          </w:tcPr>
          <w:p>
            <w:pPr>
              <w:jc w:val="right"/>
              <w:ind w:right="226"/>
              <w:spacing w:after="0"/>
              <w:rPr>
                <w:sz w:val="20"/>
                <w:szCs w:val="20"/>
                <w:color w:val="auto"/>
              </w:rPr>
            </w:pPr>
            <w:r>
              <w:rPr>
                <w:rFonts w:ascii="Arial" w:cs="Arial" w:eastAsia="Arial" w:hAnsi="Arial"/>
                <w:sz w:val="16"/>
                <w:szCs w:val="16"/>
                <w:b w:val="1"/>
                <w:bCs w:val="1"/>
                <w:color w:val="auto"/>
                <w:w w:val="91"/>
              </w:rPr>
              <w:t>Recognized Amount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5860" w:type="dxa"/>
            <w:vAlign w:val="bottom"/>
          </w:tcPr>
          <w:p>
            <w:pPr>
              <w:ind w:left="40"/>
              <w:spacing w:after="0"/>
              <w:rPr>
                <w:sz w:val="20"/>
                <w:szCs w:val="20"/>
                <w:color w:val="auto"/>
              </w:rPr>
            </w:pPr>
            <w:r>
              <w:rPr>
                <w:rFonts w:ascii="Arial" w:cs="Arial" w:eastAsia="Arial" w:hAnsi="Arial"/>
                <w:sz w:val="20"/>
                <w:szCs w:val="20"/>
                <w:color w:val="auto"/>
              </w:rPr>
              <w:t>Property and equipment</w:t>
            </w:r>
          </w:p>
        </w:tc>
        <w:tc>
          <w:tcPr>
            <w:tcW w:w="2080" w:type="dxa"/>
            <w:vAlign w:val="bottom"/>
            <w:gridSpan w:val="2"/>
          </w:tcPr>
          <w:p>
            <w:pPr>
              <w:jc w:val="right"/>
              <w:ind w:right="735"/>
              <w:spacing w:after="0"/>
              <w:rPr>
                <w:sz w:val="20"/>
                <w:szCs w:val="20"/>
                <w:color w:val="auto"/>
              </w:rPr>
            </w:pPr>
            <w:r>
              <w:rPr>
                <w:rFonts w:ascii="Arial" w:cs="Arial" w:eastAsia="Arial" w:hAnsi="Arial"/>
                <w:sz w:val="20"/>
                <w:szCs w:val="20"/>
                <w:color w:val="auto"/>
              </w:rPr>
              <w:t>3-30</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484</w:t>
            </w:r>
          </w:p>
        </w:tc>
        <w:tc>
          <w:tcPr>
            <w:tcW w:w="0" w:type="dxa"/>
            <w:vAlign w:val="bottom"/>
          </w:tcPr>
          <w:p>
            <w:pPr>
              <w:spacing w:after="0"/>
              <w:rPr>
                <w:sz w:val="1"/>
                <w:szCs w:val="1"/>
                <w:color w:val="auto"/>
              </w:rPr>
            </w:pPr>
          </w:p>
        </w:tc>
      </w:tr>
      <w:tr>
        <w:trPr>
          <w:trHeight w:val="309"/>
        </w:trPr>
        <w:tc>
          <w:tcPr>
            <w:tcW w:w="5860" w:type="dxa"/>
            <w:vAlign w:val="bottom"/>
          </w:tcPr>
          <w:p>
            <w:pPr>
              <w:ind w:left="40"/>
              <w:spacing w:after="0"/>
              <w:rPr>
                <w:sz w:val="20"/>
                <w:szCs w:val="20"/>
                <w:color w:val="auto"/>
              </w:rPr>
            </w:pPr>
            <w:r>
              <w:rPr>
                <w:rFonts w:ascii="Arial" w:cs="Arial" w:eastAsia="Arial" w:hAnsi="Arial"/>
                <w:sz w:val="20"/>
                <w:szCs w:val="20"/>
                <w:color w:val="auto"/>
              </w:rPr>
              <w:t>Intangible assets</w:t>
            </w:r>
          </w:p>
        </w:tc>
        <w:tc>
          <w:tcPr>
            <w:tcW w:w="2080" w:type="dxa"/>
            <w:vAlign w:val="bottom"/>
            <w:gridSpan w:val="2"/>
          </w:tcPr>
          <w:p>
            <w:pPr>
              <w:jc w:val="right"/>
              <w:ind w:right="815"/>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98"/>
        </w:trPr>
        <w:tc>
          <w:tcPr>
            <w:tcW w:w="5860" w:type="dxa"/>
            <w:vAlign w:val="bottom"/>
          </w:tcPr>
          <w:p>
            <w:pPr>
              <w:ind w:left="40"/>
              <w:spacing w:after="0"/>
              <w:rPr>
                <w:sz w:val="20"/>
                <w:szCs w:val="20"/>
                <w:color w:val="auto"/>
              </w:rPr>
            </w:pPr>
            <w:r>
              <w:rPr>
                <w:rFonts w:ascii="Arial" w:cs="Arial" w:eastAsia="Arial" w:hAnsi="Arial"/>
                <w:sz w:val="20"/>
                <w:szCs w:val="20"/>
                <w:color w:val="auto"/>
              </w:rPr>
              <w:t>Working capital and other assets and liabilities</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0"/>
                <w:szCs w:val="20"/>
                <w:color w:val="auto"/>
              </w:rPr>
              <w:t>N/A</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69"/>
        </w:trPr>
        <w:tc>
          <w:tcPr>
            <w:tcW w:w="5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532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-805815</wp:posOffset>
            </wp:positionV>
            <wp:extent cx="6410325" cy="812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5">
                      <a:extLst>
                        <a:ext uri="{28A0092B-C50C-407E-A947-70E740481C1C}"/>
                      </a:extLst>
                    </a:blip>
                    <a:srcRect/>
                    <a:stretch>
                      <a:fillRect/>
                    </a:stretch>
                  </pic:blipFill>
                  <pic:spPr bwMode="auto">
                    <a:xfrm>
                      <a:off x="0" y="0"/>
                      <a:ext cx="6410325" cy="812800"/>
                    </a:xfrm>
                    <a:prstGeom prst="rect">
                      <a:avLst/>
                    </a:prstGeom>
                    <a:noFill/>
                  </pic:spPr>
                </pic:pic>
              </a:graphicData>
            </a:graphic>
          </wp:anchor>
        </w:drawing>
      </w:r>
    </w:p>
    <w:p>
      <w:pPr>
        <w:spacing w:after="0" w:line="223" w:lineRule="exact"/>
        <w:rPr>
          <w:sz w:val="20"/>
          <w:szCs w:val="20"/>
          <w:color w:val="auto"/>
        </w:rPr>
      </w:pPr>
    </w:p>
    <w:p>
      <w:pPr>
        <w:ind w:right="60" w:firstLine="706"/>
        <w:spacing w:after="0" w:line="264" w:lineRule="auto"/>
        <w:rPr>
          <w:sz w:val="20"/>
          <w:szCs w:val="20"/>
          <w:color w:val="auto"/>
        </w:rPr>
      </w:pPr>
      <w:r>
        <w:rPr>
          <w:rFonts w:ascii="Arial" w:cs="Arial" w:eastAsia="Arial" w:hAnsi="Arial"/>
          <w:sz w:val="19"/>
          <w:szCs w:val="19"/>
          <w:color w:val="auto"/>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94" w:lineRule="exact"/>
        <w:rPr>
          <w:sz w:val="20"/>
          <w:szCs w:val="20"/>
          <w:color w:val="auto"/>
        </w:rPr>
      </w:pPr>
    </w:p>
    <w:p>
      <w:pPr>
        <w:ind w:right="40" w:firstLine="706"/>
        <w:spacing w:after="0" w:line="251" w:lineRule="auto"/>
        <w:rPr>
          <w:sz w:val="20"/>
          <w:szCs w:val="20"/>
          <w:color w:val="auto"/>
        </w:rPr>
      </w:pPr>
      <w:r>
        <w:rPr>
          <w:rFonts w:ascii="Arial" w:cs="Arial" w:eastAsia="Arial" w:hAnsi="Arial"/>
          <w:sz w:val="20"/>
          <w:szCs w:val="20"/>
          <w:color w:val="auto"/>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$8 million and $4 million during the years ended December 31, 2024 and 2023, respectively, and the future amortization expense through 2028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158115</wp:posOffset>
            </wp:positionV>
            <wp:extent cx="6372860" cy="8096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6">
                      <a:extLst>
                        <a:ext uri="{28A0092B-C50C-407E-A947-70E740481C1C}"/>
                      </a:extLst>
                    </a:blip>
                    <a:srcRect/>
                    <a:stretch>
                      <a:fillRect/>
                    </a:stretch>
                  </pic:blipFill>
                  <pic:spPr bwMode="auto">
                    <a:xfrm>
                      <a:off x="0" y="0"/>
                      <a:ext cx="6372860" cy="809625"/>
                    </a:xfrm>
                    <a:prstGeom prst="rect">
                      <a:avLst/>
                    </a:prstGeom>
                    <a:noFill/>
                  </pic:spPr>
                </pic:pic>
              </a:graphicData>
            </a:graphic>
          </wp:anchor>
        </w:drawing>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4200" w:type="dxa"/>
            <w:vAlign w:val="bottom"/>
          </w:tcPr>
          <w:p>
            <w:pPr>
              <w:jc w:val="right"/>
              <w:ind w:right="3702"/>
              <w:spacing w:after="0"/>
              <w:rPr>
                <w:sz w:val="20"/>
                <w:szCs w:val="20"/>
                <w:color w:val="auto"/>
              </w:rPr>
            </w:pPr>
            <w:r>
              <w:rPr>
                <w:rFonts w:ascii="Arial" w:cs="Arial" w:eastAsia="Arial" w:hAnsi="Arial"/>
                <w:sz w:val="20"/>
                <w:szCs w:val="20"/>
                <w:color w:val="auto"/>
                <w:w w:val="85"/>
              </w:rPr>
              <w:t>2025</w:t>
            </w:r>
          </w:p>
        </w:tc>
        <w:tc>
          <w:tcPr>
            <w:tcW w:w="4680" w:type="dxa"/>
            <w:vAlign w:val="bottom"/>
          </w:tcPr>
          <w:p>
            <w:pPr>
              <w:jc w:val="right"/>
              <w:ind w:right="68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09"/>
        </w:trPr>
        <w:tc>
          <w:tcPr>
            <w:tcW w:w="4200" w:type="dxa"/>
            <w:vAlign w:val="bottom"/>
          </w:tcPr>
          <w:p>
            <w:pPr>
              <w:jc w:val="right"/>
              <w:ind w:right="3702"/>
              <w:spacing w:after="0"/>
              <w:rPr>
                <w:sz w:val="20"/>
                <w:szCs w:val="20"/>
                <w:color w:val="auto"/>
              </w:rPr>
            </w:pPr>
            <w:r>
              <w:rPr>
                <w:rFonts w:ascii="Arial" w:cs="Arial" w:eastAsia="Arial" w:hAnsi="Arial"/>
                <w:sz w:val="20"/>
                <w:szCs w:val="20"/>
                <w:color w:val="auto"/>
                <w:w w:val="85"/>
              </w:rPr>
              <w:t>2026</w:t>
            </w:r>
          </w:p>
        </w:tc>
        <w:tc>
          <w:tcPr>
            <w:tcW w:w="4680" w:type="dxa"/>
            <w:vAlign w:val="bottom"/>
          </w:tcPr>
          <w:p>
            <w:pPr>
              <w:jc w:val="right"/>
              <w:ind w:right="68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09"/>
        </w:trPr>
        <w:tc>
          <w:tcPr>
            <w:tcW w:w="4200" w:type="dxa"/>
            <w:vAlign w:val="bottom"/>
          </w:tcPr>
          <w:p>
            <w:pPr>
              <w:jc w:val="right"/>
              <w:ind w:right="3702"/>
              <w:spacing w:after="0"/>
              <w:rPr>
                <w:sz w:val="20"/>
                <w:szCs w:val="20"/>
                <w:color w:val="auto"/>
              </w:rPr>
            </w:pPr>
            <w:r>
              <w:rPr>
                <w:rFonts w:ascii="Arial" w:cs="Arial" w:eastAsia="Arial" w:hAnsi="Arial"/>
                <w:sz w:val="20"/>
                <w:szCs w:val="20"/>
                <w:color w:val="auto"/>
                <w:w w:val="85"/>
              </w:rPr>
              <w:t>2027</w:t>
            </w:r>
          </w:p>
        </w:tc>
        <w:tc>
          <w:tcPr>
            <w:tcW w:w="4680" w:type="dxa"/>
            <w:vAlign w:val="bottom"/>
          </w:tcPr>
          <w:p>
            <w:pPr>
              <w:jc w:val="right"/>
              <w:ind w:right="68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09"/>
        </w:trPr>
        <w:tc>
          <w:tcPr>
            <w:tcW w:w="4200" w:type="dxa"/>
            <w:vAlign w:val="bottom"/>
          </w:tcPr>
          <w:p>
            <w:pPr>
              <w:jc w:val="right"/>
              <w:ind w:right="3702"/>
              <w:spacing w:after="0"/>
              <w:rPr>
                <w:sz w:val="20"/>
                <w:szCs w:val="20"/>
                <w:color w:val="auto"/>
              </w:rPr>
            </w:pPr>
            <w:r>
              <w:rPr>
                <w:rFonts w:ascii="Arial" w:cs="Arial" w:eastAsia="Arial" w:hAnsi="Arial"/>
                <w:sz w:val="20"/>
                <w:szCs w:val="20"/>
                <w:color w:val="auto"/>
                <w:w w:val="85"/>
              </w:rPr>
              <w:t>2028</w:t>
            </w:r>
          </w:p>
        </w:tc>
        <w:tc>
          <w:tcPr>
            <w:tcW w:w="4680" w:type="dxa"/>
            <w:vAlign w:val="bottom"/>
          </w:tcPr>
          <w:p>
            <w:pPr>
              <w:jc w:val="right"/>
              <w:ind w:right="68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r>
    </w:tbl>
    <w:p>
      <w:pPr>
        <w:spacing w:after="0" w:line="286" w:lineRule="exact"/>
        <w:rPr>
          <w:sz w:val="20"/>
          <w:szCs w:val="20"/>
          <w:color w:val="auto"/>
        </w:rPr>
      </w:pPr>
    </w:p>
    <w:p>
      <w:pPr>
        <w:jc w:val="both"/>
        <w:ind w:right="20" w:firstLine="706"/>
        <w:spacing w:after="0" w:line="258" w:lineRule="auto"/>
        <w:rPr>
          <w:sz w:val="20"/>
          <w:szCs w:val="20"/>
          <w:color w:val="auto"/>
        </w:rPr>
      </w:pPr>
      <w:r>
        <w:rPr>
          <w:rFonts w:ascii="Arial" w:cs="Arial" w:eastAsia="Arial" w:hAnsi="Arial"/>
          <w:sz w:val="20"/>
          <w:szCs w:val="20"/>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Cactus II</w:t>
      </w:r>
    </w:p>
    <w:p>
      <w:pPr>
        <w:spacing w:after="0" w:line="248" w:lineRule="exact"/>
        <w:rPr>
          <w:sz w:val="20"/>
          <w:szCs w:val="20"/>
          <w:color w:val="auto"/>
        </w:rPr>
      </w:pPr>
    </w:p>
    <w:p>
      <w:pPr>
        <w:ind w:right="120" w:firstLine="706"/>
        <w:spacing w:after="0" w:line="264" w:lineRule="auto"/>
        <w:rPr>
          <w:sz w:val="20"/>
          <w:szCs w:val="20"/>
          <w:color w:val="auto"/>
        </w:rPr>
      </w:pPr>
      <w:r>
        <w:rPr>
          <w:rFonts w:ascii="Arial" w:cs="Arial" w:eastAsia="Arial" w:hAnsi="Arial"/>
          <w:sz w:val="19"/>
          <w:szCs w:val="19"/>
          <w:color w:val="auto"/>
        </w:rPr>
        <w:t>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w:t>
      </w:r>
    </w:p>
    <w:p>
      <w:pPr>
        <w:spacing w:after="0" w:line="194" w:lineRule="exact"/>
        <w:rPr>
          <w:sz w:val="20"/>
          <w:szCs w:val="20"/>
          <w:color w:val="auto"/>
        </w:rPr>
      </w:pPr>
    </w:p>
    <w:p>
      <w:pPr>
        <w:ind w:right="440" w:firstLine="706"/>
        <w:spacing w:after="0" w:line="312" w:lineRule="auto"/>
        <w:rPr>
          <w:sz w:val="20"/>
          <w:szCs w:val="20"/>
          <w:color w:val="auto"/>
        </w:rPr>
      </w:pPr>
      <w:r>
        <w:rPr>
          <w:rFonts w:ascii="Arial" w:cs="Arial" w:eastAsia="Arial" w:hAnsi="Arial"/>
          <w:sz w:val="17"/>
          <w:szCs w:val="17"/>
          <w:color w:val="auto"/>
        </w:rPr>
        <w:t>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880" w:h="15480" w:orient="portrait"/>
          <w:cols w:equalWidth="0" w:num="1">
            <w:col w:w="10040"/>
          </w:cols>
          <w:pgMar w:left="920" w:top="337" w:right="920" w:bottom="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45" w:lineRule="exact"/>
        <w:rPr>
          <w:sz w:val="20"/>
          <w:szCs w:val="20"/>
          <w:color w:val="auto"/>
        </w:rPr>
      </w:pPr>
    </w:p>
    <w:p>
      <w:pPr>
        <w:ind w:right="100" w:firstLine="706"/>
        <w:spacing w:after="0" w:line="296" w:lineRule="auto"/>
        <w:rPr>
          <w:sz w:val="20"/>
          <w:szCs w:val="20"/>
          <w:color w:val="auto"/>
        </w:rPr>
      </w:pPr>
      <w:r>
        <w:rPr>
          <w:rFonts w:ascii="Arial" w:cs="Arial" w:eastAsia="Arial" w:hAnsi="Arial"/>
          <w:sz w:val="17"/>
          <w:szCs w:val="17"/>
          <w:color w:val="auto"/>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approximately 14%,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 on investments in unconsolidated entities, net” on our Consolidated Statement of Operations.</w:t>
      </w:r>
    </w:p>
    <w:p>
      <w:pPr>
        <w:spacing w:after="0" w:line="176" w:lineRule="exact"/>
        <w:rPr>
          <w:sz w:val="20"/>
          <w:szCs w:val="20"/>
          <w:color w:val="auto"/>
        </w:rPr>
      </w:pPr>
    </w:p>
    <w:p>
      <w:pPr>
        <w:ind w:right="100" w:firstLine="706"/>
        <w:spacing w:after="0" w:line="254" w:lineRule="auto"/>
        <w:rPr>
          <w:sz w:val="20"/>
          <w:szCs w:val="20"/>
          <w:color w:val="auto"/>
        </w:rPr>
      </w:pPr>
      <w:r>
        <w:rPr>
          <w:rFonts w:ascii="Arial" w:cs="Arial" w:eastAsia="Arial" w:hAnsi="Arial"/>
          <w:sz w:val="20"/>
          <w:szCs w:val="20"/>
          <w:color w:val="auto"/>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spacing w:after="0" w:line="202" w:lineRule="exact"/>
        <w:rPr>
          <w:sz w:val="20"/>
          <w:szCs w:val="20"/>
          <w:color w:val="auto"/>
        </w:rPr>
      </w:pPr>
    </w:p>
    <w:p>
      <w:pPr>
        <w:ind w:right="80" w:firstLine="706"/>
        <w:spacing w:after="0" w:line="325" w:lineRule="auto"/>
        <w:rPr>
          <w:sz w:val="20"/>
          <w:szCs w:val="20"/>
          <w:color w:val="auto"/>
        </w:rPr>
      </w:pPr>
      <w:r>
        <w:rPr>
          <w:rFonts w:ascii="Arial" w:cs="Arial" w:eastAsia="Arial" w:hAnsi="Arial"/>
          <w:sz w:val="17"/>
          <w:szCs w:val="17"/>
          <w:color w:val="auto"/>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7"/>
              </w:rPr>
              <w:t>Estimated Useful Lives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vMerge w:val="restart"/>
          </w:tcPr>
          <w:p>
            <w:pPr>
              <w:jc w:val="right"/>
              <w:ind w:right="146"/>
              <w:spacing w:after="0"/>
              <w:rPr>
                <w:sz w:val="20"/>
                <w:szCs w:val="20"/>
                <w:color w:val="auto"/>
              </w:rPr>
            </w:pPr>
            <w:r>
              <w:rPr>
                <w:rFonts w:ascii="Arial" w:cs="Arial" w:eastAsia="Arial" w:hAnsi="Arial"/>
                <w:sz w:val="16"/>
                <w:szCs w:val="16"/>
                <w:b w:val="1"/>
                <w:bCs w:val="1"/>
                <w:color w:val="auto"/>
                <w:w w:val="90"/>
              </w:rPr>
              <w:t>Recognized Amount</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200" w:type="dxa"/>
            <w:vAlign w:val="bottom"/>
          </w:tcPr>
          <w:p>
            <w:pPr>
              <w:ind w:left="40"/>
              <w:spacing w:after="0"/>
              <w:rPr>
                <w:sz w:val="20"/>
                <w:szCs w:val="20"/>
                <w:color w:val="auto"/>
              </w:rPr>
            </w:pPr>
            <w:r>
              <w:rPr>
                <w:rFonts w:ascii="Arial" w:cs="Arial" w:eastAsia="Arial" w:hAnsi="Arial"/>
                <w:sz w:val="20"/>
                <w:szCs w:val="20"/>
                <w:color w:val="auto"/>
              </w:rPr>
              <w:t>Property and equipment</w:t>
            </w:r>
          </w:p>
        </w:tc>
        <w:tc>
          <w:tcPr>
            <w:tcW w:w="1920" w:type="dxa"/>
            <w:vAlign w:val="bottom"/>
            <w:gridSpan w:val="2"/>
          </w:tcPr>
          <w:p>
            <w:pPr>
              <w:jc w:val="right"/>
              <w:ind w:right="675"/>
              <w:spacing w:after="0"/>
              <w:rPr>
                <w:sz w:val="20"/>
                <w:szCs w:val="20"/>
                <w:color w:val="auto"/>
              </w:rPr>
            </w:pPr>
            <w:r>
              <w:rPr>
                <w:rFonts w:ascii="Arial" w:cs="Arial" w:eastAsia="Arial" w:hAnsi="Arial"/>
                <w:sz w:val="20"/>
                <w:szCs w:val="20"/>
                <w:color w:val="auto"/>
              </w:rPr>
              <w:t>3-50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1,174</w:t>
            </w:r>
          </w:p>
        </w:tc>
        <w:tc>
          <w:tcPr>
            <w:tcW w:w="0" w:type="dxa"/>
            <w:vAlign w:val="bottom"/>
          </w:tcPr>
          <w:p>
            <w:pPr>
              <w:spacing w:after="0"/>
              <w:rPr>
                <w:sz w:val="1"/>
                <w:szCs w:val="1"/>
                <w:color w:val="auto"/>
              </w:rPr>
            </w:pPr>
          </w:p>
        </w:tc>
      </w:tr>
      <w:tr>
        <w:trPr>
          <w:trHeight w:val="309"/>
        </w:trPr>
        <w:tc>
          <w:tcPr>
            <w:tcW w:w="6200" w:type="dxa"/>
            <w:vAlign w:val="bottom"/>
          </w:tcPr>
          <w:p>
            <w:pPr>
              <w:ind w:left="40"/>
              <w:spacing w:after="0"/>
              <w:rPr>
                <w:sz w:val="20"/>
                <w:szCs w:val="20"/>
                <w:color w:val="auto"/>
              </w:rPr>
            </w:pPr>
            <w:r>
              <w:rPr>
                <w:rFonts w:ascii="Arial" w:cs="Arial" w:eastAsia="Arial" w:hAnsi="Arial"/>
                <w:sz w:val="20"/>
                <w:szCs w:val="20"/>
                <w:color w:val="auto"/>
              </w:rPr>
              <w:t>Intangible assets</w:t>
            </w:r>
          </w:p>
        </w:tc>
        <w:tc>
          <w:tcPr>
            <w:tcW w:w="1920" w:type="dxa"/>
            <w:vAlign w:val="bottom"/>
            <w:gridSpan w:val="2"/>
          </w:tcPr>
          <w:p>
            <w:pPr>
              <w:jc w:val="right"/>
              <w:ind w:right="755"/>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428</w:t>
            </w:r>
          </w:p>
        </w:tc>
        <w:tc>
          <w:tcPr>
            <w:tcW w:w="0" w:type="dxa"/>
            <w:vAlign w:val="bottom"/>
          </w:tcPr>
          <w:p>
            <w:pPr>
              <w:spacing w:after="0"/>
              <w:rPr>
                <w:sz w:val="1"/>
                <w:szCs w:val="1"/>
                <w:color w:val="auto"/>
              </w:rPr>
            </w:pPr>
          </w:p>
        </w:tc>
      </w:tr>
      <w:tr>
        <w:trPr>
          <w:trHeight w:val="312"/>
        </w:trPr>
        <w:tc>
          <w:tcPr>
            <w:tcW w:w="6200" w:type="dxa"/>
            <w:vAlign w:val="bottom"/>
          </w:tcPr>
          <w:p>
            <w:pPr>
              <w:ind w:left="40"/>
              <w:spacing w:after="0"/>
              <w:rPr>
                <w:sz w:val="20"/>
                <w:szCs w:val="20"/>
                <w:color w:val="auto"/>
              </w:rPr>
            </w:pPr>
            <w:r>
              <w:rPr>
                <w:rFonts w:ascii="Arial" w:cs="Arial" w:eastAsia="Arial" w:hAnsi="Arial"/>
                <w:sz w:val="20"/>
                <w:szCs w:val="20"/>
                <w:color w:val="auto"/>
              </w:rPr>
              <w:t>Working capital and other assets and liabilities</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69"/>
        </w:trPr>
        <w:tc>
          <w:tcPr>
            <w:tcW w:w="6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1,556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-814705</wp:posOffset>
            </wp:positionV>
            <wp:extent cx="6410325" cy="821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7">
                      <a:extLst>
                        <a:ext uri="{28A0092B-C50C-407E-A947-70E740481C1C}"/>
                      </a:extLst>
                    </a:blip>
                    <a:srcRect/>
                    <a:stretch>
                      <a:fillRect/>
                    </a:stretch>
                  </pic:blipFill>
                  <pic:spPr bwMode="auto">
                    <a:xfrm>
                      <a:off x="0" y="0"/>
                      <a:ext cx="6410325" cy="821690"/>
                    </a:xfrm>
                    <a:prstGeom prst="rect">
                      <a:avLst/>
                    </a:prstGeom>
                    <a:noFill/>
                  </pic:spPr>
                </pic:pic>
              </a:graphicData>
            </a:graphic>
          </wp:anchor>
        </w:drawing>
      </w:r>
    </w:p>
    <w:p>
      <w:pPr>
        <w:spacing w:after="0" w:line="223" w:lineRule="exact"/>
        <w:rPr>
          <w:sz w:val="20"/>
          <w:szCs w:val="20"/>
          <w:color w:val="auto"/>
        </w:rPr>
      </w:pPr>
    </w:p>
    <w:p>
      <w:pPr>
        <w:ind w:right="40" w:firstLine="706"/>
        <w:spacing w:after="0" w:line="299" w:lineRule="auto"/>
        <w:rPr>
          <w:sz w:val="20"/>
          <w:szCs w:val="20"/>
          <w:color w:val="auto"/>
        </w:rPr>
      </w:pPr>
      <w:r>
        <w:rPr>
          <w:rFonts w:ascii="Arial" w:cs="Arial" w:eastAsia="Arial" w:hAnsi="Arial"/>
          <w:sz w:val="17"/>
          <w:szCs w:val="17"/>
          <w:color w:val="auto"/>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169" w:lineRule="exact"/>
        <w:rPr>
          <w:sz w:val="20"/>
          <w:szCs w:val="20"/>
          <w:color w:val="auto"/>
        </w:rPr>
      </w:pPr>
    </w:p>
    <w:p>
      <w:pPr>
        <w:ind w:right="60" w:firstLine="706"/>
        <w:spacing w:after="0" w:line="296" w:lineRule="auto"/>
        <w:rPr>
          <w:sz w:val="20"/>
          <w:szCs w:val="20"/>
          <w:color w:val="auto"/>
        </w:rPr>
      </w:pPr>
      <w:r>
        <w:rPr>
          <w:rFonts w:ascii="Arial" w:cs="Arial" w:eastAsia="Arial" w:hAnsi="Arial"/>
          <w:sz w:val="17"/>
          <w:szCs w:val="17"/>
          <w:color w:val="auto"/>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color w:val="auto"/>
        </w:rPr>
        <w:t>$51 million, $61 million and $13 million during the years ended December 31, 2024, 2023 and 2022, respectively, and the future amortization expense through 2027 is estimated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157480</wp:posOffset>
            </wp:positionV>
            <wp:extent cx="6410325" cy="6134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8">
                      <a:extLst>
                        <a:ext uri="{28A0092B-C50C-407E-A947-70E740481C1C}"/>
                      </a:extLst>
                    </a:blip>
                    <a:srcRect/>
                    <a:stretch>
                      <a:fillRect/>
                    </a:stretch>
                  </pic:blipFill>
                  <pic:spPr bwMode="auto">
                    <a:xfrm>
                      <a:off x="0" y="0"/>
                      <a:ext cx="6410325" cy="613410"/>
                    </a:xfrm>
                    <a:prstGeom prst="rect">
                      <a:avLst/>
                    </a:prstGeom>
                    <a:noFill/>
                  </pic:spPr>
                </pic:pic>
              </a:graphicData>
            </a:graphic>
          </wp:anchor>
        </w:drawing>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4300" w:type="dxa"/>
            <w:vAlign w:val="bottom"/>
          </w:tcPr>
          <w:p>
            <w:pPr>
              <w:jc w:val="right"/>
              <w:ind w:right="3802"/>
              <w:spacing w:after="0"/>
              <w:rPr>
                <w:sz w:val="20"/>
                <w:szCs w:val="20"/>
                <w:color w:val="auto"/>
              </w:rPr>
            </w:pPr>
            <w:r>
              <w:rPr>
                <w:rFonts w:ascii="Arial" w:cs="Arial" w:eastAsia="Arial" w:hAnsi="Arial"/>
                <w:sz w:val="20"/>
                <w:szCs w:val="20"/>
                <w:color w:val="auto"/>
                <w:w w:val="85"/>
              </w:rPr>
              <w:t>2025</w:t>
            </w:r>
          </w:p>
        </w:tc>
        <w:tc>
          <w:tcPr>
            <w:tcW w:w="4720" w:type="dxa"/>
            <w:vAlign w:val="bottom"/>
          </w:tcPr>
          <w:p>
            <w:pPr>
              <w:jc w:val="right"/>
              <w:ind w:right="6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09"/>
        </w:trPr>
        <w:tc>
          <w:tcPr>
            <w:tcW w:w="4300" w:type="dxa"/>
            <w:vAlign w:val="bottom"/>
          </w:tcPr>
          <w:p>
            <w:pPr>
              <w:jc w:val="right"/>
              <w:ind w:right="3802"/>
              <w:spacing w:after="0"/>
              <w:rPr>
                <w:sz w:val="20"/>
                <w:szCs w:val="20"/>
                <w:color w:val="auto"/>
              </w:rPr>
            </w:pPr>
            <w:r>
              <w:rPr>
                <w:rFonts w:ascii="Arial" w:cs="Arial" w:eastAsia="Arial" w:hAnsi="Arial"/>
                <w:sz w:val="20"/>
                <w:szCs w:val="20"/>
                <w:color w:val="auto"/>
                <w:w w:val="85"/>
              </w:rPr>
              <w:t>2026</w:t>
            </w:r>
          </w:p>
        </w:tc>
        <w:tc>
          <w:tcPr>
            <w:tcW w:w="4720" w:type="dxa"/>
            <w:vAlign w:val="bottom"/>
          </w:tcPr>
          <w:p>
            <w:pPr>
              <w:jc w:val="right"/>
              <w:ind w:right="6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09"/>
        </w:trPr>
        <w:tc>
          <w:tcPr>
            <w:tcW w:w="4300" w:type="dxa"/>
            <w:vAlign w:val="bottom"/>
          </w:tcPr>
          <w:p>
            <w:pPr>
              <w:jc w:val="right"/>
              <w:ind w:right="3802"/>
              <w:spacing w:after="0"/>
              <w:rPr>
                <w:sz w:val="20"/>
                <w:szCs w:val="20"/>
                <w:color w:val="auto"/>
              </w:rPr>
            </w:pPr>
            <w:r>
              <w:rPr>
                <w:rFonts w:ascii="Arial" w:cs="Arial" w:eastAsia="Arial" w:hAnsi="Arial"/>
                <w:sz w:val="20"/>
                <w:szCs w:val="20"/>
                <w:color w:val="auto"/>
                <w:w w:val="85"/>
              </w:rPr>
              <w:t>2027</w:t>
            </w:r>
          </w:p>
        </w:tc>
        <w:tc>
          <w:tcPr>
            <w:tcW w:w="4720" w:type="dxa"/>
            <w:vAlign w:val="bottom"/>
          </w:tcPr>
          <w:p>
            <w:pPr>
              <w:jc w:val="right"/>
              <w:ind w:right="6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32</w:t>
            </w:r>
          </w:p>
        </w:tc>
      </w:tr>
    </w:tbl>
    <w:p>
      <w:pPr>
        <w:spacing w:after="0" w:line="286" w:lineRule="exact"/>
        <w:rPr>
          <w:sz w:val="20"/>
          <w:szCs w:val="20"/>
          <w:color w:val="auto"/>
        </w:rPr>
      </w:pPr>
    </w:p>
    <w:p>
      <w:pPr>
        <w:ind w:right="280" w:firstLine="706"/>
        <w:spacing w:after="0" w:line="258" w:lineRule="auto"/>
        <w:rPr>
          <w:sz w:val="20"/>
          <w:szCs w:val="20"/>
          <w:color w:val="auto"/>
        </w:rPr>
      </w:pPr>
      <w:r>
        <w:rPr>
          <w:rFonts w:ascii="Arial" w:cs="Arial" w:eastAsia="Arial" w:hAnsi="Arial"/>
          <w:sz w:val="20"/>
          <w:szCs w:val="20"/>
          <w:color w:val="auto"/>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880" w:h="15480" w:orient="portrait"/>
          <w:cols w:equalWidth="0" w:num="1">
            <w:col w:w="10040"/>
          </w:cols>
          <w:pgMar w:left="920" w:top="337" w:right="920" w:bottom="0" w:gutter="0" w:footer="0" w:header="0"/>
          <w:type w:val="continuous"/>
        </w:sectPr>
      </w:pPr>
    </w:p>
    <w:bookmarkStart w:id="130" w:name="page131"/>
    <w:bookmarkEnd w:id="130"/>
    <w:p>
      <w:pPr>
        <w:jc w:val="center"/>
        <w:ind w:right="-59"/>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Acquisitions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w:t>
      </w:r>
    </w:p>
    <w:p>
      <w:pPr>
        <w:spacing w:after="0" w:line="248" w:lineRule="exact"/>
        <w:rPr>
          <w:sz w:val="20"/>
          <w:szCs w:val="20"/>
          <w:color w:val="auto"/>
        </w:rPr>
      </w:pPr>
    </w:p>
    <w:p>
      <w:pPr>
        <w:ind w:firstLine="706"/>
        <w:spacing w:after="0" w:line="303" w:lineRule="auto"/>
        <w:rPr>
          <w:sz w:val="20"/>
          <w:szCs w:val="20"/>
          <w:color w:val="auto"/>
        </w:rPr>
      </w:pPr>
      <w:r>
        <w:rPr>
          <w:rFonts w:ascii="Arial" w:cs="Arial" w:eastAsia="Arial" w:hAnsi="Arial"/>
          <w:sz w:val="17"/>
          <w:szCs w:val="17"/>
          <w:color w:val="auto"/>
        </w:rPr>
        <w:t>In January 2025, we acquired Ironwood Midstream Energy Partners II, LLC, which owns a gathering system in the Eagle Ford Basin, for approximately $475 million from EnCap Flatrock Midstream. In January 2025, in a separate transaction, we also repurchased from EnCap Flatrock Midstream, approximately 18% of our outstanding Series A preferred units, which equated to less than 2% of our outstanding common units and Series A preferred units combined (our “common unit equivalents”). EnCap Flatrock Midstream is affiliated with EnCap Investments, L.P., an entity that is associated with a member of the board of directors of our general partner. See Note 11 for additional information.</w:t>
      </w:r>
    </w:p>
    <w:p>
      <w:pPr>
        <w:spacing w:after="0" w:line="166" w:lineRule="exact"/>
        <w:rPr>
          <w:sz w:val="20"/>
          <w:szCs w:val="20"/>
          <w:color w:val="auto"/>
        </w:rPr>
      </w:pPr>
    </w:p>
    <w:p>
      <w:pPr>
        <w:ind w:right="60" w:firstLine="706"/>
        <w:spacing w:after="0" w:line="268" w:lineRule="auto"/>
        <w:rPr>
          <w:sz w:val="20"/>
          <w:szCs w:val="20"/>
          <w:color w:val="auto"/>
        </w:rPr>
      </w:pPr>
      <w:r>
        <w:rPr>
          <w:rFonts w:ascii="Arial" w:cs="Arial" w:eastAsia="Arial" w:hAnsi="Arial"/>
          <w:sz w:val="19"/>
          <w:szCs w:val="19"/>
          <w:color w:val="auto"/>
        </w:rPr>
        <w:t>In January 2025, we acquired EMG Medallion 2 Holdings, LLC and its subsidiaries, which own a crude oil gathering and transportation business in the Delaware Basin, for $161 million (approximately $105 million net to our 65% interest in the Permian JV), subject to certain adjustments. A cash deposit of approximately $16 million was paid upon signing in December 2024. EMG Medallion 2 Holdings was a portfolio company of The Energy &amp; Minerals Group (“EMG”), which is associated with a member of the board of directors of our general partner.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During the year ended December 31, 2024, we also completed the following acquisitions:</w:t>
      </w:r>
    </w:p>
    <w:p>
      <w:pPr>
        <w:spacing w:after="0" w:line="240" w:lineRule="exact"/>
        <w:rPr>
          <w:sz w:val="20"/>
          <w:szCs w:val="20"/>
          <w:color w:val="auto"/>
        </w:rPr>
      </w:pPr>
    </w:p>
    <w:p>
      <w:pPr>
        <w:ind w:left="700" w:right="80" w:hanging="355"/>
        <w:spacing w:after="0" w:line="306"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acquisition in December 2024 of the remaining 50% interest in Midway Pipeline LLC (“Midway”) for approximately $90 million. As a result of this transaction, we now own 100% of Midway and reflect such entity as a consolidated subsidiary in our Consolidated Financial Statements. The remeasurement of our previously-held investment in Midway to fair value resulted in a gain of approximately $15 million. This gain is reflected in “Gain on investments in unconsolidated entities, net” on our Consolidated Statement of Operations.</w:t>
      </w:r>
    </w:p>
    <w:p>
      <w:pPr>
        <w:spacing w:after="0" w:line="165" w:lineRule="exact"/>
        <w:rPr>
          <w:rFonts w:ascii="Arial" w:cs="Arial" w:eastAsia="Arial" w:hAnsi="Arial"/>
          <w:sz w:val="17"/>
          <w:szCs w:val="17"/>
          <w:color w:val="auto"/>
        </w:rPr>
      </w:pPr>
    </w:p>
    <w:p>
      <w:pPr>
        <w:ind w:left="700" w:right="20" w:hanging="355"/>
        <w:spacing w:after="0" w:line="268" w:lineRule="auto"/>
        <w:tabs>
          <w:tab w:leader="none" w:pos="7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acquisition of additional interests in certain unconsolidated entities, including (i) the acquisition in August 2024 of an additional approximate 0.67% interest in Wink to Webster Pipeline LLC (increasing our ownership interest from 16% to 17%) for $20 million and (ii) the acquisition in March 2024 of an additional 10% interest in Saddlehorn Pipeline Company, LLC (increasing our ownership interest from 30% to 40%) for $91 million. See Note 8 for additional information about our investments in unconsolidated entities.</w:t>
      </w:r>
    </w:p>
    <w:p>
      <w:pPr>
        <w:spacing w:after="0" w:line="191" w:lineRule="exact"/>
        <w:rPr>
          <w:rFonts w:ascii="Arial" w:cs="Arial" w:eastAsia="Arial" w:hAnsi="Arial"/>
          <w:sz w:val="19"/>
          <w:szCs w:val="19"/>
          <w:color w:val="auto"/>
        </w:rPr>
      </w:pPr>
    </w:p>
    <w:p>
      <w:pPr>
        <w:ind w:left="700" w:right="240" w:hanging="355"/>
        <w:spacing w:after="0" w:line="271" w:lineRule="auto"/>
        <w:tabs>
          <w:tab w:leader="none" w:pos="7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acquisition in the second and third quarters of 2024 of pipeline and terminal assets within our asset footprint for approximately $32 million.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w:t>
      </w:r>
    </w:p>
    <w:p>
      <w:pPr>
        <w:spacing w:after="0" w:line="248" w:lineRule="exact"/>
        <w:rPr>
          <w:sz w:val="20"/>
          <w:szCs w:val="20"/>
          <w:color w:val="auto"/>
        </w:rPr>
      </w:pPr>
    </w:p>
    <w:p>
      <w:pPr>
        <w:ind w:right="140" w:firstLine="706"/>
        <w:spacing w:after="0" w:line="254" w:lineRule="auto"/>
        <w:rPr>
          <w:sz w:val="20"/>
          <w:szCs w:val="20"/>
          <w:color w:val="auto"/>
        </w:rPr>
      </w:pPr>
      <w:r>
        <w:rPr>
          <w:rFonts w:ascii="Arial" w:cs="Arial" w:eastAsia="Arial" w:hAnsi="Arial"/>
          <w:sz w:val="20"/>
          <w:szCs w:val="20"/>
          <w:color w:val="auto"/>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During the year ended December 31, 2022, we also completed the following acquisitions:</w:t>
      </w:r>
    </w:p>
    <w:p>
      <w:pPr>
        <w:spacing w:after="0" w:line="240" w:lineRule="exact"/>
        <w:rPr>
          <w:sz w:val="20"/>
          <w:szCs w:val="20"/>
          <w:color w:val="auto"/>
        </w:rPr>
      </w:pPr>
    </w:p>
    <w:p>
      <w:pPr>
        <w:ind w:left="700" w:right="220" w:hanging="355"/>
        <w:spacing w:after="0" w:line="312" w:lineRule="auto"/>
        <w:tabs>
          <w:tab w:leader="none" w:pos="7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acquisition in July 2022 of the remaining 50% interest in Advantage Pipeline Holdings LLC (“Advantage”) for $74 million (approximately $48 million net to our 65% interest in the Permian JV), including cash paid for working capital. As a result of this transaction, we now own 100% of Advantage and its subsidiaries and such entities are reflected as consolidated subsidiaries in our Consolidated Financial Statements.</w:t>
      </w:r>
    </w:p>
    <w:p>
      <w:pPr>
        <w:sectPr>
          <w:pgSz w:w="11880" w:h="15480" w:orient="portrait"/>
          <w:cols w:equalWidth="0" w:num="1">
            <w:col w:w="9980"/>
          </w:cols>
          <w:pgMar w:left="920" w:top="33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F-25</w:t>
      </w:r>
    </w:p>
    <w:p>
      <w:pPr>
        <w:sectPr>
          <w:pgSz w:w="11880" w:h="15480" w:orient="portrait"/>
          <w:cols w:equalWidth="0" w:num="1">
            <w:col w:w="9980"/>
          </w:cols>
          <w:pgMar w:left="920" w:top="337" w:right="980" w:bottom="0" w:gutter="0" w:footer="0" w:header="0"/>
          <w:type w:val="continuous"/>
        </w:sectPr>
      </w:pPr>
    </w:p>
    <w:bookmarkStart w:id="131" w:name="page132"/>
    <w:bookmarkEnd w:id="131"/>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07" w:right="140" w:hanging="355"/>
        <w:spacing w:after="0" w:line="250" w:lineRule="auto"/>
        <w:tabs>
          <w:tab w:leader="none" w:pos="707"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Divestitures</w:t>
      </w:r>
    </w:p>
    <w:p>
      <w:pPr>
        <w:spacing w:after="0" w:line="248" w:lineRule="exact"/>
        <w:rPr>
          <w:sz w:val="20"/>
          <w:szCs w:val="20"/>
          <w:color w:val="auto"/>
        </w:rPr>
      </w:pPr>
    </w:p>
    <w:p>
      <w:pPr>
        <w:ind w:left="7" w:right="40" w:firstLine="706"/>
        <w:spacing w:after="0" w:line="303" w:lineRule="auto"/>
        <w:rPr>
          <w:sz w:val="20"/>
          <w:szCs w:val="20"/>
          <w:color w:val="auto"/>
        </w:rPr>
      </w:pPr>
      <w:r>
        <w:rPr>
          <w:rFonts w:ascii="Arial" w:cs="Arial" w:eastAsia="Arial" w:hAnsi="Arial"/>
          <w:sz w:val="17"/>
          <w:szCs w:val="17"/>
          <w:color w:val="auto"/>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Upon the sale of this facility, we recognized a gain of approximately $140 million which is included in “(Gains)/losses on asset sales, asset impairments and other, net” on our Consolidated Statement of Operations.</w:t>
      </w:r>
    </w:p>
    <w:p>
      <w:pPr>
        <w:spacing w:after="0" w:line="166" w:lineRule="exact"/>
        <w:rPr>
          <w:sz w:val="20"/>
          <w:szCs w:val="20"/>
          <w:color w:val="auto"/>
        </w:rPr>
      </w:pPr>
    </w:p>
    <w:p>
      <w:pPr>
        <w:ind w:left="7" w:right="180" w:firstLine="706"/>
        <w:spacing w:after="0" w:line="250" w:lineRule="auto"/>
        <w:rPr>
          <w:sz w:val="20"/>
          <w:szCs w:val="20"/>
          <w:color w:val="auto"/>
        </w:rPr>
      </w:pPr>
      <w:r>
        <w:rPr>
          <w:rFonts w:ascii="Arial" w:cs="Arial" w:eastAsia="Arial" w:hAnsi="Arial"/>
          <w:sz w:val="20"/>
          <w:szCs w:val="20"/>
          <w:color w:val="auto"/>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asset impairments and other, net” on our Consolidated Statement of Operations.</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8—Investments in Unconsolidated Entities</w:t>
      </w:r>
    </w:p>
    <w:p>
      <w:pPr>
        <w:spacing w:after="0" w:line="248" w:lineRule="exact"/>
        <w:rPr>
          <w:sz w:val="20"/>
          <w:szCs w:val="20"/>
          <w:color w:val="auto"/>
        </w:rPr>
      </w:pPr>
    </w:p>
    <w:p>
      <w:pPr>
        <w:ind w:left="7" w:right="280" w:firstLine="706"/>
        <w:spacing w:after="0" w:line="264" w:lineRule="auto"/>
        <w:rPr>
          <w:sz w:val="20"/>
          <w:szCs w:val="20"/>
          <w:color w:val="auto"/>
        </w:rPr>
      </w:pPr>
      <w:r>
        <w:rPr>
          <w:rFonts w:ascii="Arial" w:cs="Arial" w:eastAsia="Arial" w:hAnsi="Arial"/>
          <w:sz w:val="19"/>
          <w:szCs w:val="19"/>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94" w:lineRule="exact"/>
        <w:rPr>
          <w:sz w:val="20"/>
          <w:szCs w:val="20"/>
          <w:color w:val="auto"/>
        </w:rPr>
      </w:pPr>
    </w:p>
    <w:p>
      <w:pPr>
        <w:ind w:left="707"/>
        <w:spacing w:after="0"/>
        <w:rPr>
          <w:sz w:val="20"/>
          <w:szCs w:val="20"/>
          <w:color w:val="auto"/>
        </w:rPr>
      </w:pPr>
      <w:r>
        <w:rPr>
          <w:rFonts w:ascii="Arial" w:cs="Arial" w:eastAsia="Arial" w:hAnsi="Arial"/>
          <w:sz w:val="19"/>
          <w:szCs w:val="19"/>
          <w:color w:val="auto"/>
        </w:rPr>
        <w:t>Our investments in unconsolidated entities consisted of the following (in millions, except percentage data):</w:t>
      </w:r>
    </w:p>
    <w:p>
      <w:pPr>
        <w:spacing w:after="0" w:line="345"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Ownership</w:t>
            </w:r>
          </w:p>
        </w:tc>
        <w:tc>
          <w:tcPr>
            <w:tcW w:w="260" w:type="dxa"/>
            <w:vAlign w:val="bottom"/>
          </w:tcPr>
          <w:p>
            <w:pPr>
              <w:spacing w:after="0"/>
              <w:rPr>
                <w:sz w:val="16"/>
                <w:szCs w:val="16"/>
                <w:color w:val="auto"/>
              </w:rPr>
            </w:pPr>
          </w:p>
        </w:tc>
        <w:tc>
          <w:tcPr>
            <w:tcW w:w="1960" w:type="dxa"/>
            <w:vAlign w:val="bottom"/>
            <w:gridSpan w:val="4"/>
            <w:vMerge w:val="restart"/>
          </w:tcPr>
          <w:p>
            <w:pPr>
              <w:jc w:val="right"/>
              <w:ind w:right="364"/>
              <w:spacing w:after="0"/>
              <w:rPr>
                <w:sz w:val="20"/>
                <w:szCs w:val="20"/>
                <w:color w:val="auto"/>
              </w:rPr>
            </w:pPr>
            <w:r>
              <w:rPr>
                <w:rFonts w:ascii="Arial" w:cs="Arial" w:eastAsia="Arial" w:hAnsi="Arial"/>
                <w:sz w:val="16"/>
                <w:szCs w:val="16"/>
                <w:b w:val="1"/>
                <w:bCs w:val="1"/>
                <w:color w:val="auto"/>
                <w:w w:val="98"/>
              </w:rPr>
              <w:t>Investment Balance</w:t>
            </w:r>
          </w:p>
        </w:tc>
        <w:tc>
          <w:tcPr>
            <w:tcW w:w="0" w:type="dxa"/>
            <w:vAlign w:val="bottom"/>
          </w:tcPr>
          <w:p>
            <w:pPr>
              <w:spacing w:after="0"/>
              <w:rPr>
                <w:sz w:val="1"/>
                <w:szCs w:val="1"/>
                <w:color w:val="auto"/>
              </w:rPr>
            </w:pPr>
          </w:p>
        </w:tc>
      </w:tr>
      <w:tr>
        <w:trPr>
          <w:trHeight w:val="64"/>
        </w:trPr>
        <w:tc>
          <w:tcPr>
            <w:tcW w:w="3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jc w:val="center"/>
              <w:ind w:right="80"/>
              <w:spacing w:after="0" w:line="157" w:lineRule="exact"/>
              <w:rPr>
                <w:sz w:val="20"/>
                <w:szCs w:val="20"/>
                <w:color w:val="auto"/>
              </w:rPr>
            </w:pPr>
            <w:r>
              <w:rPr>
                <w:rFonts w:ascii="Arial" w:cs="Arial" w:eastAsia="Arial" w:hAnsi="Arial"/>
                <w:sz w:val="16"/>
                <w:szCs w:val="16"/>
                <w:b w:val="1"/>
                <w:bCs w:val="1"/>
                <w:color w:val="auto"/>
                <w:w w:val="88"/>
              </w:rPr>
              <w:t>Interest at</w:t>
            </w:r>
          </w:p>
        </w:tc>
        <w:tc>
          <w:tcPr>
            <w:tcW w:w="260" w:type="dxa"/>
            <w:vAlign w:val="bottom"/>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3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960" w:type="dxa"/>
            <w:vAlign w:val="bottom"/>
            <w:gridSpan w:val="4"/>
            <w:vMerge w:val="restart"/>
          </w:tcPr>
          <w:p>
            <w:pPr>
              <w:jc w:val="right"/>
              <w:ind w:right="56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80"/>
              <w:spacing w:after="0" w:line="117"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 xml:space="preserve">Entity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 of Operation</w:t>
            </w:r>
          </w:p>
        </w:tc>
        <w:tc>
          <w:tcPr>
            <w:tcW w:w="80" w:type="dxa"/>
            <w:vAlign w:val="bottom"/>
          </w:tcPr>
          <w:p>
            <w:pPr>
              <w:spacing w:after="0"/>
              <w:rPr>
                <w:sz w:val="19"/>
                <w:szCs w:val="19"/>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0"/>
        </w:trPr>
        <w:tc>
          <w:tcPr>
            <w:tcW w:w="4380" w:type="dxa"/>
            <w:vAlign w:val="bottom"/>
            <w:gridSpan w:val="2"/>
          </w:tcPr>
          <w:p>
            <w:pPr>
              <w:ind w:left="60"/>
              <w:spacing w:after="0"/>
              <w:rPr>
                <w:sz w:val="20"/>
                <w:szCs w:val="20"/>
                <w:color w:val="auto"/>
              </w:rPr>
            </w:pPr>
            <w:r>
              <w:rPr>
                <w:rFonts w:ascii="Arial" w:cs="Arial" w:eastAsia="Arial" w:hAnsi="Arial"/>
                <w:sz w:val="20"/>
                <w:szCs w:val="20"/>
                <w:color w:val="auto"/>
                <w:w w:val="99"/>
              </w:rPr>
              <w:t>BridgeTex Pipeline Company, LLC (“BridgeTex”)</w:t>
            </w:r>
          </w:p>
        </w:tc>
        <w:tc>
          <w:tcPr>
            <w:tcW w:w="60" w:type="dxa"/>
            <w:vAlign w:val="bottom"/>
          </w:tcPr>
          <w:p>
            <w:pPr>
              <w:spacing w:after="0"/>
              <w:rPr>
                <w:sz w:val="23"/>
                <w:szCs w:val="23"/>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120" w:type="dxa"/>
            <w:vAlign w:val="bottom"/>
            <w:gridSpan w:val="2"/>
          </w:tcPr>
          <w:p>
            <w:pPr>
              <w:ind w:left="440"/>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3"/>
                <w:szCs w:val="23"/>
                <w:color w:val="auto"/>
              </w:rPr>
            </w:pP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403</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363</w:t>
            </w:r>
          </w:p>
        </w:tc>
        <w:tc>
          <w:tcPr>
            <w:tcW w:w="0" w:type="dxa"/>
            <w:vAlign w:val="bottom"/>
          </w:tcPr>
          <w:p>
            <w:pPr>
              <w:spacing w:after="0"/>
              <w:rPr>
                <w:sz w:val="1"/>
                <w:szCs w:val="1"/>
                <w:color w:val="auto"/>
              </w:rPr>
            </w:pPr>
          </w:p>
        </w:tc>
      </w:tr>
      <w:tr>
        <w:trPr>
          <w:trHeight w:val="333"/>
        </w:trPr>
        <w:tc>
          <w:tcPr>
            <w:tcW w:w="4380" w:type="dxa"/>
            <w:vAlign w:val="bottom"/>
            <w:gridSpan w:val="2"/>
          </w:tcPr>
          <w:p>
            <w:pPr>
              <w:ind w:left="60"/>
              <w:spacing w:after="0"/>
              <w:rPr>
                <w:sz w:val="20"/>
                <w:szCs w:val="20"/>
                <w:color w:val="auto"/>
              </w:rPr>
            </w:pPr>
            <w:r>
              <w:rPr>
                <w:rFonts w:ascii="Arial" w:cs="Arial" w:eastAsia="Arial" w:hAnsi="Arial"/>
                <w:sz w:val="20"/>
                <w:szCs w:val="20"/>
                <w:color w:val="auto"/>
              </w:rPr>
              <w:t xml:space="preserve">Capline Pipeline Company LLC (“Capline”) </w:t>
            </w:r>
            <w:r>
              <w:rPr>
                <w:rFonts w:ascii="Arial" w:cs="Arial" w:eastAsia="Arial" w:hAnsi="Arial"/>
                <w:sz w:val="25"/>
                <w:szCs w:val="25"/>
                <w:color w:val="auto"/>
                <w:vertAlign w:val="superscript"/>
              </w:rPr>
              <w:t>(2)</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120" w:type="dxa"/>
            <w:vAlign w:val="bottom"/>
            <w:gridSpan w:val="2"/>
          </w:tcPr>
          <w:p>
            <w:pPr>
              <w:ind w:left="440"/>
              <w:spacing w:after="0"/>
              <w:rPr>
                <w:sz w:val="20"/>
                <w:szCs w:val="20"/>
                <w:color w:val="auto"/>
              </w:rPr>
            </w:pPr>
            <w:r>
              <w:rPr>
                <w:rFonts w:ascii="Arial" w:cs="Arial" w:eastAsia="Arial" w:hAnsi="Arial"/>
                <w:sz w:val="20"/>
                <w:szCs w:val="20"/>
                <w:color w:val="auto"/>
              </w:rPr>
              <w:t>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535</w:t>
            </w:r>
          </w:p>
        </w:tc>
        <w:tc>
          <w:tcPr>
            <w:tcW w:w="0" w:type="dxa"/>
            <w:vAlign w:val="bottom"/>
          </w:tcPr>
          <w:p>
            <w:pPr>
              <w:spacing w:after="0"/>
              <w:rPr>
                <w:sz w:val="1"/>
                <w:szCs w:val="1"/>
                <w:color w:val="auto"/>
              </w:rPr>
            </w:pPr>
          </w:p>
        </w:tc>
      </w:tr>
      <w:tr>
        <w:trPr>
          <w:trHeight w:val="255"/>
        </w:trPr>
        <w:tc>
          <w:tcPr>
            <w:tcW w:w="4380" w:type="dxa"/>
            <w:vAlign w:val="bottom"/>
            <w:gridSpan w:val="2"/>
          </w:tcPr>
          <w:p>
            <w:pPr>
              <w:ind w:left="60"/>
              <w:spacing w:after="0"/>
              <w:rPr>
                <w:sz w:val="20"/>
                <w:szCs w:val="20"/>
                <w:color w:val="auto"/>
              </w:rPr>
            </w:pPr>
            <w:r>
              <w:rPr>
                <w:rFonts w:ascii="Arial" w:cs="Arial" w:eastAsia="Arial" w:hAnsi="Arial"/>
                <w:sz w:val="20"/>
                <w:szCs w:val="20"/>
                <w:color w:val="auto"/>
              </w:rPr>
              <w:t>Diamond Pipeline LLC</w:t>
            </w:r>
          </w:p>
        </w:tc>
        <w:tc>
          <w:tcPr>
            <w:tcW w:w="6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120" w:type="dxa"/>
            <w:vAlign w:val="bottom"/>
            <w:gridSpan w:val="2"/>
          </w:tcPr>
          <w:p>
            <w:pPr>
              <w:ind w:left="440"/>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450</w:t>
            </w:r>
          </w:p>
        </w:tc>
        <w:tc>
          <w:tcPr>
            <w:tcW w:w="0" w:type="dxa"/>
            <w:vAlign w:val="bottom"/>
          </w:tcPr>
          <w:p>
            <w:pPr>
              <w:spacing w:after="0"/>
              <w:rPr>
                <w:sz w:val="1"/>
                <w:szCs w:val="1"/>
                <w:color w:val="auto"/>
              </w:rPr>
            </w:pPr>
          </w:p>
        </w:tc>
      </w:tr>
      <w:tr>
        <w:trPr>
          <w:trHeight w:val="294"/>
        </w:trPr>
        <w:tc>
          <w:tcPr>
            <w:tcW w:w="4380" w:type="dxa"/>
            <w:vAlign w:val="bottom"/>
            <w:gridSpan w:val="2"/>
          </w:tcPr>
          <w:p>
            <w:pPr>
              <w:ind w:left="60"/>
              <w:spacing w:after="0"/>
              <w:rPr>
                <w:sz w:val="20"/>
                <w:szCs w:val="20"/>
                <w:color w:val="auto"/>
              </w:rPr>
            </w:pPr>
            <w:r>
              <w:rPr>
                <w:rFonts w:ascii="Arial" w:cs="Arial" w:eastAsia="Arial" w:hAnsi="Arial"/>
                <w:sz w:val="20"/>
                <w:szCs w:val="20"/>
                <w:color w:val="auto"/>
              </w:rPr>
              <w:t>Eagle Ford Pipeline LLC</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120" w:type="dxa"/>
            <w:vAlign w:val="bottom"/>
            <w:gridSpan w:val="2"/>
          </w:tcPr>
          <w:p>
            <w:pPr>
              <w:ind w:left="440"/>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364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370</w:t>
            </w:r>
          </w:p>
        </w:tc>
        <w:tc>
          <w:tcPr>
            <w:tcW w:w="0" w:type="dxa"/>
            <w:vAlign w:val="bottom"/>
          </w:tcPr>
          <w:p>
            <w:pPr>
              <w:spacing w:after="0"/>
              <w:rPr>
                <w:sz w:val="1"/>
                <w:szCs w:val="1"/>
                <w:color w:val="auto"/>
              </w:rPr>
            </w:pPr>
          </w:p>
        </w:tc>
      </w:tr>
      <w:tr>
        <w:trPr>
          <w:trHeight w:val="231"/>
        </w:trPr>
        <w:tc>
          <w:tcPr>
            <w:tcW w:w="4380" w:type="dxa"/>
            <w:vAlign w:val="bottom"/>
            <w:gridSpan w:val="2"/>
            <w:vMerge w:val="restart"/>
          </w:tcPr>
          <w:p>
            <w:pPr>
              <w:ind w:left="60"/>
              <w:spacing w:after="0"/>
              <w:rPr>
                <w:sz w:val="20"/>
                <w:szCs w:val="20"/>
                <w:color w:val="auto"/>
              </w:rPr>
            </w:pPr>
            <w:r>
              <w:rPr>
                <w:rFonts w:ascii="Arial" w:cs="Arial" w:eastAsia="Arial" w:hAnsi="Arial"/>
                <w:sz w:val="20"/>
                <w:szCs w:val="20"/>
                <w:color w:val="auto"/>
              </w:rPr>
              <w:t>Eagle Ford Terminals Corpus Christi LLC</w:t>
            </w:r>
          </w:p>
        </w:tc>
        <w:tc>
          <w:tcPr>
            <w:tcW w:w="6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0"/>
              </w:rPr>
              <w:t>Crude Oil Terminal and</w:t>
            </w:r>
          </w:p>
        </w:tc>
        <w:tc>
          <w:tcPr>
            <w:tcW w:w="1120" w:type="dxa"/>
            <w:vAlign w:val="bottom"/>
            <w:gridSpan w:val="2"/>
            <w:vMerge w:val="restart"/>
          </w:tcPr>
          <w:p>
            <w:pPr>
              <w:ind w:left="440"/>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55"/>
        </w:trPr>
        <w:tc>
          <w:tcPr>
            <w:tcW w:w="43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2"/>
              </w:rPr>
              <w:t>Dock</w:t>
            </w:r>
          </w:p>
        </w:tc>
        <w:tc>
          <w:tcPr>
            <w:tcW w:w="11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4380" w:type="dxa"/>
            <w:vAlign w:val="bottom"/>
            <w:gridSpan w:val="2"/>
          </w:tcPr>
          <w:p>
            <w:pPr>
              <w:ind w:left="60"/>
              <w:spacing w:after="0"/>
              <w:rPr>
                <w:sz w:val="20"/>
                <w:szCs w:val="20"/>
                <w:color w:val="auto"/>
              </w:rPr>
            </w:pPr>
            <w:r>
              <w:rPr>
                <w:rFonts w:ascii="Arial" w:cs="Arial" w:eastAsia="Arial" w:hAnsi="Arial"/>
                <w:sz w:val="20"/>
                <w:szCs w:val="20"/>
                <w:color w:val="auto"/>
                <w:w w:val="95"/>
              </w:rPr>
              <w:t>Saddlehorn Pipeline Company, LLC (“Saddlehorn”)</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120" w:type="dxa"/>
            <w:vAlign w:val="bottom"/>
            <w:gridSpan w:val="2"/>
          </w:tcPr>
          <w:p>
            <w:pPr>
              <w:ind w:left="440"/>
              <w:spacing w:after="0"/>
              <w:rPr>
                <w:sz w:val="20"/>
                <w:szCs w:val="20"/>
                <w:color w:val="auto"/>
              </w:rPr>
            </w:pPr>
            <w:r>
              <w:rPr>
                <w:rFonts w:ascii="Arial" w:cs="Arial" w:eastAsia="Arial" w:hAnsi="Arial"/>
                <w:sz w:val="20"/>
                <w:szCs w:val="20"/>
                <w:color w:val="auto"/>
              </w:rPr>
              <w:t>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275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192</w:t>
            </w:r>
          </w:p>
        </w:tc>
        <w:tc>
          <w:tcPr>
            <w:tcW w:w="0" w:type="dxa"/>
            <w:vAlign w:val="bottom"/>
          </w:tcPr>
          <w:p>
            <w:pPr>
              <w:spacing w:after="0"/>
              <w:rPr>
                <w:sz w:val="1"/>
                <w:szCs w:val="1"/>
                <w:color w:val="auto"/>
              </w:rPr>
            </w:pPr>
          </w:p>
        </w:tc>
      </w:tr>
      <w:tr>
        <w:trPr>
          <w:trHeight w:val="294"/>
        </w:trPr>
        <w:tc>
          <w:tcPr>
            <w:tcW w:w="4380" w:type="dxa"/>
            <w:vAlign w:val="bottom"/>
            <w:gridSpan w:val="2"/>
          </w:tcPr>
          <w:p>
            <w:pPr>
              <w:ind w:left="60"/>
              <w:spacing w:after="0"/>
              <w:rPr>
                <w:sz w:val="20"/>
                <w:szCs w:val="20"/>
                <w:color w:val="auto"/>
              </w:rPr>
            </w:pPr>
            <w:r>
              <w:rPr>
                <w:rFonts w:ascii="Arial" w:cs="Arial" w:eastAsia="Arial" w:hAnsi="Arial"/>
                <w:sz w:val="20"/>
                <w:szCs w:val="20"/>
                <w:color w:val="auto"/>
              </w:rPr>
              <w:t>White Cliffs Pipeline, L.L.C.</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120" w:type="dxa"/>
            <w:vAlign w:val="bottom"/>
            <w:gridSpan w:val="2"/>
          </w:tcPr>
          <w:p>
            <w:pPr>
              <w:ind w:left="440"/>
              <w:spacing w:after="0"/>
              <w:rPr>
                <w:sz w:val="20"/>
                <w:szCs w:val="20"/>
                <w:color w:val="auto"/>
              </w:rPr>
            </w:pPr>
            <w:r>
              <w:rPr>
                <w:rFonts w:ascii="Arial" w:cs="Arial" w:eastAsia="Arial" w:hAnsi="Arial"/>
                <w:sz w:val="20"/>
                <w:szCs w:val="20"/>
                <w:color w:val="auto"/>
              </w:rPr>
              <w:t>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138</w:t>
            </w:r>
          </w:p>
        </w:tc>
        <w:tc>
          <w:tcPr>
            <w:tcW w:w="0" w:type="dxa"/>
            <w:vAlign w:val="bottom"/>
          </w:tcPr>
          <w:p>
            <w:pPr>
              <w:spacing w:after="0"/>
              <w:rPr>
                <w:sz w:val="1"/>
                <w:szCs w:val="1"/>
                <w:color w:val="auto"/>
              </w:rPr>
            </w:pPr>
          </w:p>
        </w:tc>
      </w:tr>
      <w:tr>
        <w:trPr>
          <w:trHeight w:val="333"/>
        </w:trPr>
        <w:tc>
          <w:tcPr>
            <w:tcW w:w="4380" w:type="dxa"/>
            <w:vAlign w:val="bottom"/>
            <w:gridSpan w:val="2"/>
          </w:tcPr>
          <w:p>
            <w:pPr>
              <w:ind w:left="60"/>
              <w:spacing w:after="0"/>
              <w:rPr>
                <w:sz w:val="20"/>
                <w:szCs w:val="20"/>
                <w:color w:val="auto"/>
              </w:rPr>
            </w:pPr>
            <w:r>
              <w:rPr>
                <w:rFonts w:ascii="Arial" w:cs="Arial" w:eastAsia="Arial" w:hAnsi="Arial"/>
                <w:sz w:val="20"/>
                <w:szCs w:val="20"/>
                <w:color w:val="auto"/>
                <w:w w:val="95"/>
              </w:rPr>
              <w:t xml:space="preserve">Wink to Webster Pipeline LLC (“W2W Pipeline”) </w:t>
            </w:r>
            <w:r>
              <w:rPr>
                <w:rFonts w:ascii="Arial" w:cs="Arial" w:eastAsia="Arial" w:hAnsi="Arial"/>
                <w:sz w:val="25"/>
                <w:szCs w:val="25"/>
                <w:color w:val="auto"/>
                <w:w w:val="95"/>
                <w:vertAlign w:val="superscript"/>
              </w:rPr>
              <w:t>(3)</w:t>
            </w:r>
          </w:p>
        </w:tc>
        <w:tc>
          <w:tcPr>
            <w:tcW w:w="6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w w:val="90"/>
              </w:rPr>
              <w:t>Crude Oil Pipeline</w:t>
            </w:r>
          </w:p>
        </w:tc>
        <w:tc>
          <w:tcPr>
            <w:tcW w:w="1120" w:type="dxa"/>
            <w:vAlign w:val="bottom"/>
            <w:gridSpan w:val="2"/>
          </w:tcPr>
          <w:p>
            <w:pPr>
              <w:ind w:left="440"/>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393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380</w:t>
            </w:r>
          </w:p>
        </w:tc>
        <w:tc>
          <w:tcPr>
            <w:tcW w:w="0" w:type="dxa"/>
            <w:vAlign w:val="bottom"/>
          </w:tcPr>
          <w:p>
            <w:pPr>
              <w:spacing w:after="0"/>
              <w:rPr>
                <w:sz w:val="1"/>
                <w:szCs w:val="1"/>
                <w:color w:val="auto"/>
              </w:rPr>
            </w:pPr>
          </w:p>
        </w:tc>
      </w:tr>
      <w:tr>
        <w:trPr>
          <w:trHeight w:val="258"/>
        </w:trPr>
        <w:tc>
          <w:tcPr>
            <w:tcW w:w="4380" w:type="dxa"/>
            <w:vAlign w:val="bottom"/>
            <w:gridSpan w:val="2"/>
          </w:tcPr>
          <w:p>
            <w:pPr>
              <w:ind w:left="60"/>
              <w:spacing w:after="0"/>
              <w:rPr>
                <w:sz w:val="20"/>
                <w:szCs w:val="20"/>
                <w:color w:val="auto"/>
              </w:rPr>
            </w:pPr>
            <w:r>
              <w:rPr>
                <w:rFonts w:ascii="Arial" w:cs="Arial" w:eastAsia="Arial" w:hAnsi="Arial"/>
                <w:sz w:val="20"/>
                <w:szCs w:val="20"/>
                <w:color w:val="auto"/>
              </w:rPr>
              <w:t>Other investments</w:t>
            </w:r>
          </w:p>
        </w:tc>
        <w:tc>
          <w:tcPr>
            <w:tcW w:w="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w:t>
            </w:r>
          </w:p>
        </w:tc>
        <w:tc>
          <w:tcPr>
            <w:tcW w:w="0" w:type="dxa"/>
            <w:vAlign w:val="bottom"/>
          </w:tcPr>
          <w:p>
            <w:pPr>
              <w:spacing w:after="0"/>
              <w:rPr>
                <w:sz w:val="1"/>
                <w:szCs w:val="1"/>
                <w:color w:val="auto"/>
              </w:rPr>
            </w:pPr>
          </w:p>
        </w:tc>
      </w:tr>
      <w:tr>
        <w:trPr>
          <w:trHeight w:val="254"/>
        </w:trPr>
        <w:tc>
          <w:tcPr>
            <w:tcW w:w="4380" w:type="dxa"/>
            <w:vAlign w:val="bottom"/>
            <w:gridSpan w:val="2"/>
          </w:tcPr>
          <w:p>
            <w:pPr>
              <w:ind w:left="280"/>
              <w:spacing w:after="0"/>
              <w:rPr>
                <w:sz w:val="20"/>
                <w:szCs w:val="20"/>
                <w:color w:val="auto"/>
              </w:rPr>
            </w:pPr>
            <w:r>
              <w:rPr>
                <w:rFonts w:ascii="Arial" w:cs="Arial" w:eastAsia="Arial" w:hAnsi="Arial"/>
                <w:sz w:val="20"/>
                <w:szCs w:val="20"/>
                <w:color w:val="auto"/>
              </w:rPr>
              <w:t>Total Investments in Unconsolidated Entities</w:t>
            </w:r>
          </w:p>
        </w:tc>
        <w:tc>
          <w:tcPr>
            <w:tcW w:w="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2,811</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2,820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-2115820</wp:posOffset>
            </wp:positionV>
            <wp:extent cx="6391275" cy="2026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9">
                      <a:extLst>
                        <a:ext uri="{28A0092B-C50C-407E-A947-70E740481C1C}"/>
                      </a:extLst>
                    </a:blip>
                    <a:srcRect/>
                    <a:stretch>
                      <a:fillRect/>
                    </a:stretch>
                  </pic:blipFill>
                  <pic:spPr bwMode="auto">
                    <a:xfrm>
                      <a:off x="0" y="0"/>
                      <a:ext cx="6391275" cy="2026285"/>
                    </a:xfrm>
                    <a:prstGeom prst="rect">
                      <a:avLst/>
                    </a:prstGeom>
                    <a:noFill/>
                  </pic:spPr>
                </pic:pic>
              </a:graphicData>
            </a:graphic>
          </wp:anchor>
        </w:drawing>
      </w:r>
    </w:p>
    <w:p>
      <w:pPr>
        <w:spacing w:after="0" w:line="92" w:lineRule="exact"/>
        <w:rPr>
          <w:sz w:val="20"/>
          <w:szCs w:val="20"/>
          <w:color w:val="auto"/>
        </w:rPr>
      </w:pPr>
    </w:p>
    <w:p>
      <w:pPr>
        <w:ind w:left="707" w:hanging="707"/>
        <w:spacing w:after="0"/>
        <w:tabs>
          <w:tab w:leader="none" w:pos="707" w:val="left"/>
        </w:tabs>
        <w:numPr>
          <w:ilvl w:val="0"/>
          <w:numId w:val="89"/>
        </w:numPr>
        <w:rPr>
          <w:rFonts w:ascii="Arial" w:cs="Arial" w:eastAsia="Arial" w:hAnsi="Arial"/>
          <w:sz w:val="25"/>
          <w:szCs w:val="25"/>
          <w:color w:val="auto"/>
          <w:vertAlign w:val="superscript"/>
        </w:rPr>
      </w:pPr>
      <w:r>
        <w:rPr>
          <w:rFonts w:ascii="Arial" w:cs="Arial" w:eastAsia="Arial" w:hAnsi="Arial"/>
          <w:sz w:val="20"/>
          <w:szCs w:val="20"/>
          <w:color w:val="auto"/>
        </w:rPr>
        <w:t>The financial results from these entities are reported in our Crude Oil segment.</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F-26</w:t>
      </w:r>
    </w:p>
    <w:p>
      <w:pPr>
        <w:sectPr>
          <w:pgSz w:w="11880" w:h="15480" w:orient="portrait"/>
          <w:cols w:equalWidth="0" w:num="1">
            <w:col w:w="10047"/>
          </w:cols>
          <w:pgMar w:left="913" w:top="337" w:right="920" w:bottom="0" w:gutter="0" w:footer="0" w:header="0"/>
          <w:type w:val="continuous"/>
        </w:sectPr>
      </w:pPr>
    </w:p>
    <w:bookmarkStart w:id="132" w:name="page133"/>
    <w:bookmarkEnd w:id="132"/>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700"/>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right="440"/>
        <w:spacing w:after="0" w:line="271" w:lineRule="auto"/>
        <w:rPr>
          <w:sz w:val="20"/>
          <w:szCs w:val="20"/>
          <w:color w:val="auto"/>
        </w:rPr>
      </w:pPr>
      <w:r>
        <w:rPr>
          <w:rFonts w:ascii="Arial" w:cs="Arial" w:eastAsia="Arial" w:hAnsi="Arial"/>
          <w:sz w:val="20"/>
          <w:szCs w:val="20"/>
          <w:color w:val="auto"/>
        </w:rPr>
        <w:t>Although we own more than 50% of Capline, we use the equity method to account for the investment because the other joint venture members still retain substantive participating rights.</w:t>
      </w:r>
    </w:p>
    <w:p>
      <w:pPr>
        <w:spacing w:after="0" w:line="69"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Although we own less than 20% of W2W Pipeline, we use the equity method to account for the investment because we believe we have significant influence over the financial and operating decisions of the company.</w:t>
      </w:r>
    </w:p>
    <w:p>
      <w:pPr>
        <w:spacing w:after="0" w:line="200" w:lineRule="exact"/>
        <w:rPr>
          <w:sz w:val="20"/>
          <w:szCs w:val="20"/>
          <w:color w:val="auto"/>
        </w:rPr>
      </w:pPr>
    </w:p>
    <w:p>
      <w:pPr>
        <w:sectPr>
          <w:pgSz w:w="11880" w:h="15480" w:orient="portrait"/>
          <w:cols w:equalWidth="0" w:num="2">
            <w:col w:w="140" w:space="560"/>
            <w:col w:w="9340"/>
          </w:cols>
          <w:pgMar w:left="920" w:top="337" w:right="920" w:bottom="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248" w:lineRule="exact"/>
        <w:rPr>
          <w:sz w:val="20"/>
          <w:szCs w:val="20"/>
          <w:color w:val="auto"/>
        </w:rPr>
      </w:pPr>
    </w:p>
    <w:p>
      <w:pPr>
        <w:ind w:right="140" w:firstLine="706"/>
        <w:spacing w:after="0" w:line="312" w:lineRule="auto"/>
        <w:rPr>
          <w:sz w:val="20"/>
          <w:szCs w:val="20"/>
          <w:color w:val="auto"/>
        </w:rPr>
      </w:pPr>
      <w:r>
        <w:rPr>
          <w:rFonts w:ascii="Arial" w:cs="Arial" w:eastAsia="Arial" w:hAnsi="Arial"/>
          <w:sz w:val="17"/>
          <w:szCs w:val="17"/>
          <w:color w:val="auto"/>
        </w:rPr>
        <w:t>During 2024, we acquired the remaining 50% interest in Midway (which was previously presented in “Other investments” in the table above). Prior to our acquisition, our 50% interest in Midway was accounted for as an equity method investment. In addition, during 2024, we acquired additional interests in W2W Pipeline and Saddlehorn, which we continue to account for as equity method investments. See Note 7 for additional information regarding these transactions.</w:t>
      </w:r>
    </w:p>
    <w:p>
      <w:pPr>
        <w:spacing w:after="0" w:line="160" w:lineRule="exact"/>
        <w:rPr>
          <w:sz w:val="20"/>
          <w:szCs w:val="20"/>
          <w:color w:val="auto"/>
        </w:rPr>
      </w:pPr>
    </w:p>
    <w:p>
      <w:pPr>
        <w:ind w:right="20" w:firstLine="706"/>
        <w:spacing w:after="0" w:line="299" w:lineRule="auto"/>
        <w:rPr>
          <w:sz w:val="20"/>
          <w:szCs w:val="20"/>
          <w:color w:val="auto"/>
        </w:rPr>
      </w:pPr>
      <w:r>
        <w:rPr>
          <w:rFonts w:ascii="Arial" w:cs="Arial" w:eastAsia="Arial" w:hAnsi="Arial"/>
          <w:sz w:val="17"/>
          <w:szCs w:val="17"/>
          <w:color w:val="auto"/>
        </w:rPr>
        <w:t>During the fourth quarter of 2022, through a non-monetary transaction, we acquired an additional interest in OMOG in exchange for the contribution of portions of two pipeline systems. After the transaction, our ownership interest in OMOG increased to 57% from 40%. Subsequent to this transaction, we continued to account for OMOG as an equity method investment because the joint venture partner still retained substantive participating rights. The transaction resulted in a loss of approximately $25 million, which represented the difference between the fair value and historical book value of the assets contributed. This loss was reflected in “Gain on investments in unconsolidated entities, net” on our Consolidated Statement of Operations. In the third quarter of 2023, we acquired the remaining 43% interest in OMOG. We now reflect OMOG and its subsidiaries as consolidated subsidiaries in our Consolidated Financial Statements. See Note 7 for additional information.</w:t>
      </w:r>
    </w:p>
    <w:p>
      <w:pPr>
        <w:spacing w:after="0" w:line="169" w:lineRule="exact"/>
        <w:rPr>
          <w:sz w:val="20"/>
          <w:szCs w:val="20"/>
          <w:color w:val="auto"/>
        </w:rPr>
      </w:pPr>
    </w:p>
    <w:p>
      <w:pPr>
        <w:ind w:right="560" w:firstLine="706"/>
        <w:spacing w:after="0" w:line="298" w:lineRule="auto"/>
        <w:rPr>
          <w:sz w:val="20"/>
          <w:szCs w:val="20"/>
          <w:color w:val="auto"/>
        </w:rPr>
      </w:pPr>
      <w:r>
        <w:rPr>
          <w:rFonts w:ascii="Arial" w:cs="Arial" w:eastAsia="Arial" w:hAnsi="Arial"/>
          <w:sz w:val="19"/>
          <w:szCs w:val="19"/>
          <w:color w:val="auto"/>
        </w:rPr>
        <w:t>In July 2022, we acquired the remaining 50% interest in Advantage. Prior to the acquisition, our 50% interest in Advantage was accounted for as an equity method investment. See Note 7 for additional information.</w:t>
      </w:r>
    </w:p>
    <w:p>
      <w:pPr>
        <w:spacing w:after="0" w:line="163" w:lineRule="exact"/>
        <w:rPr>
          <w:sz w:val="20"/>
          <w:szCs w:val="20"/>
          <w:color w:val="auto"/>
        </w:rPr>
      </w:pPr>
    </w:p>
    <w:p>
      <w:pPr>
        <w:ind w:right="180" w:firstLine="706"/>
        <w:spacing w:after="0" w:line="258" w:lineRule="auto"/>
        <w:rPr>
          <w:sz w:val="20"/>
          <w:szCs w:val="20"/>
          <w:color w:val="auto"/>
        </w:rPr>
      </w:pPr>
      <w:r>
        <w:rPr>
          <w:rFonts w:ascii="Arial" w:cs="Arial" w:eastAsia="Arial" w:hAnsi="Arial"/>
          <w:sz w:val="20"/>
          <w:szCs w:val="20"/>
          <w:color w:val="auto"/>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Distributions</w:t>
      </w:r>
    </w:p>
    <w:p>
      <w:pPr>
        <w:spacing w:after="0" w:line="248" w:lineRule="exact"/>
        <w:rPr>
          <w:sz w:val="20"/>
          <w:szCs w:val="20"/>
          <w:color w:val="auto"/>
        </w:rPr>
      </w:pPr>
    </w:p>
    <w:p>
      <w:pPr>
        <w:ind w:right="120" w:firstLine="706"/>
        <w:spacing w:after="0" w:line="303" w:lineRule="auto"/>
        <w:rPr>
          <w:sz w:val="20"/>
          <w:szCs w:val="20"/>
          <w:color w:val="auto"/>
        </w:rPr>
      </w:pPr>
      <w:r>
        <w:rPr>
          <w:rFonts w:ascii="Arial" w:cs="Arial" w:eastAsia="Arial" w:hAnsi="Arial"/>
          <w:sz w:val="17"/>
          <w:szCs w:val="17"/>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Contributions</w:t>
      </w:r>
    </w:p>
    <w:p>
      <w:pPr>
        <w:spacing w:after="0" w:line="248" w:lineRule="exact"/>
        <w:rPr>
          <w:sz w:val="20"/>
          <w:szCs w:val="20"/>
          <w:color w:val="auto"/>
        </w:rPr>
      </w:pPr>
    </w:p>
    <w:p>
      <w:pPr>
        <w:ind w:right="140" w:firstLine="706"/>
        <w:spacing w:after="0" w:line="303" w:lineRule="auto"/>
        <w:rPr>
          <w:sz w:val="20"/>
          <w:szCs w:val="20"/>
          <w:color w:val="auto"/>
        </w:rPr>
      </w:pPr>
      <w:r>
        <w:rPr>
          <w:rFonts w:ascii="Arial" w:cs="Arial" w:eastAsia="Arial" w:hAnsi="Arial"/>
          <w:sz w:val="17"/>
          <w:szCs w:val="17"/>
          <w:color w:val="auto"/>
        </w:rPr>
        <w:t>We generally fund our portion of development, construction or capital investment projects of our equity method investees through capital contributions. During the years ended December 31, 2024, 2023 and 2022, we made cash contributions of $4 million, $29 million and $13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Differences</w:t>
      </w:r>
    </w:p>
    <w:p>
      <w:pPr>
        <w:spacing w:after="0" w:line="248"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Our investments in unconsolidated entities exceeded our share of the underlying equity in the net assets of such entities by $213 million and $229 million at December 31, 2024 and 2023,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2024 and 2023 was attributable to goodwill related to our ownership interest in BridgeTex with the remaining basis difference primarily related to capitalized interest incurred during construction of the assets of our unconsolidated entities.</w:t>
      </w:r>
    </w:p>
    <w:p>
      <w:pPr>
        <w:sectPr>
          <w:pgSz w:w="11880" w:h="15480" w:orient="portrait"/>
          <w:cols w:equalWidth="0" w:num="1">
            <w:col w:w="10040"/>
          </w:cols>
          <w:pgMar w:left="920" w:top="337" w:right="920" w:bottom="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880" w:h="15480" w:orient="portrait"/>
          <w:cols w:equalWidth="0" w:num="1">
            <w:col w:w="10040"/>
          </w:cols>
          <w:pgMar w:left="920" w:top="337" w:right="920" w:bottom="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Summarized Financial Information of Unconsolidated Entities</w:t>
      </w:r>
    </w:p>
    <w:p>
      <w:pPr>
        <w:spacing w:after="0" w:line="248" w:lineRule="exact"/>
        <w:rPr>
          <w:sz w:val="20"/>
          <w:szCs w:val="20"/>
          <w:color w:val="auto"/>
        </w:rPr>
      </w:pPr>
    </w:p>
    <w:p>
      <w:pPr>
        <w:ind w:right="400" w:firstLine="706"/>
        <w:spacing w:after="0" w:line="271" w:lineRule="auto"/>
        <w:rPr>
          <w:sz w:val="20"/>
          <w:szCs w:val="20"/>
          <w:color w:val="auto"/>
        </w:rPr>
      </w:pPr>
      <w:r>
        <w:rPr>
          <w:rFonts w:ascii="Arial" w:cs="Arial" w:eastAsia="Arial" w:hAnsi="Arial"/>
          <w:sz w:val="20"/>
          <w:szCs w:val="20"/>
          <w:color w:val="auto"/>
        </w:rPr>
        <w:t>Combined summarized financial information for all of our unconsolidated entities is shown in the tables below (in millions). None of our unconsolidated entities have noncontrolling interests.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w w:val="89"/>
              </w:rPr>
              <w:t>2023</w:t>
            </w:r>
          </w:p>
        </w:tc>
      </w:tr>
      <w:tr>
        <w:trPr>
          <w:trHeight w:val="270"/>
        </w:trPr>
        <w:tc>
          <w:tcPr>
            <w:tcW w:w="6000" w:type="dxa"/>
            <w:vAlign w:val="bottom"/>
          </w:tcPr>
          <w:p>
            <w:pPr>
              <w:spacing w:after="0"/>
              <w:rPr>
                <w:sz w:val="20"/>
                <w:szCs w:val="20"/>
                <w:color w:val="auto"/>
              </w:rPr>
            </w:pPr>
            <w:r>
              <w:rPr>
                <w:rFonts w:ascii="Arial" w:cs="Arial" w:eastAsia="Arial" w:hAnsi="Arial"/>
                <w:sz w:val="20"/>
                <w:szCs w:val="20"/>
                <w:color w:val="auto"/>
              </w:rPr>
              <w:t>Current assets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475</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528</w:t>
            </w:r>
          </w:p>
        </w:tc>
      </w:tr>
      <w:tr>
        <w:trPr>
          <w:trHeight w:val="294"/>
        </w:trPr>
        <w:tc>
          <w:tcPr>
            <w:tcW w:w="6000" w:type="dxa"/>
            <w:vAlign w:val="bottom"/>
          </w:tcPr>
          <w:p>
            <w:pPr>
              <w:spacing w:after="0"/>
              <w:rPr>
                <w:sz w:val="20"/>
                <w:szCs w:val="20"/>
                <w:color w:val="auto"/>
              </w:rPr>
            </w:pPr>
            <w:r>
              <w:rPr>
                <w:rFonts w:ascii="Arial" w:cs="Arial" w:eastAsia="Arial" w:hAnsi="Arial"/>
                <w:sz w:val="20"/>
                <w:szCs w:val="20"/>
                <w:color w:val="auto"/>
              </w:rPr>
              <w:t>Noncurrent assets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6,996</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7,194</w:t>
            </w:r>
          </w:p>
        </w:tc>
      </w:tr>
      <w:tr>
        <w:trPr>
          <w:trHeight w:val="294"/>
        </w:trPr>
        <w:tc>
          <w:tcPr>
            <w:tcW w:w="6000" w:type="dxa"/>
            <w:vAlign w:val="bottom"/>
          </w:tcPr>
          <w:p>
            <w:pPr>
              <w:spacing w:after="0"/>
              <w:rPr>
                <w:sz w:val="20"/>
                <w:szCs w:val="20"/>
                <w:color w:val="auto"/>
              </w:rPr>
            </w:pPr>
            <w:r>
              <w:rPr>
                <w:rFonts w:ascii="Arial" w:cs="Arial" w:eastAsia="Arial" w:hAnsi="Arial"/>
                <w:sz w:val="20"/>
                <w:szCs w:val="20"/>
                <w:color w:val="auto"/>
              </w:rPr>
              <w:t>Current liabilities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261</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476</w:t>
            </w:r>
          </w:p>
        </w:tc>
      </w:tr>
      <w:tr>
        <w:trPr>
          <w:trHeight w:val="294"/>
        </w:trPr>
        <w:tc>
          <w:tcPr>
            <w:tcW w:w="6000" w:type="dxa"/>
            <w:vAlign w:val="bottom"/>
          </w:tcPr>
          <w:p>
            <w:pPr>
              <w:spacing w:after="0"/>
              <w:rPr>
                <w:sz w:val="20"/>
                <w:szCs w:val="20"/>
                <w:color w:val="auto"/>
              </w:rPr>
            </w:pPr>
            <w:r>
              <w:rPr>
                <w:rFonts w:ascii="Arial" w:cs="Arial" w:eastAsia="Arial" w:hAnsi="Arial"/>
                <w:sz w:val="20"/>
                <w:szCs w:val="20"/>
                <w:color w:val="auto"/>
              </w:rPr>
              <w:t>Noncurrent liabilities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587"/>
        </w:trPr>
        <w:tc>
          <w:tcPr>
            <w:tcW w:w="6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30"/>
        </w:trPr>
        <w:tc>
          <w:tcPr>
            <w:tcW w:w="6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w w:val="89"/>
              </w:rPr>
              <w:t>2022</w:t>
            </w:r>
          </w:p>
        </w:tc>
      </w:tr>
      <w:tr>
        <w:trPr>
          <w:trHeight w:val="270"/>
        </w:trPr>
        <w:tc>
          <w:tcPr>
            <w:tcW w:w="6000" w:type="dxa"/>
            <w:vAlign w:val="bottom"/>
          </w:tcPr>
          <w:p>
            <w:pPr>
              <w:spacing w:after="0"/>
              <w:rPr>
                <w:sz w:val="20"/>
                <w:szCs w:val="20"/>
                <w:color w:val="auto"/>
              </w:rPr>
            </w:pPr>
            <w:r>
              <w:rPr>
                <w:rFonts w:ascii="Arial" w:cs="Arial" w:eastAsia="Arial" w:hAnsi="Arial"/>
                <w:sz w:val="20"/>
                <w:szCs w:val="20"/>
                <w:color w:val="auto"/>
              </w:rPr>
              <w:t>Revenues</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2,193</w:t>
            </w:r>
          </w:p>
        </w:tc>
        <w:tc>
          <w:tcPr>
            <w:tcW w:w="60" w:type="dxa"/>
            <w:vAlign w:val="bottom"/>
          </w:tcPr>
          <w:p>
            <w:pPr>
              <w:spacing w:after="0"/>
              <w:rPr>
                <w:sz w:val="23"/>
                <w:szCs w:val="23"/>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1,667</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1,726</w:t>
            </w:r>
          </w:p>
        </w:tc>
      </w:tr>
      <w:tr>
        <w:trPr>
          <w:trHeight w:val="294"/>
        </w:trPr>
        <w:tc>
          <w:tcPr>
            <w:tcW w:w="6000" w:type="dxa"/>
            <w:vAlign w:val="bottom"/>
          </w:tcPr>
          <w:p>
            <w:pPr>
              <w:spacing w:after="0"/>
              <w:rPr>
                <w:sz w:val="20"/>
                <w:szCs w:val="20"/>
                <w:color w:val="auto"/>
              </w:rPr>
            </w:pPr>
            <w:r>
              <w:rPr>
                <w:rFonts w:ascii="Arial" w:cs="Arial" w:eastAsia="Arial" w:hAnsi="Arial"/>
                <w:sz w:val="20"/>
                <w:szCs w:val="20"/>
                <w:color w:val="auto"/>
              </w:rPr>
              <w:t>Operating income</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1,373</w:t>
            </w:r>
          </w:p>
        </w:tc>
        <w:tc>
          <w:tcPr>
            <w:tcW w:w="60" w:type="dxa"/>
            <w:vAlign w:val="bottom"/>
          </w:tcPr>
          <w:p>
            <w:pPr>
              <w:spacing w:after="0"/>
              <w:rPr>
                <w:sz w:val="24"/>
                <w:szCs w:val="24"/>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921</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1,004</w:t>
            </w:r>
          </w:p>
        </w:tc>
      </w:tr>
      <w:tr>
        <w:trPr>
          <w:trHeight w:val="294"/>
        </w:trPr>
        <w:tc>
          <w:tcPr>
            <w:tcW w:w="6000" w:type="dxa"/>
            <w:vAlign w:val="bottom"/>
          </w:tcPr>
          <w:p>
            <w:pPr>
              <w:spacing w:after="0"/>
              <w:rPr>
                <w:sz w:val="20"/>
                <w:szCs w:val="20"/>
                <w:color w:val="auto"/>
              </w:rPr>
            </w:pPr>
            <w:r>
              <w:rPr>
                <w:rFonts w:ascii="Arial" w:cs="Arial" w:eastAsia="Arial" w:hAnsi="Arial"/>
                <w:sz w:val="20"/>
                <w:szCs w:val="20"/>
                <w:color w:val="auto"/>
              </w:rPr>
              <w:t>Net income</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1,407</w:t>
            </w:r>
          </w:p>
        </w:tc>
        <w:tc>
          <w:tcPr>
            <w:tcW w:w="60" w:type="dxa"/>
            <w:vAlign w:val="bottom"/>
          </w:tcPr>
          <w:p>
            <w:pPr>
              <w:spacing w:after="0"/>
              <w:rPr>
                <w:sz w:val="24"/>
                <w:szCs w:val="24"/>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947</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-1838960</wp:posOffset>
            </wp:positionV>
            <wp:extent cx="6400800" cy="772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0">
                      <a:extLst>
                        <a:ext uri="{28A0092B-C50C-407E-A947-70E740481C1C}"/>
                      </a:extLst>
                    </a:blip>
                    <a:srcRect/>
                    <a:stretch>
                      <a:fillRect/>
                    </a:stretch>
                  </pic:blipFill>
                  <pic:spPr bwMode="auto">
                    <a:xfrm>
                      <a:off x="0" y="0"/>
                      <a:ext cx="6400800" cy="77216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-563245</wp:posOffset>
            </wp:positionV>
            <wp:extent cx="6400800" cy="585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1">
                      <a:extLst>
                        <a:ext uri="{28A0092B-C50C-407E-A947-70E740481C1C}"/>
                      </a:extLst>
                    </a:blip>
                    <a:srcRect/>
                    <a:stretch>
                      <a:fillRect/>
                    </a:stretch>
                  </pic:blipFill>
                  <pic:spPr bwMode="auto">
                    <a:xfrm>
                      <a:off x="0" y="0"/>
                      <a:ext cx="6400800" cy="585470"/>
                    </a:xfrm>
                    <a:prstGeom prst="rect">
                      <a:avLst/>
                    </a:prstGeom>
                    <a:noFill/>
                  </pic:spPr>
                </pic:pic>
              </a:graphicData>
            </a:graphic>
          </wp:anchor>
        </w:drawing>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880" w:h="15480" w:orient="portrait"/>
          <w:cols w:equalWidth="0" w:num="1">
            <w:col w:w="10040"/>
          </w:cols>
          <w:pgMar w:left="920" w:top="337" w:right="920" w:bottom="0" w:gutter="0" w:footer="0" w:header="0"/>
          <w:type w:val="continuous"/>
        </w:sectPr>
      </w:pPr>
    </w:p>
    <w:bookmarkStart w:id="134" w:name="page135"/>
    <w:bookmarkEnd w:id="134"/>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9—Intangible Assets, Net</w:t>
      </w:r>
    </w:p>
    <w:p>
      <w:pPr>
        <w:spacing w:after="0" w:line="248" w:lineRule="exact"/>
        <w:rPr>
          <w:sz w:val="20"/>
          <w:szCs w:val="20"/>
          <w:color w:val="auto"/>
        </w:rPr>
      </w:pPr>
    </w:p>
    <w:p>
      <w:pPr>
        <w:ind w:left="707"/>
        <w:spacing w:after="0"/>
        <w:rPr>
          <w:sz w:val="20"/>
          <w:szCs w:val="20"/>
          <w:color w:val="auto"/>
        </w:rPr>
      </w:pPr>
      <w:r>
        <w:rPr>
          <w:rFonts w:ascii="Arial" w:cs="Arial" w:eastAsia="Arial" w:hAnsi="Arial"/>
          <w:sz w:val="20"/>
          <w:szCs w:val="20"/>
          <w:color w:val="auto"/>
        </w:rPr>
        <w:t>Intangible assets, net of accumulated amortization, consisted of the following (in millions):</w:t>
      </w:r>
    </w:p>
    <w:p>
      <w:pPr>
        <w:spacing w:after="0" w:line="328" w:lineRule="exact"/>
        <w:rPr>
          <w:sz w:val="20"/>
          <w:szCs w:val="20"/>
          <w:color w:val="auto"/>
        </w:rPr>
      </w:pPr>
    </w:p>
    <w:tbl>
      <w:tblPr>
        <w:tblLayout w:type="fixed"/>
        <w:tblInd w:w="67"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December 31, 2024</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December 31, 2023</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136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Estimated Useful</w:t>
            </w:r>
          </w:p>
        </w:tc>
        <w:tc>
          <w:tcPr>
            <w:tcW w:w="220" w:type="dxa"/>
            <w:vAlign w:val="bottom"/>
          </w:tcPr>
          <w:p>
            <w:pPr>
              <w:spacing w:after="0"/>
              <w:rPr>
                <w:sz w:val="15"/>
                <w:szCs w:val="15"/>
                <w:color w:val="auto"/>
              </w:rPr>
            </w:pPr>
          </w:p>
        </w:tc>
        <w:tc>
          <w:tcPr>
            <w:tcW w:w="600" w:type="dxa"/>
            <w:vAlign w:val="bottom"/>
            <w:vMerge w:val="restart"/>
          </w:tcPr>
          <w:p>
            <w:pPr>
              <w:jc w:val="right"/>
              <w:ind w:right="147"/>
              <w:spacing w:after="0"/>
              <w:rPr>
                <w:sz w:val="20"/>
                <w:szCs w:val="20"/>
                <w:color w:val="auto"/>
              </w:rPr>
            </w:pPr>
            <w:r>
              <w:rPr>
                <w:rFonts w:ascii="Arial" w:cs="Arial" w:eastAsia="Arial" w:hAnsi="Arial"/>
                <w:sz w:val="16"/>
                <w:szCs w:val="16"/>
                <w:b w:val="1"/>
                <w:bCs w:val="1"/>
                <w:color w:val="auto"/>
                <w:w w:val="95"/>
              </w:rPr>
              <w:t>Cost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center"/>
              <w:ind w:right="120"/>
              <w:spacing w:after="0" w:line="182" w:lineRule="exact"/>
              <w:rPr>
                <w:sz w:val="20"/>
                <w:szCs w:val="20"/>
                <w:color w:val="auto"/>
              </w:rPr>
            </w:pPr>
            <w:r>
              <w:rPr>
                <w:rFonts w:ascii="Arial" w:cs="Arial" w:eastAsia="Arial" w:hAnsi="Arial"/>
                <w:sz w:val="16"/>
                <w:szCs w:val="16"/>
                <w:b w:val="1"/>
                <w:bCs w:val="1"/>
                <w:color w:val="auto"/>
                <w:w w:val="87"/>
              </w:rPr>
              <w:t>Accumulated</w:t>
            </w:r>
          </w:p>
        </w:tc>
        <w:tc>
          <w:tcPr>
            <w:tcW w:w="180" w:type="dxa"/>
            <w:vAlign w:val="bottom"/>
          </w:tcPr>
          <w:p>
            <w:pPr>
              <w:spacing w:after="0"/>
              <w:rPr>
                <w:sz w:val="15"/>
                <w:szCs w:val="15"/>
                <w:color w:val="auto"/>
              </w:rPr>
            </w:pPr>
          </w:p>
        </w:tc>
        <w:tc>
          <w:tcPr>
            <w:tcW w:w="660" w:type="dxa"/>
            <w:vAlign w:val="bottom"/>
            <w:vMerge w:val="restart"/>
          </w:tcPr>
          <w:p>
            <w:pPr>
              <w:jc w:val="right"/>
              <w:ind w:right="227"/>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restart"/>
          </w:tcPr>
          <w:p>
            <w:pPr>
              <w:jc w:val="right"/>
              <w:ind w:right="147"/>
              <w:spacing w:after="0"/>
              <w:rPr>
                <w:sz w:val="20"/>
                <w:szCs w:val="20"/>
                <w:color w:val="auto"/>
              </w:rPr>
            </w:pPr>
            <w:r>
              <w:rPr>
                <w:rFonts w:ascii="Arial" w:cs="Arial" w:eastAsia="Arial" w:hAnsi="Arial"/>
                <w:sz w:val="16"/>
                <w:szCs w:val="16"/>
                <w:b w:val="1"/>
                <w:bCs w:val="1"/>
                <w:color w:val="auto"/>
              </w:rPr>
              <w:t>Cost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tcPr>
          <w:p>
            <w:pPr>
              <w:jc w:val="center"/>
              <w:ind w:right="100"/>
              <w:spacing w:after="0" w:line="182" w:lineRule="exact"/>
              <w:rPr>
                <w:sz w:val="20"/>
                <w:szCs w:val="20"/>
                <w:color w:val="auto"/>
              </w:rPr>
            </w:pPr>
            <w:r>
              <w:rPr>
                <w:rFonts w:ascii="Arial" w:cs="Arial" w:eastAsia="Arial" w:hAnsi="Arial"/>
                <w:sz w:val="16"/>
                <w:szCs w:val="16"/>
                <w:b w:val="1"/>
                <w:bCs w:val="1"/>
                <w:color w:val="auto"/>
                <w:w w:val="87"/>
              </w:rPr>
              <w:t>Accumulated</w:t>
            </w:r>
          </w:p>
        </w:tc>
        <w:tc>
          <w:tcPr>
            <w:tcW w:w="200" w:type="dxa"/>
            <w:vAlign w:val="bottom"/>
          </w:tcPr>
          <w:p>
            <w:pPr>
              <w:spacing w:after="0"/>
              <w:rPr>
                <w:sz w:val="15"/>
                <w:szCs w:val="15"/>
                <w:color w:val="auto"/>
              </w:rPr>
            </w:pPr>
          </w:p>
        </w:tc>
        <w:tc>
          <w:tcPr>
            <w:tcW w:w="660" w:type="dxa"/>
            <w:vAlign w:val="bottom"/>
            <w:vMerge w:val="restart"/>
          </w:tcPr>
          <w:p>
            <w:pPr>
              <w:jc w:val="right"/>
              <w:ind w:right="247"/>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Lives (Years)</w:t>
            </w: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Amortization</w:t>
            </w: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Amortization</w:t>
            </w: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80" w:type="dxa"/>
            <w:vAlign w:val="bottom"/>
          </w:tcPr>
          <w:p>
            <w:pPr>
              <w:spacing w:after="0" w:line="200" w:lineRule="exact"/>
              <w:rPr>
                <w:sz w:val="20"/>
                <w:szCs w:val="20"/>
                <w:color w:val="auto"/>
              </w:rPr>
            </w:pPr>
            <w:r>
              <w:rPr>
                <w:rFonts w:ascii="Arial" w:cs="Arial" w:eastAsia="Arial" w:hAnsi="Arial"/>
                <w:sz w:val="20"/>
                <w:szCs w:val="20"/>
                <w:color w:val="auto"/>
              </w:rPr>
              <w:t>Customer contracts and</w:t>
            </w: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580" w:type="dxa"/>
            <w:vAlign w:val="bottom"/>
          </w:tcPr>
          <w:p>
            <w:pPr>
              <w:ind w:left="180"/>
              <w:spacing w:after="0"/>
              <w:rPr>
                <w:sz w:val="20"/>
                <w:szCs w:val="20"/>
                <w:color w:val="auto"/>
              </w:rPr>
            </w:pPr>
            <w:r>
              <w:rPr>
                <w:rFonts w:ascii="Arial" w:cs="Arial" w:eastAsia="Arial" w:hAnsi="Arial"/>
                <w:sz w:val="20"/>
                <w:szCs w:val="20"/>
                <w:color w:val="auto"/>
              </w:rPr>
              <w:t>relationships</w:t>
            </w:r>
          </w:p>
        </w:tc>
        <w:tc>
          <w:tcPr>
            <w:tcW w:w="1360" w:type="dxa"/>
            <w:vAlign w:val="bottom"/>
            <w:gridSpan w:val="2"/>
          </w:tcPr>
          <w:p>
            <w:pPr>
              <w:jc w:val="center"/>
              <w:ind w:right="80"/>
              <w:spacing w:after="0"/>
              <w:rPr>
                <w:sz w:val="20"/>
                <w:szCs w:val="20"/>
                <w:color w:val="auto"/>
              </w:rPr>
            </w:pPr>
            <w:r>
              <w:rPr>
                <w:rFonts w:ascii="Arial" w:cs="Arial" w:eastAsia="Arial" w:hAnsi="Arial"/>
                <w:sz w:val="20"/>
                <w:szCs w:val="20"/>
                <w:color w:val="auto"/>
                <w:w w:val="86"/>
              </w:rPr>
              <w:t>1 – 29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2,767</w:t>
            </w:r>
          </w:p>
        </w:tc>
        <w:tc>
          <w:tcPr>
            <w:tcW w:w="440" w:type="dxa"/>
            <w:vAlign w:val="bottom"/>
            <w:gridSpan w:val="3"/>
          </w:tcPr>
          <w:p>
            <w:pPr>
              <w:jc w:val="right"/>
              <w:ind w:right="8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(1,105)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1,662</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2,789</w:t>
            </w:r>
          </w:p>
        </w:tc>
        <w:tc>
          <w:tcPr>
            <w:tcW w:w="520" w:type="dxa"/>
            <w:vAlign w:val="bottom"/>
            <w:gridSpan w:val="3"/>
          </w:tcPr>
          <w:p>
            <w:pPr>
              <w:jc w:val="right"/>
              <w:ind w:right="162"/>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(932)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1,857</w:t>
            </w:r>
          </w:p>
        </w:tc>
        <w:tc>
          <w:tcPr>
            <w:tcW w:w="0" w:type="dxa"/>
            <w:vAlign w:val="bottom"/>
          </w:tcPr>
          <w:p>
            <w:pPr>
              <w:spacing w:after="0"/>
              <w:rPr>
                <w:sz w:val="1"/>
                <w:szCs w:val="1"/>
                <w:color w:val="auto"/>
              </w:rPr>
            </w:pPr>
          </w:p>
        </w:tc>
      </w:tr>
      <w:tr>
        <w:trPr>
          <w:trHeight w:val="298"/>
        </w:trPr>
        <w:tc>
          <w:tcPr>
            <w:tcW w:w="2580" w:type="dxa"/>
            <w:vAlign w:val="bottom"/>
          </w:tcPr>
          <w:p>
            <w:pPr>
              <w:spacing w:after="0"/>
              <w:rPr>
                <w:sz w:val="20"/>
                <w:szCs w:val="20"/>
                <w:color w:val="auto"/>
              </w:rPr>
            </w:pPr>
            <w:r>
              <w:rPr>
                <w:rFonts w:ascii="Arial" w:cs="Arial" w:eastAsia="Arial" w:hAnsi="Arial"/>
                <w:sz w:val="20"/>
                <w:szCs w:val="20"/>
                <w:color w:val="auto"/>
              </w:rPr>
              <w:t>Other agreements</w:t>
            </w:r>
          </w:p>
        </w:tc>
        <w:tc>
          <w:tcPr>
            <w:tcW w:w="1360" w:type="dxa"/>
            <w:vAlign w:val="bottom"/>
            <w:gridSpan w:val="2"/>
          </w:tcPr>
          <w:p>
            <w:pPr>
              <w:jc w:val="center"/>
              <w:ind w:right="80"/>
              <w:spacing w:after="0"/>
              <w:rPr>
                <w:sz w:val="20"/>
                <w:szCs w:val="20"/>
                <w:color w:val="auto"/>
              </w:rPr>
            </w:pPr>
            <w:r>
              <w:rPr>
                <w:rFonts w:ascii="Arial" w:cs="Arial" w:eastAsia="Arial" w:hAnsi="Arial"/>
                <w:sz w:val="20"/>
                <w:szCs w:val="20"/>
                <w:color w:val="auto"/>
                <w:w w:val="89"/>
              </w:rPr>
              <w:t>15 – 70</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320"/>
        </w:trPr>
        <w:tc>
          <w:tcPr>
            <w:tcW w:w="2580" w:type="dxa"/>
            <w:vAlign w:val="bottom"/>
          </w:tcPr>
          <w:p>
            <w:pPr>
              <w:ind w:left="120"/>
              <w:spacing w:after="0"/>
              <w:rPr>
                <w:sz w:val="20"/>
                <w:szCs w:val="20"/>
                <w:color w:val="auto"/>
              </w:rPr>
            </w:pPr>
            <w:r>
              <w:rPr>
                <w:rFonts w:ascii="Arial" w:cs="Arial" w:eastAsia="Arial" w:hAnsi="Arial"/>
                <w:sz w:val="20"/>
                <w:szCs w:val="20"/>
                <w:color w:val="auto"/>
              </w:rPr>
              <w:t xml:space="preserve">Intangible assets </w:t>
            </w:r>
            <w:r>
              <w:rPr>
                <w:rFonts w:ascii="Arial" w:cs="Arial" w:eastAsia="Arial" w:hAnsi="Arial"/>
                <w:sz w:val="25"/>
                <w:szCs w:val="25"/>
                <w:color w:val="auto"/>
                <w:vertAlign w:val="superscript"/>
              </w:rPr>
              <w:t>(1)</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2,795</w:t>
            </w:r>
          </w:p>
        </w:tc>
        <w:tc>
          <w:tcPr>
            <w:tcW w:w="440" w:type="dxa"/>
            <w:vAlign w:val="bottom"/>
            <w:gridSpan w:val="3"/>
          </w:tcPr>
          <w:p>
            <w:pPr>
              <w:jc w:val="right"/>
              <w:ind w:right="8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(1,118)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1,677</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2,819</w:t>
            </w:r>
          </w:p>
        </w:tc>
        <w:tc>
          <w:tcPr>
            <w:tcW w:w="520" w:type="dxa"/>
            <w:vAlign w:val="bottom"/>
            <w:gridSpan w:val="3"/>
          </w:tcPr>
          <w:p>
            <w:pPr>
              <w:jc w:val="right"/>
              <w:ind w:right="162"/>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(944)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-716280</wp:posOffset>
            </wp:positionV>
            <wp:extent cx="6391275" cy="7067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2">
                      <a:extLst>
                        <a:ext uri="{28A0092B-C50C-407E-A947-70E740481C1C}"/>
                      </a:extLst>
                    </a:blip>
                    <a:srcRect/>
                    <a:stretch>
                      <a:fillRect/>
                    </a:stretch>
                  </pic:blipFill>
                  <pic:spPr bwMode="auto">
                    <a:xfrm>
                      <a:off x="0" y="0"/>
                      <a:ext cx="6391275" cy="7067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31115</wp:posOffset>
                </wp:positionH>
                <wp:positionV relativeFrom="paragraph">
                  <wp:posOffset>125095</wp:posOffset>
                </wp:positionV>
                <wp:extent cx="205359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3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pt,9.85pt" to="164.15pt,9.85pt" o:allowincell="f" strokecolor="#000000" strokeweight="1pt"/>
            </w:pict>
          </mc:Fallback>
        </mc:AlternateContent>
      </w:r>
    </w:p>
    <w:p>
      <w:pPr>
        <w:spacing w:after="0" w:line="334" w:lineRule="exact"/>
        <w:rPr>
          <w:sz w:val="20"/>
          <w:szCs w:val="20"/>
          <w:color w:val="auto"/>
        </w:rPr>
      </w:pPr>
    </w:p>
    <w:p>
      <w:pPr>
        <w:ind w:left="707" w:right="160" w:hanging="707"/>
        <w:spacing w:after="0" w:line="227" w:lineRule="auto"/>
        <w:tabs>
          <w:tab w:leader="none" w:pos="707" w:val="left"/>
        </w:tabs>
        <w:numPr>
          <w:ilvl w:val="0"/>
          <w:numId w:val="90"/>
        </w:numPr>
        <w:rPr>
          <w:rFonts w:ascii="Arial" w:cs="Arial" w:eastAsia="Arial" w:hAnsi="Arial"/>
          <w:sz w:val="25"/>
          <w:szCs w:val="25"/>
          <w:color w:val="auto"/>
          <w:vertAlign w:val="superscript"/>
        </w:rPr>
      </w:pPr>
      <w:r>
        <w:rPr>
          <w:rFonts w:ascii="Arial" w:cs="Arial" w:eastAsia="Arial" w:hAnsi="Arial"/>
          <w:sz w:val="20"/>
          <w:szCs w:val="20"/>
          <w:color w:val="auto"/>
        </w:rPr>
        <w:t>We include rights-of-way, which are intangible assets, within property and equipment. See Note 6 for a discussion of property and equipment.</w:t>
      </w:r>
    </w:p>
    <w:p>
      <w:pPr>
        <w:spacing w:after="0" w:line="216" w:lineRule="exact"/>
        <w:rPr>
          <w:sz w:val="20"/>
          <w:szCs w:val="20"/>
          <w:color w:val="auto"/>
        </w:rPr>
      </w:pPr>
    </w:p>
    <w:p>
      <w:pPr>
        <w:ind w:left="7" w:right="140" w:firstLine="706"/>
        <w:spacing w:after="0" w:line="258" w:lineRule="auto"/>
        <w:rPr>
          <w:sz w:val="20"/>
          <w:szCs w:val="20"/>
          <w:color w:val="auto"/>
        </w:rPr>
      </w:pPr>
      <w:r>
        <w:rPr>
          <w:rFonts w:ascii="Arial" w:cs="Arial" w:eastAsia="Arial" w:hAnsi="Arial"/>
          <w:sz w:val="20"/>
          <w:szCs w:val="20"/>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2024.</w:t>
      </w:r>
    </w:p>
    <w:p>
      <w:pPr>
        <w:spacing w:after="0" w:line="199" w:lineRule="exact"/>
        <w:rPr>
          <w:sz w:val="20"/>
          <w:szCs w:val="20"/>
          <w:color w:val="auto"/>
        </w:rPr>
      </w:pPr>
    </w:p>
    <w:p>
      <w:pPr>
        <w:ind w:left="7" w:right="440" w:firstLine="706"/>
        <w:spacing w:after="0" w:line="300" w:lineRule="auto"/>
        <w:rPr>
          <w:sz w:val="20"/>
          <w:szCs w:val="20"/>
          <w:color w:val="auto"/>
        </w:rPr>
      </w:pPr>
      <w:r>
        <w:rPr>
          <w:rFonts w:ascii="Arial" w:cs="Arial" w:eastAsia="Arial" w:hAnsi="Arial"/>
          <w:sz w:val="17"/>
          <w:szCs w:val="17"/>
          <w:color w:val="auto"/>
        </w:rPr>
        <w:t>The majority of our finite-lived intangible assets are amortized under the declining balance method. Amortization expense for finite-lived intangible assets for the years ended December 31, 2024, 2023 and 2022 was $266 million,</w:t>
      </w:r>
    </w:p>
    <w:p>
      <w:pPr>
        <w:spacing w:after="0" w:line="1" w:lineRule="exact"/>
        <w:rPr>
          <w:sz w:val="20"/>
          <w:szCs w:val="20"/>
          <w:color w:val="auto"/>
        </w:rPr>
      </w:pPr>
    </w:p>
    <w:p>
      <w:pPr>
        <w:ind w:left="7" w:right="120"/>
        <w:spacing w:after="0" w:line="250" w:lineRule="auto"/>
        <w:rPr>
          <w:sz w:val="20"/>
          <w:szCs w:val="20"/>
          <w:color w:val="auto"/>
        </w:rPr>
      </w:pPr>
      <w:r>
        <w:rPr>
          <w:rFonts w:ascii="Arial" w:cs="Arial" w:eastAsia="Arial" w:hAnsi="Arial"/>
          <w:sz w:val="20"/>
          <w:szCs w:val="20"/>
          <w:color w:val="auto"/>
        </w:rPr>
        <w:t>$308 million and $254 million, respectively. We estimate that our amortization expense related to finite-lived intangible assets for the next five years will be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157480</wp:posOffset>
            </wp:positionV>
            <wp:extent cx="6344920" cy="958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3">
                      <a:extLst>
                        <a:ext uri="{28A0092B-C50C-407E-A947-70E740481C1C}"/>
                      </a:extLst>
                    </a:blip>
                    <a:srcRect/>
                    <a:stretch>
                      <a:fillRect/>
                    </a:stretch>
                  </pic:blipFill>
                  <pic:spPr bwMode="auto">
                    <a:xfrm>
                      <a:off x="0" y="0"/>
                      <a:ext cx="6344920" cy="958850"/>
                    </a:xfrm>
                    <a:prstGeom prst="rect">
                      <a:avLst/>
                    </a:prstGeom>
                    <a:noFill/>
                  </pic:spPr>
                </pic:pic>
              </a:graphicData>
            </a:graphic>
          </wp:anchor>
        </w:drawing>
      </w:r>
    </w:p>
    <w:p>
      <w:pPr>
        <w:spacing w:after="0" w:line="261" w:lineRule="exact"/>
        <w:rPr>
          <w:sz w:val="20"/>
          <w:szCs w:val="20"/>
          <w:color w:val="auto"/>
        </w:rPr>
      </w:pPr>
    </w:p>
    <w:tbl>
      <w:tblPr>
        <w:tblLayout w:type="fixed"/>
        <w:tblInd w:w="107" w:type="dxa"/>
        <w:tblCellMar>
          <w:top w:w="0" w:type="dxa"/>
          <w:left w:w="0" w:type="dxa"/>
          <w:bottom w:w="0" w:type="dxa"/>
          <w:right w:w="0" w:type="dxa"/>
        </w:tblCellMar>
      </w:tblPr>
      <w:tr>
        <w:trPr>
          <w:trHeight w:val="268"/>
        </w:trPr>
        <w:tc>
          <w:tcPr>
            <w:tcW w:w="4380" w:type="dxa"/>
            <w:vAlign w:val="bottom"/>
          </w:tcPr>
          <w:p>
            <w:pPr>
              <w:jc w:val="right"/>
              <w:ind w:right="3902"/>
              <w:spacing w:after="0"/>
              <w:rPr>
                <w:sz w:val="20"/>
                <w:szCs w:val="20"/>
                <w:color w:val="auto"/>
              </w:rPr>
            </w:pPr>
            <w:r>
              <w:rPr>
                <w:rFonts w:ascii="Arial" w:cs="Arial" w:eastAsia="Arial" w:hAnsi="Arial"/>
                <w:sz w:val="20"/>
                <w:szCs w:val="20"/>
                <w:color w:val="auto"/>
                <w:w w:val="80"/>
              </w:rPr>
              <w:t>2025</w:t>
            </w:r>
          </w:p>
        </w:tc>
        <w:tc>
          <w:tcPr>
            <w:tcW w:w="4600" w:type="dxa"/>
            <w:vAlign w:val="bottom"/>
          </w:tcPr>
          <w:p>
            <w:pPr>
              <w:jc w:val="right"/>
              <w:ind w:right="42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255</w:t>
            </w:r>
          </w:p>
        </w:tc>
      </w:tr>
      <w:tr>
        <w:trPr>
          <w:trHeight w:val="294"/>
        </w:trPr>
        <w:tc>
          <w:tcPr>
            <w:tcW w:w="4380" w:type="dxa"/>
            <w:vAlign w:val="bottom"/>
          </w:tcPr>
          <w:p>
            <w:pPr>
              <w:jc w:val="right"/>
              <w:ind w:right="3902"/>
              <w:spacing w:after="0"/>
              <w:rPr>
                <w:sz w:val="20"/>
                <w:szCs w:val="20"/>
                <w:color w:val="auto"/>
              </w:rPr>
            </w:pPr>
            <w:r>
              <w:rPr>
                <w:rFonts w:ascii="Arial" w:cs="Arial" w:eastAsia="Arial" w:hAnsi="Arial"/>
                <w:sz w:val="20"/>
                <w:szCs w:val="20"/>
                <w:color w:val="auto"/>
                <w:w w:val="80"/>
              </w:rPr>
              <w:t>2026</w:t>
            </w:r>
          </w:p>
        </w:tc>
        <w:tc>
          <w:tcPr>
            <w:tcW w:w="4600" w:type="dxa"/>
            <w:vAlign w:val="bottom"/>
          </w:tcPr>
          <w:p>
            <w:pPr>
              <w:jc w:val="right"/>
              <w:ind w:right="42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218</w:t>
            </w:r>
          </w:p>
        </w:tc>
      </w:tr>
      <w:tr>
        <w:trPr>
          <w:trHeight w:val="294"/>
        </w:trPr>
        <w:tc>
          <w:tcPr>
            <w:tcW w:w="4380" w:type="dxa"/>
            <w:vAlign w:val="bottom"/>
          </w:tcPr>
          <w:p>
            <w:pPr>
              <w:jc w:val="right"/>
              <w:ind w:right="3902"/>
              <w:spacing w:after="0"/>
              <w:rPr>
                <w:sz w:val="20"/>
                <w:szCs w:val="20"/>
                <w:color w:val="auto"/>
              </w:rPr>
            </w:pPr>
            <w:r>
              <w:rPr>
                <w:rFonts w:ascii="Arial" w:cs="Arial" w:eastAsia="Arial" w:hAnsi="Arial"/>
                <w:sz w:val="20"/>
                <w:szCs w:val="20"/>
                <w:color w:val="auto"/>
                <w:w w:val="80"/>
              </w:rPr>
              <w:t>2027</w:t>
            </w:r>
          </w:p>
        </w:tc>
        <w:tc>
          <w:tcPr>
            <w:tcW w:w="4600" w:type="dxa"/>
            <w:vAlign w:val="bottom"/>
          </w:tcPr>
          <w:p>
            <w:pPr>
              <w:jc w:val="right"/>
              <w:ind w:right="42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194</w:t>
            </w:r>
          </w:p>
        </w:tc>
      </w:tr>
      <w:tr>
        <w:trPr>
          <w:trHeight w:val="294"/>
        </w:trPr>
        <w:tc>
          <w:tcPr>
            <w:tcW w:w="4380" w:type="dxa"/>
            <w:vAlign w:val="bottom"/>
          </w:tcPr>
          <w:p>
            <w:pPr>
              <w:jc w:val="right"/>
              <w:ind w:right="3902"/>
              <w:spacing w:after="0"/>
              <w:rPr>
                <w:sz w:val="20"/>
                <w:szCs w:val="20"/>
                <w:color w:val="auto"/>
              </w:rPr>
            </w:pPr>
            <w:r>
              <w:rPr>
                <w:rFonts w:ascii="Arial" w:cs="Arial" w:eastAsia="Arial" w:hAnsi="Arial"/>
                <w:sz w:val="20"/>
                <w:szCs w:val="20"/>
                <w:color w:val="auto"/>
                <w:w w:val="80"/>
              </w:rPr>
              <w:t>2028</w:t>
            </w:r>
          </w:p>
        </w:tc>
        <w:tc>
          <w:tcPr>
            <w:tcW w:w="4600" w:type="dxa"/>
            <w:vAlign w:val="bottom"/>
          </w:tcPr>
          <w:p>
            <w:pPr>
              <w:jc w:val="right"/>
              <w:ind w:right="42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172</w:t>
            </w:r>
          </w:p>
        </w:tc>
      </w:tr>
      <w:tr>
        <w:trPr>
          <w:trHeight w:val="294"/>
        </w:trPr>
        <w:tc>
          <w:tcPr>
            <w:tcW w:w="4380" w:type="dxa"/>
            <w:vAlign w:val="bottom"/>
          </w:tcPr>
          <w:p>
            <w:pPr>
              <w:jc w:val="right"/>
              <w:ind w:right="3902"/>
              <w:spacing w:after="0"/>
              <w:rPr>
                <w:sz w:val="20"/>
                <w:szCs w:val="20"/>
                <w:color w:val="auto"/>
              </w:rPr>
            </w:pPr>
            <w:r>
              <w:rPr>
                <w:rFonts w:ascii="Arial" w:cs="Arial" w:eastAsia="Arial" w:hAnsi="Arial"/>
                <w:sz w:val="20"/>
                <w:szCs w:val="20"/>
                <w:color w:val="auto"/>
                <w:w w:val="80"/>
              </w:rPr>
              <w:t>2029</w:t>
            </w:r>
          </w:p>
        </w:tc>
        <w:tc>
          <w:tcPr>
            <w:tcW w:w="4600" w:type="dxa"/>
            <w:vAlign w:val="bottom"/>
          </w:tcPr>
          <w:p>
            <w:pPr>
              <w:jc w:val="right"/>
              <w:ind w:right="42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154</w:t>
            </w:r>
          </w:p>
        </w:tc>
      </w:tr>
    </w:tbl>
    <w:p>
      <w:pPr>
        <w:spacing w:after="0" w:line="200" w:lineRule="exact"/>
        <w:rPr>
          <w:sz w:val="20"/>
          <w:szCs w:val="20"/>
          <w:color w:val="auto"/>
        </w:rPr>
      </w:pP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F-29</w:t>
      </w:r>
    </w:p>
    <w:p>
      <w:pPr>
        <w:sectPr>
          <w:pgSz w:w="11880" w:h="15480" w:orient="portrait"/>
          <w:cols w:equalWidth="0" w:num="1">
            <w:col w:w="10047"/>
          </w:cols>
          <w:pgMar w:left="913" w:top="337" w:right="920" w:bottom="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10—Debt</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Debt consisted of the following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84"/>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84"/>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4"/>
        </w:trPr>
        <w:tc>
          <w:tcPr>
            <w:tcW w:w="7400" w:type="dxa"/>
            <w:vAlign w:val="bottom"/>
            <w:gridSpan w:val="2"/>
          </w:tcPr>
          <w:p>
            <w:pPr>
              <w:ind w:left="60"/>
              <w:spacing w:after="0"/>
              <w:rPr>
                <w:sz w:val="20"/>
                <w:szCs w:val="20"/>
                <w:color w:val="auto"/>
              </w:rPr>
            </w:pPr>
            <w:r>
              <w:rPr>
                <w:rFonts w:ascii="Arial" w:cs="Arial" w:eastAsia="Arial" w:hAnsi="Arial"/>
                <w:sz w:val="20"/>
                <w:szCs w:val="20"/>
                <w:b w:val="1"/>
                <w:bCs w:val="1"/>
                <w:color w:val="auto"/>
              </w:rPr>
              <w:t>SHORT-TERM DEBT</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60"/>
              <w:spacing w:after="0" w:line="204" w:lineRule="exact"/>
              <w:rPr>
                <w:sz w:val="20"/>
                <w:szCs w:val="20"/>
                <w:color w:val="auto"/>
              </w:rPr>
            </w:pPr>
            <w:r>
              <w:rPr>
                <w:rFonts w:ascii="Arial" w:cs="Arial" w:eastAsia="Arial" w:hAnsi="Arial"/>
                <w:sz w:val="20"/>
                <w:szCs w:val="20"/>
                <w:color w:val="auto"/>
                <w:w w:val="91"/>
              </w:rPr>
              <w:t>PAA commercial paper notes, bearing a weighted-average interest rate of 4.6% and 5.8%,</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393</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433</w:t>
            </w:r>
          </w:p>
        </w:tc>
        <w:tc>
          <w:tcPr>
            <w:tcW w:w="0" w:type="dxa"/>
            <w:vAlign w:val="bottom"/>
          </w:tcPr>
          <w:p>
            <w:pPr>
              <w:spacing w:after="0"/>
              <w:rPr>
                <w:sz w:val="1"/>
                <w:szCs w:val="1"/>
                <w:color w:val="auto"/>
              </w:rPr>
            </w:pPr>
          </w:p>
        </w:tc>
      </w:tr>
      <w:tr>
        <w:trPr>
          <w:trHeight w:val="280"/>
        </w:trPr>
        <w:tc>
          <w:tcPr>
            <w:tcW w:w="7400" w:type="dxa"/>
            <w:vAlign w:val="bottom"/>
            <w:gridSpan w:val="2"/>
          </w:tcPr>
          <w:p>
            <w:pPr>
              <w:ind w:left="220"/>
              <w:spacing w:after="0" w:line="280" w:lineRule="exact"/>
              <w:rPr>
                <w:sz w:val="20"/>
                <w:szCs w:val="20"/>
                <w:color w:val="auto"/>
              </w:rPr>
            </w:pPr>
            <w:r>
              <w:rPr>
                <w:rFonts w:ascii="Arial" w:cs="Arial" w:eastAsia="Arial" w:hAnsi="Arial"/>
                <w:sz w:val="20"/>
                <w:szCs w:val="20"/>
                <w:color w:val="auto"/>
              </w:rPr>
              <w:t xml:space="preserve">respectively </w:t>
            </w:r>
            <w:r>
              <w:rPr>
                <w:rFonts w:ascii="Arial" w:cs="Arial" w:eastAsia="Arial" w:hAnsi="Arial"/>
                <w:sz w:val="25"/>
                <w:szCs w:val="25"/>
                <w:color w:val="auto"/>
                <w:vertAlign w:val="superscript"/>
              </w:rPr>
              <w:t>(1)</w:t>
            </w:r>
          </w:p>
        </w:tc>
        <w:tc>
          <w:tcPr>
            <w:tcW w:w="18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400" w:type="dxa"/>
            <w:vAlign w:val="bottom"/>
            <w:gridSpan w:val="2"/>
          </w:tcPr>
          <w:p>
            <w:pPr>
              <w:ind w:left="6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70"/>
        </w:trPr>
        <w:tc>
          <w:tcPr>
            <w:tcW w:w="7400" w:type="dxa"/>
            <w:vAlign w:val="bottom"/>
            <w:gridSpan w:val="2"/>
          </w:tcPr>
          <w:p>
            <w:pPr>
              <w:ind w:left="280"/>
              <w:spacing w:after="0"/>
              <w:rPr>
                <w:sz w:val="20"/>
                <w:szCs w:val="20"/>
                <w:color w:val="auto"/>
              </w:rPr>
            </w:pPr>
            <w:r>
              <w:rPr>
                <w:rFonts w:ascii="Arial" w:cs="Arial" w:eastAsia="Arial" w:hAnsi="Arial"/>
                <w:sz w:val="20"/>
                <w:szCs w:val="20"/>
                <w:color w:val="auto"/>
              </w:rPr>
              <w:t>Total short-term debt</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446</w:t>
            </w:r>
          </w:p>
        </w:tc>
        <w:tc>
          <w:tcPr>
            <w:tcW w:w="0" w:type="dxa"/>
            <w:vAlign w:val="bottom"/>
          </w:tcPr>
          <w:p>
            <w:pPr>
              <w:spacing w:after="0"/>
              <w:rPr>
                <w:sz w:val="1"/>
                <w:szCs w:val="1"/>
                <w:color w:val="auto"/>
              </w:rPr>
            </w:pPr>
          </w:p>
        </w:tc>
      </w:tr>
      <w:tr>
        <w:trPr>
          <w:trHeight w:val="513"/>
        </w:trPr>
        <w:tc>
          <w:tcPr>
            <w:tcW w:w="7400" w:type="dxa"/>
            <w:vAlign w:val="bottom"/>
            <w:gridSpan w:val="2"/>
          </w:tcPr>
          <w:p>
            <w:pPr>
              <w:ind w:left="60"/>
              <w:spacing w:after="0"/>
              <w:rPr>
                <w:sz w:val="20"/>
                <w:szCs w:val="20"/>
                <w:color w:val="auto"/>
              </w:rPr>
            </w:pPr>
            <w:r>
              <w:rPr>
                <w:rFonts w:ascii="Arial" w:cs="Arial" w:eastAsia="Arial" w:hAnsi="Arial"/>
                <w:sz w:val="20"/>
                <w:szCs w:val="20"/>
                <w:b w:val="1"/>
                <w:bCs w:val="1"/>
                <w:color w:val="auto"/>
              </w:rPr>
              <w:t>LONG-TERM DEBT</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00" w:type="dxa"/>
            <w:vAlign w:val="bottom"/>
            <w:gridSpan w:val="2"/>
          </w:tcPr>
          <w:p>
            <w:pPr>
              <w:ind w:left="60"/>
              <w:spacing w:after="0"/>
              <w:rPr>
                <w:sz w:val="20"/>
                <w:szCs w:val="20"/>
                <w:color w:val="auto"/>
              </w:rPr>
            </w:pPr>
            <w:r>
              <w:rPr>
                <w:rFonts w:ascii="Arial" w:cs="Arial" w:eastAsia="Arial" w:hAnsi="Arial"/>
                <w:sz w:val="20"/>
                <w:szCs w:val="20"/>
                <w:color w:val="auto"/>
              </w:rPr>
              <w:t>PAA senior notes: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 xml:space="preserve">3.60% senior notes due November 2024 </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750</w:t>
            </w:r>
          </w:p>
        </w:tc>
        <w:tc>
          <w:tcPr>
            <w:tcW w:w="0" w:type="dxa"/>
            <w:vAlign w:val="bottom"/>
          </w:tcPr>
          <w:p>
            <w:pPr>
              <w:spacing w:after="0"/>
              <w:rPr>
                <w:sz w:val="1"/>
                <w:szCs w:val="1"/>
                <w:color w:val="auto"/>
              </w:rPr>
            </w:pPr>
          </w:p>
        </w:tc>
      </w:tr>
      <w:tr>
        <w:trPr>
          <w:trHeight w:val="312"/>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 xml:space="preserve">4.65% senior notes due October 2025 </w:t>
            </w:r>
            <w:r>
              <w:rPr>
                <w:rFonts w:ascii="Arial" w:cs="Arial" w:eastAsia="Arial" w:hAnsi="Arial"/>
                <w:sz w:val="25"/>
                <w:szCs w:val="25"/>
                <w:color w:val="auto"/>
                <w:vertAlign w:val="superscript"/>
              </w:rPr>
              <w:t>(3)</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68"/>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4.50% senior notes due December 2026</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750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750</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3.55% senior notes due December 2029</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3.80% senior notes due September 2030</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750</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5.70% senior notes due September 2034</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6.70% senior notes due May 2036</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250</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6.65% senior notes due January 2037</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600</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5.15% senior notes due June 2042</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499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499</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4.30% senior notes due January 2043</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348</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4.70% senior notes due June 2044</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687</w:t>
            </w:r>
          </w:p>
        </w:tc>
        <w:tc>
          <w:tcPr>
            <w:tcW w:w="0" w:type="dxa"/>
            <w:vAlign w:val="bottom"/>
          </w:tcPr>
          <w:p>
            <w:pPr>
              <w:spacing w:after="0"/>
              <w:rPr>
                <w:sz w:val="1"/>
                <w:szCs w:val="1"/>
                <w:color w:val="auto"/>
              </w:rPr>
            </w:pPr>
          </w:p>
        </w:tc>
      </w:tr>
      <w:tr>
        <w:trPr>
          <w:trHeight w:val="294"/>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4.90% senior notes due February 2045</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649</w:t>
            </w:r>
          </w:p>
        </w:tc>
        <w:tc>
          <w:tcPr>
            <w:tcW w:w="0" w:type="dxa"/>
            <w:vAlign w:val="bottom"/>
          </w:tcPr>
          <w:p>
            <w:pPr>
              <w:spacing w:after="0"/>
              <w:rPr>
                <w:sz w:val="1"/>
                <w:szCs w:val="1"/>
                <w:color w:val="auto"/>
              </w:rPr>
            </w:pPr>
          </w:p>
        </w:tc>
      </w:tr>
      <w:tr>
        <w:trPr>
          <w:trHeight w:val="298"/>
        </w:trPr>
        <w:tc>
          <w:tcPr>
            <w:tcW w:w="7400" w:type="dxa"/>
            <w:vAlign w:val="bottom"/>
            <w:gridSpan w:val="2"/>
          </w:tcPr>
          <w:p>
            <w:pPr>
              <w:ind w:left="180"/>
              <w:spacing w:after="0"/>
              <w:rPr>
                <w:sz w:val="20"/>
                <w:szCs w:val="20"/>
                <w:color w:val="auto"/>
              </w:rPr>
            </w:pPr>
            <w:r>
              <w:rPr>
                <w:rFonts w:ascii="Arial" w:cs="Arial" w:eastAsia="Arial" w:hAnsi="Arial"/>
                <w:sz w:val="20"/>
                <w:szCs w:val="20"/>
                <w:color w:val="auto"/>
              </w:rPr>
              <w:t>Unamortized discounts and debt issuance costs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70"/>
        </w:trPr>
        <w:tc>
          <w:tcPr>
            <w:tcW w:w="7400" w:type="dxa"/>
            <w:vAlign w:val="bottom"/>
            <w:gridSpan w:val="2"/>
          </w:tcPr>
          <w:p>
            <w:pPr>
              <w:ind w:left="400"/>
              <w:spacing w:after="0"/>
              <w:rPr>
                <w:sz w:val="20"/>
                <w:szCs w:val="20"/>
                <w:color w:val="auto"/>
              </w:rPr>
            </w:pPr>
            <w:r>
              <w:rPr>
                <w:rFonts w:ascii="Arial" w:cs="Arial" w:eastAsia="Arial" w:hAnsi="Arial"/>
                <w:sz w:val="20"/>
                <w:szCs w:val="20"/>
                <w:color w:val="auto"/>
              </w:rPr>
              <w:t>PAA senior notes, net of unamortized discounts and debt issuance costs</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7,141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7,242</w:t>
            </w:r>
          </w:p>
        </w:tc>
        <w:tc>
          <w:tcPr>
            <w:tcW w:w="0" w:type="dxa"/>
            <w:vAlign w:val="bottom"/>
          </w:tcPr>
          <w:p>
            <w:pPr>
              <w:spacing w:after="0"/>
              <w:rPr>
                <w:sz w:val="1"/>
                <w:szCs w:val="1"/>
                <w:color w:val="auto"/>
              </w:rPr>
            </w:pPr>
          </w:p>
        </w:tc>
      </w:tr>
      <w:tr>
        <w:trPr>
          <w:trHeight w:val="294"/>
        </w:trPr>
        <w:tc>
          <w:tcPr>
            <w:tcW w:w="7400" w:type="dxa"/>
            <w:vAlign w:val="bottom"/>
            <w:gridSpan w:val="2"/>
          </w:tcPr>
          <w:p>
            <w:pPr>
              <w:ind w:left="60"/>
              <w:spacing w:after="0"/>
              <w:rPr>
                <w:sz w:val="20"/>
                <w:szCs w:val="20"/>
                <w:color w:val="auto"/>
              </w:rPr>
            </w:pPr>
            <w:r>
              <w:rPr>
                <w:rFonts w:ascii="Arial" w:cs="Arial" w:eastAsia="Arial" w:hAnsi="Arial"/>
                <w:sz w:val="20"/>
                <w:szCs w:val="20"/>
                <w:color w:val="auto"/>
              </w:rPr>
              <w:t>Other long-term debt:</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400" w:type="dxa"/>
            <w:vAlign w:val="bottom"/>
            <w:gridSpan w:val="2"/>
          </w:tcPr>
          <w:p>
            <w:pPr>
              <w:ind w:left="16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74"/>
        </w:trPr>
        <w:tc>
          <w:tcPr>
            <w:tcW w:w="7400" w:type="dxa"/>
            <w:vAlign w:val="bottom"/>
            <w:gridSpan w:val="2"/>
          </w:tcPr>
          <w:p>
            <w:pPr>
              <w:ind w:left="400"/>
              <w:spacing w:after="0"/>
              <w:rPr>
                <w:sz w:val="20"/>
                <w:szCs w:val="20"/>
                <w:color w:val="auto"/>
              </w:rPr>
            </w:pPr>
            <w:r>
              <w:rPr>
                <w:rFonts w:ascii="Arial" w:cs="Arial" w:eastAsia="Arial" w:hAnsi="Arial"/>
                <w:sz w:val="20"/>
                <w:szCs w:val="20"/>
                <w:color w:val="auto"/>
              </w:rPr>
              <w:t>Total long-term debt</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7,213</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7,305</w:t>
            </w:r>
          </w:p>
        </w:tc>
        <w:tc>
          <w:tcPr>
            <w:tcW w:w="0" w:type="dxa"/>
            <w:vAlign w:val="bottom"/>
          </w:tcPr>
          <w:p>
            <w:pPr>
              <w:spacing w:after="0"/>
              <w:rPr>
                <w:sz w:val="1"/>
                <w:szCs w:val="1"/>
                <w:color w:val="auto"/>
              </w:rPr>
            </w:pPr>
          </w:p>
        </w:tc>
      </w:tr>
      <w:tr>
        <w:trPr>
          <w:trHeight w:val="254"/>
        </w:trPr>
        <w:tc>
          <w:tcPr>
            <w:tcW w:w="7400" w:type="dxa"/>
            <w:vAlign w:val="bottom"/>
            <w:gridSpan w:val="2"/>
          </w:tcPr>
          <w:p>
            <w:pPr>
              <w:ind w:left="540"/>
              <w:spacing w:after="0" w:line="254" w:lineRule="exact"/>
              <w:rPr>
                <w:sz w:val="20"/>
                <w:szCs w:val="20"/>
                <w:color w:val="auto"/>
              </w:rPr>
            </w:pPr>
            <w:r>
              <w:rPr>
                <w:rFonts w:ascii="Arial" w:cs="Arial" w:eastAsia="Arial" w:hAnsi="Arial"/>
                <w:sz w:val="20"/>
                <w:szCs w:val="20"/>
                <w:color w:val="auto"/>
              </w:rPr>
              <w:t xml:space="preserve">Total debt </w:t>
            </w:r>
            <w:r>
              <w:rPr>
                <w:rFonts w:ascii="Arial" w:cs="Arial" w:eastAsia="Arial" w:hAnsi="Arial"/>
                <w:sz w:val="25"/>
                <w:szCs w:val="25"/>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7,621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7,751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-4850765</wp:posOffset>
            </wp:positionV>
            <wp:extent cx="6400800" cy="47612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4">
                      <a:extLst>
                        <a:ext uri="{28A0092B-C50C-407E-A947-70E740481C1C}"/>
                      </a:extLst>
                    </a:blip>
                    <a:srcRect/>
                    <a:stretch>
                      <a:fillRect/>
                    </a:stretch>
                  </pic:blipFill>
                  <pic:spPr bwMode="auto">
                    <a:xfrm>
                      <a:off x="0" y="0"/>
                      <a:ext cx="6400800" cy="4761230"/>
                    </a:xfrm>
                    <a:prstGeom prst="rect">
                      <a:avLst/>
                    </a:prstGeom>
                    <a:noFill/>
                  </pic:spPr>
                </pic:pic>
              </a:graphicData>
            </a:graphic>
          </wp:anchor>
        </w:drawing>
      </w:r>
    </w:p>
    <w:p>
      <w:pPr>
        <w:sectPr>
          <w:pgSz w:w="11880" w:h="15480" w:orient="portrait"/>
          <w:cols w:equalWidth="0" w:num="1">
            <w:col w:w="10040"/>
          </w:cols>
          <w:pgMar w:left="920" w:top="337" w:right="920" w:bottom="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0"/>
        <w:spacing w:after="0" w:line="278" w:lineRule="auto"/>
        <w:rPr>
          <w:sz w:val="20"/>
          <w:szCs w:val="20"/>
          <w:color w:val="auto"/>
        </w:rPr>
      </w:pPr>
      <w:r>
        <w:rPr>
          <w:rFonts w:ascii="Arial" w:cs="Arial" w:eastAsia="Arial" w:hAnsi="Arial"/>
          <w:sz w:val="19"/>
          <w:szCs w:val="19"/>
          <w:color w:val="auto"/>
        </w:rPr>
        <w:t>PAA classified these commercial paper notes as short-term as of December 31, 2024 and 2023, as these notes were primarily designated as working capital borrowings, were required to be repaid within one year and were primarily for hedged NGL and crude oil inventory and NYMEX and ICE margin deposits.</w:t>
      </w:r>
    </w:p>
    <w:p>
      <w:pPr>
        <w:spacing w:after="0" w:line="64" w:lineRule="exact"/>
        <w:rPr>
          <w:sz w:val="20"/>
          <w:szCs w:val="20"/>
          <w:color w:val="auto"/>
        </w:rPr>
      </w:pPr>
    </w:p>
    <w:p>
      <w:pPr>
        <w:ind w:right="300"/>
        <w:spacing w:after="0" w:line="258" w:lineRule="auto"/>
        <w:rPr>
          <w:sz w:val="20"/>
          <w:szCs w:val="20"/>
          <w:color w:val="auto"/>
        </w:rPr>
      </w:pPr>
      <w:r>
        <w:rPr>
          <w:rFonts w:ascii="Arial" w:cs="Arial" w:eastAsia="Arial" w:hAnsi="Arial"/>
          <w:sz w:val="20"/>
          <w:szCs w:val="20"/>
          <w:color w:val="auto"/>
        </w:rPr>
        <w:t>As of December 31, 2023, PAA classified its $750 million, 3.60% senior notes due November 2024 as long-term based on its ability and intent to refinance these notes on a long-term basis at that time. PAA redeemed these senior notes on November 1, 2024.</w:t>
      </w:r>
    </w:p>
    <w:p>
      <w:pPr>
        <w:spacing w:after="0" w:line="82"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As of December 31, 2024, PAA classified its $1 billion, 4.65% senior notes due October 2025 as long-term based on its ability and intent to refinance these notes on a long-term basis.</w:t>
      </w:r>
    </w:p>
    <w:p>
      <w:pPr>
        <w:spacing w:after="0" w:line="69"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PAA’s fixed-rate senior notes had a face value of approximately $7.2 billion and $7.3 billion at December 31, 2024 and 2023, respectively. We estimated the aggregate fair value of these notes to be approximately $6.7 billion and $6.9 billion at December 31, 2024 and 2023,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the PAA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880" w:h="15480" w:orient="portrait"/>
          <w:cols w:equalWidth="0" w:num="2">
            <w:col w:w="140" w:space="560"/>
            <w:col w:w="9340"/>
          </w:cols>
          <w:pgMar w:left="920" w:top="337" w:right="920" w:bottom="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10040"/>
          </w:cols>
          <w:pgMar w:left="920" w:top="337" w:right="920" w:bottom="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PAA Commercial Paper Program</w:t>
      </w:r>
    </w:p>
    <w:p>
      <w:pPr>
        <w:spacing w:after="0" w:line="248" w:lineRule="exact"/>
        <w:rPr>
          <w:sz w:val="20"/>
          <w:szCs w:val="20"/>
          <w:color w:val="auto"/>
        </w:rPr>
      </w:pPr>
    </w:p>
    <w:p>
      <w:pPr>
        <w:ind w:right="160" w:firstLine="706"/>
        <w:spacing w:after="0" w:line="271" w:lineRule="auto"/>
        <w:rPr>
          <w:sz w:val="20"/>
          <w:szCs w:val="20"/>
          <w:color w:val="auto"/>
        </w:rPr>
      </w:pPr>
      <w:r>
        <w:rPr>
          <w:rFonts w:ascii="Arial" w:cs="Arial" w:eastAsia="Arial" w:hAnsi="Arial"/>
          <w:sz w:val="19"/>
          <w:szCs w:val="19"/>
          <w:color w:val="auto"/>
        </w:rPr>
        <w:t>PAA has a commercial paper program under which it may issue (and have outstanding at any time) up to $2.7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Agreements</w:t>
      </w:r>
    </w:p>
    <w:p>
      <w:pPr>
        <w:spacing w:after="0" w:line="246" w:lineRule="exact"/>
        <w:rPr>
          <w:sz w:val="20"/>
          <w:szCs w:val="20"/>
          <w:color w:val="auto"/>
        </w:rPr>
      </w:pPr>
    </w:p>
    <w:p>
      <w:pPr>
        <w:ind w:firstLine="706"/>
        <w:spacing w:after="0" w:line="295" w:lineRule="auto"/>
        <w:rPr>
          <w:sz w:val="20"/>
          <w:szCs w:val="20"/>
          <w:color w:val="auto"/>
        </w:rPr>
      </w:pPr>
      <w:r>
        <w:rPr>
          <w:rFonts w:ascii="Arial" w:cs="Arial" w:eastAsia="Arial" w:hAnsi="Arial"/>
          <w:sz w:val="17"/>
          <w:szCs w:val="17"/>
          <w:b w:val="1"/>
          <w:bCs w:val="1"/>
          <w:i w:val="1"/>
          <w:iCs w:val="1"/>
          <w:color w:val="auto"/>
        </w:rPr>
        <w:t>PAA senior secured hedged inventory facility</w:t>
      </w:r>
      <w:r>
        <w:rPr>
          <w:rFonts w:ascii="Arial" w:cs="Arial" w:eastAsia="Arial" w:hAnsi="Arial"/>
          <w:sz w:val="17"/>
          <w:szCs w:val="17"/>
          <w:color w:val="auto"/>
        </w:rPr>
        <w:t>. PAA has a credit agreement that provides for a senior secured hedged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2024, PAA amended the facility agreement to, among other things, extend the maturity date of the facility to August 2027 for each extending lender. The maturity date with respect to the non-extending lender (which represents a commitment of approximately $64 million out of total commitments of $1.35 billion from all lenders) remains August 2026.</w:t>
      </w:r>
    </w:p>
    <w:p>
      <w:pPr>
        <w:spacing w:after="0" w:line="174" w:lineRule="exact"/>
        <w:rPr>
          <w:sz w:val="20"/>
          <w:szCs w:val="20"/>
          <w:color w:val="auto"/>
        </w:rPr>
      </w:pPr>
    </w:p>
    <w:p>
      <w:pPr>
        <w:ind w:right="100" w:firstLine="706"/>
        <w:spacing w:after="0" w:line="298" w:lineRule="auto"/>
        <w:rPr>
          <w:sz w:val="20"/>
          <w:szCs w:val="20"/>
          <w:color w:val="auto"/>
        </w:rPr>
      </w:pPr>
      <w:r>
        <w:rPr>
          <w:rFonts w:ascii="Arial" w:cs="Arial" w:eastAsia="Arial" w:hAnsi="Arial"/>
          <w:sz w:val="17"/>
          <w:szCs w:val="17"/>
          <w:b w:val="1"/>
          <w:bCs w:val="1"/>
          <w:i w:val="1"/>
          <w:iCs w:val="1"/>
          <w:color w:val="auto"/>
        </w:rPr>
        <w:t xml:space="preserve">PAA senior unsecured revolving credit facility. </w:t>
      </w:r>
      <w:r>
        <w:rPr>
          <w:rFonts w:ascii="Arial" w:cs="Arial" w:eastAsia="Arial" w:hAnsi="Arial"/>
          <w:sz w:val="17"/>
          <w:szCs w:val="17"/>
          <w:color w:val="auto"/>
        </w:rPr>
        <w:t>PAA has a credit agreement that provides for a senior unsecured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revolving 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2024, PAA amended the facility agreement to, among other things, extend the maturity date of the facility to August 2029 for each extending lender. The maturity date with respect to the non-extending lender (which represents a commitment of approximately $64 million out of total commitments of $1.35 billion from all lenders) remains August 2027.</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PAA Senior Notes</w:t>
      </w:r>
    </w:p>
    <w:p>
      <w:pPr>
        <w:spacing w:after="0" w:line="248" w:lineRule="exact"/>
        <w:rPr>
          <w:sz w:val="20"/>
          <w:szCs w:val="20"/>
          <w:color w:val="auto"/>
        </w:rPr>
      </w:pPr>
    </w:p>
    <w:p>
      <w:pPr>
        <w:ind w:right="20" w:firstLine="706"/>
        <w:spacing w:after="0" w:line="306" w:lineRule="auto"/>
        <w:rPr>
          <w:sz w:val="20"/>
          <w:szCs w:val="20"/>
          <w:color w:val="auto"/>
        </w:rPr>
      </w:pPr>
      <w:r>
        <w:rPr>
          <w:rFonts w:ascii="Arial" w:cs="Arial" w:eastAsia="Arial" w:hAnsi="Arial"/>
          <w:sz w:val="17"/>
          <w:szCs w:val="17"/>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163" w:lineRule="exact"/>
        <w:rPr>
          <w:sz w:val="20"/>
          <w:szCs w:val="20"/>
          <w:color w:val="auto"/>
        </w:rPr>
      </w:pPr>
    </w:p>
    <w:p>
      <w:pPr>
        <w:ind w:right="60" w:firstLine="706"/>
        <w:spacing w:after="0" w:line="273" w:lineRule="auto"/>
        <w:rPr>
          <w:sz w:val="20"/>
          <w:szCs w:val="20"/>
          <w:color w:val="auto"/>
        </w:rPr>
      </w:pPr>
      <w:r>
        <w:rPr>
          <w:rFonts w:ascii="Arial" w:cs="Arial" w:eastAsia="Arial" w:hAnsi="Arial"/>
          <w:sz w:val="20"/>
          <w:szCs w:val="20"/>
          <w:b w:val="1"/>
          <w:bCs w:val="1"/>
          <w:i w:val="1"/>
          <w:iCs w:val="1"/>
          <w:color w:val="auto"/>
        </w:rPr>
        <w:t xml:space="preserve">PAA Senior Notes Issuances. </w:t>
      </w:r>
      <w:r>
        <w:rPr>
          <w:rFonts w:ascii="Arial" w:cs="Arial" w:eastAsia="Arial" w:hAnsi="Arial"/>
          <w:sz w:val="20"/>
          <w:szCs w:val="20"/>
          <w:color w:val="auto"/>
        </w:rPr>
        <w:t>The table below summarizes PAA’s issuances of senior unsecured notes during the three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years ended December 31, 2024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8"/>
                <w:szCs w:val="18"/>
                <w:color w:val="auto"/>
              </w:rPr>
            </w:pPr>
          </w:p>
        </w:tc>
        <w:tc>
          <w:tcPr>
            <w:tcW w:w="434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Description</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Face Value</w:t>
            </w:r>
          </w:p>
        </w:tc>
        <w:tc>
          <w:tcPr>
            <w:tcW w:w="80" w:type="dxa"/>
            <w:vAlign w:val="bottom"/>
          </w:tcPr>
          <w:p>
            <w:pPr>
              <w:spacing w:after="0"/>
              <w:rPr>
                <w:sz w:val="18"/>
                <w:szCs w:val="18"/>
                <w:color w:val="auto"/>
              </w:rPr>
            </w:pPr>
          </w:p>
        </w:tc>
        <w:tc>
          <w:tcPr>
            <w:tcW w:w="24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Interest Payment Dates</w:t>
            </w:r>
          </w:p>
        </w:tc>
      </w:tr>
      <w:tr>
        <w:trPr>
          <w:trHeight w:val="270"/>
        </w:trPr>
        <w:tc>
          <w:tcPr>
            <w:tcW w:w="4940" w:type="dxa"/>
            <w:vAlign w:val="bottom"/>
            <w:gridSpan w:val="3"/>
          </w:tcPr>
          <w:p>
            <w:pPr>
              <w:ind w:left="60"/>
              <w:spacing w:after="0"/>
              <w:rPr>
                <w:sz w:val="20"/>
                <w:szCs w:val="20"/>
                <w:color w:val="auto"/>
              </w:rPr>
            </w:pPr>
            <w:r>
              <w:rPr>
                <w:rFonts w:ascii="Arial" w:cs="Arial" w:eastAsia="Arial" w:hAnsi="Arial"/>
                <w:sz w:val="20"/>
                <w:szCs w:val="20"/>
                <w:color w:val="auto"/>
                <w:w w:val="92"/>
              </w:rPr>
              <w:t>2024   5.70% Senior Notes issued at 99.953% of face value</w:t>
            </w:r>
          </w:p>
        </w:tc>
        <w:tc>
          <w:tcPr>
            <w:tcW w:w="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0"/>
                <w:szCs w:val="20"/>
                <w:color w:val="auto"/>
                <w:w w:val="86"/>
              </w:rPr>
              <w:t>September 2034</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3380" w:type="dxa"/>
            <w:vAlign w:val="bottom"/>
            <w:gridSpan w:val="3"/>
          </w:tcPr>
          <w:p>
            <w:pPr>
              <w:ind w:left="520"/>
              <w:spacing w:after="0"/>
              <w:rPr>
                <w:sz w:val="20"/>
                <w:szCs w:val="20"/>
                <w:color w:val="auto"/>
              </w:rPr>
            </w:pPr>
            <w:r>
              <w:rPr>
                <w:rFonts w:ascii="Arial" w:cs="Arial" w:eastAsia="Arial" w:hAnsi="Arial"/>
                <w:sz w:val="20"/>
                <w:szCs w:val="20"/>
                <w:color w:val="auto"/>
                <w:w w:val="93"/>
              </w:rPr>
              <w:t>650   March 15 and September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-189865</wp:posOffset>
            </wp:positionV>
            <wp:extent cx="6391275" cy="2120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5">
                      <a:extLst>
                        <a:ext uri="{28A0092B-C50C-407E-A947-70E740481C1C}"/>
                      </a:extLst>
                    </a:blip>
                    <a:srcRect/>
                    <a:stretch>
                      <a:fillRect/>
                    </a:stretch>
                  </pic:blipFill>
                  <pic:spPr bwMode="auto">
                    <a:xfrm>
                      <a:off x="0" y="0"/>
                      <a:ext cx="6391275" cy="212090"/>
                    </a:xfrm>
                    <a:prstGeom prst="rect">
                      <a:avLst/>
                    </a:prstGeom>
                    <a:noFill/>
                  </pic:spPr>
                </pic:pic>
              </a:graphicData>
            </a:graphic>
          </wp:anchor>
        </w:drawing>
      </w:r>
    </w:p>
    <w:p>
      <w:pPr>
        <w:spacing w:after="0" w:line="266" w:lineRule="exact"/>
        <w:rPr>
          <w:sz w:val="20"/>
          <w:szCs w:val="20"/>
          <w:color w:val="auto"/>
        </w:rPr>
      </w:pPr>
    </w:p>
    <w:p>
      <w:pPr>
        <w:ind w:right="60" w:firstLine="706"/>
        <w:spacing w:after="0" w:line="361" w:lineRule="auto"/>
        <w:rPr>
          <w:sz w:val="20"/>
          <w:szCs w:val="20"/>
          <w:color w:val="auto"/>
        </w:rPr>
      </w:pPr>
      <w:r>
        <w:rPr>
          <w:rFonts w:ascii="Arial" w:cs="Arial" w:eastAsia="Arial" w:hAnsi="Arial"/>
          <w:sz w:val="17"/>
          <w:szCs w:val="17"/>
          <w:color w:val="auto"/>
        </w:rPr>
        <w:t>In January 2025, PAA also completed the offering of $1 billion, 5.95% senior notes due June 2035 at a public offering price of 99.761%. Interest payments are due on June 15 and December 15 of each year, commencing on June 15, 2025.</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880" w:h="15480" w:orient="portrait"/>
          <w:cols w:equalWidth="0" w:num="1">
            <w:col w:w="10040"/>
          </w:cols>
          <w:pgMar w:left="920" w:top="337" w:right="920" w:bottom="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8" w:lineRule="exact"/>
        <w:rPr>
          <w:sz w:val="20"/>
          <w:szCs w:val="20"/>
          <w:color w:val="auto"/>
        </w:rPr>
      </w:pPr>
    </w:p>
    <w:p>
      <w:pPr>
        <w:ind w:right="320" w:firstLine="706"/>
        <w:spacing w:after="0" w:line="273" w:lineRule="auto"/>
        <w:rPr>
          <w:sz w:val="20"/>
          <w:szCs w:val="20"/>
          <w:color w:val="auto"/>
        </w:rPr>
      </w:pPr>
      <w:r>
        <w:rPr>
          <w:rFonts w:ascii="Arial" w:cs="Arial" w:eastAsia="Arial" w:hAnsi="Arial"/>
          <w:sz w:val="20"/>
          <w:szCs w:val="20"/>
          <w:b w:val="1"/>
          <w:bCs w:val="1"/>
          <w:i w:val="1"/>
          <w:iCs w:val="1"/>
          <w:color w:val="auto"/>
        </w:rPr>
        <w:t xml:space="preserve">PAA Senior Notes Repayments. </w:t>
      </w:r>
      <w:r>
        <w:rPr>
          <w:rFonts w:ascii="Arial" w:cs="Arial" w:eastAsia="Arial" w:hAnsi="Arial"/>
          <w:sz w:val="20"/>
          <w:szCs w:val="20"/>
          <w:color w:val="auto"/>
        </w:rPr>
        <w:t>During the three years ended December 31, 2024, PAA repaid the following senior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unsecured notes in full (in millions):</w:t>
      </w:r>
    </w:p>
    <w:p>
      <w:pPr>
        <w:spacing w:after="0" w:line="200" w:lineRule="exact"/>
        <w:rPr>
          <w:sz w:val="20"/>
          <w:szCs w:val="20"/>
          <w:color w:val="auto"/>
        </w:rPr>
      </w:pPr>
    </w:p>
    <w:p>
      <w:pPr>
        <w:spacing w:after="0" w:line="234" w:lineRule="exact"/>
        <w:rPr>
          <w:sz w:val="20"/>
          <w:szCs w:val="20"/>
          <w:color w:val="auto"/>
        </w:rPr>
      </w:pPr>
    </w:p>
    <w:p>
      <w:pPr>
        <w:ind w:left="860"/>
        <w:spacing w:after="0"/>
        <w:tabs>
          <w:tab w:leader="none" w:pos="4160" w:val="left"/>
          <w:tab w:leader="none" w:pos="7720" w:val="left"/>
        </w:tabs>
        <w:rPr>
          <w:sz w:val="20"/>
          <w:szCs w:val="20"/>
          <w:color w:val="auto"/>
        </w:rPr>
      </w:pP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3"/>
          <w:szCs w:val="13"/>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400800" cy="13322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6">
                      <a:extLst>
                        <a:ext uri="{28A0092B-C50C-407E-A947-70E740481C1C}"/>
                      </a:extLst>
                    </a:blip>
                    <a:srcRect/>
                    <a:stretch>
                      <a:fillRect/>
                    </a:stretch>
                  </pic:blipFill>
                  <pic:spPr bwMode="auto">
                    <a:xfrm>
                      <a:off x="0" y="0"/>
                      <a:ext cx="6400800" cy="1332230"/>
                    </a:xfrm>
                    <a:prstGeom prst="rect">
                      <a:avLst/>
                    </a:prstGeom>
                    <a:noFill/>
                  </pic:spPr>
                </pic:pic>
              </a:graphicData>
            </a:graphic>
          </wp:anchor>
        </w:drawing>
      </w:r>
    </w:p>
    <w:p>
      <w:pPr>
        <w:sectPr>
          <w:pgSz w:w="11880" w:h="15480" w:orient="portrait"/>
          <w:cols w:equalWidth="0" w:num="1">
            <w:col w:w="10040"/>
          </w:cols>
          <w:pgMar w:left="920" w:top="337" w:right="920" w:bottom="0" w:gutter="0" w:footer="0" w:header="0"/>
        </w:sectPr>
      </w:pPr>
    </w:p>
    <w:p>
      <w:pPr>
        <w:spacing w:after="0" w:line="65" w:lineRule="exact"/>
        <w:rPr>
          <w:sz w:val="20"/>
          <w:szCs w:val="20"/>
          <w:color w:val="auto"/>
        </w:rPr>
      </w:pPr>
    </w:p>
    <w:tbl>
      <w:tblPr>
        <w:tblLayout w:type="fixed"/>
        <w:tblInd w:w="820" w:type="dxa"/>
        <w:tblCellMar>
          <w:top w:w="0" w:type="dxa"/>
          <w:left w:w="0" w:type="dxa"/>
          <w:bottom w:w="0" w:type="dxa"/>
          <w:right w:w="0" w:type="dxa"/>
        </w:tblCellMar>
      </w:tblPr>
      <w:tr>
        <w:trPr>
          <w:trHeight w:val="255"/>
        </w:trPr>
        <w:tc>
          <w:tcPr>
            <w:tcW w:w="1000" w:type="dxa"/>
            <w:vAlign w:val="bottom"/>
          </w:tcPr>
          <w:p>
            <w:pPr>
              <w:jc w:val="right"/>
              <w:ind w:right="502"/>
              <w:spacing w:after="0"/>
              <w:rPr>
                <w:sz w:val="20"/>
                <w:szCs w:val="20"/>
                <w:color w:val="auto"/>
              </w:rPr>
            </w:pPr>
            <w:r>
              <w:rPr>
                <w:rFonts w:ascii="Arial" w:cs="Arial" w:eastAsia="Arial" w:hAnsi="Arial"/>
                <w:sz w:val="20"/>
                <w:szCs w:val="20"/>
                <w:color w:val="auto"/>
                <w:w w:val="85"/>
              </w:rPr>
              <w:t>2024</w:t>
            </w:r>
          </w:p>
        </w:tc>
        <w:tc>
          <w:tcPr>
            <w:tcW w:w="5360" w:type="dxa"/>
            <w:vAlign w:val="bottom"/>
          </w:tcPr>
          <w:p>
            <w:pPr>
              <w:jc w:val="center"/>
              <w:ind w:left="22"/>
              <w:spacing w:after="0"/>
              <w:rPr>
                <w:sz w:val="20"/>
                <w:szCs w:val="20"/>
                <w:color w:val="auto"/>
              </w:rPr>
            </w:pPr>
            <w:r>
              <w:rPr>
                <w:rFonts w:ascii="Arial" w:cs="Arial" w:eastAsia="Arial" w:hAnsi="Arial"/>
                <w:sz w:val="20"/>
                <w:szCs w:val="20"/>
                <w:color w:val="auto"/>
                <w:w w:val="89"/>
              </w:rPr>
              <w:t>$750 million 3.60% Senior Notes due November 2024</w:t>
            </w:r>
          </w:p>
        </w:tc>
        <w:tc>
          <w:tcPr>
            <w:tcW w:w="1740" w:type="dxa"/>
            <w:vAlign w:val="bottom"/>
          </w:tcPr>
          <w:p>
            <w:pPr>
              <w:jc w:val="center"/>
              <w:ind w:left="382"/>
              <w:spacing w:after="0"/>
              <w:rPr>
                <w:sz w:val="20"/>
                <w:szCs w:val="20"/>
                <w:color w:val="auto"/>
              </w:rPr>
            </w:pPr>
            <w:r>
              <w:rPr>
                <w:rFonts w:ascii="Arial" w:cs="Arial" w:eastAsia="Arial" w:hAnsi="Arial"/>
                <w:sz w:val="20"/>
                <w:szCs w:val="20"/>
                <w:color w:val="auto"/>
                <w:w w:val="88"/>
              </w:rPr>
              <w:t>November 2024</w:t>
            </w:r>
          </w:p>
        </w:tc>
      </w:tr>
      <w:tr>
        <w:trPr>
          <w:trHeight w:val="588"/>
        </w:trPr>
        <w:tc>
          <w:tcPr>
            <w:tcW w:w="1000" w:type="dxa"/>
            <w:vAlign w:val="bottom"/>
          </w:tcPr>
          <w:p>
            <w:pPr>
              <w:jc w:val="right"/>
              <w:ind w:right="502"/>
              <w:spacing w:after="0"/>
              <w:rPr>
                <w:sz w:val="20"/>
                <w:szCs w:val="20"/>
                <w:color w:val="auto"/>
              </w:rPr>
            </w:pPr>
            <w:r>
              <w:rPr>
                <w:rFonts w:ascii="Arial" w:cs="Arial" w:eastAsia="Arial" w:hAnsi="Arial"/>
                <w:sz w:val="20"/>
                <w:szCs w:val="20"/>
                <w:color w:val="auto"/>
                <w:w w:val="85"/>
              </w:rPr>
              <w:t>2023</w:t>
            </w:r>
          </w:p>
        </w:tc>
        <w:tc>
          <w:tcPr>
            <w:tcW w:w="5360" w:type="dxa"/>
            <w:vAlign w:val="bottom"/>
          </w:tcPr>
          <w:p>
            <w:pPr>
              <w:jc w:val="center"/>
              <w:ind w:left="22"/>
              <w:spacing w:after="0"/>
              <w:rPr>
                <w:sz w:val="20"/>
                <w:szCs w:val="20"/>
                <w:color w:val="auto"/>
              </w:rPr>
            </w:pPr>
            <w:r>
              <w:rPr>
                <w:rFonts w:ascii="Arial" w:cs="Arial" w:eastAsia="Arial" w:hAnsi="Arial"/>
                <w:sz w:val="20"/>
                <w:szCs w:val="20"/>
                <w:color w:val="auto"/>
                <w:w w:val="89"/>
              </w:rPr>
              <w:t>$700 million 3.85% Senior Notes due October 2023</w:t>
            </w:r>
          </w:p>
        </w:tc>
        <w:tc>
          <w:tcPr>
            <w:tcW w:w="1740" w:type="dxa"/>
            <w:vAlign w:val="bottom"/>
          </w:tcPr>
          <w:p>
            <w:pPr>
              <w:jc w:val="center"/>
              <w:ind w:left="382"/>
              <w:spacing w:after="0"/>
              <w:rPr>
                <w:sz w:val="20"/>
                <w:szCs w:val="20"/>
                <w:color w:val="auto"/>
              </w:rPr>
            </w:pPr>
            <w:r>
              <w:rPr>
                <w:rFonts w:ascii="Arial" w:cs="Arial" w:eastAsia="Arial" w:hAnsi="Arial"/>
                <w:sz w:val="20"/>
                <w:szCs w:val="20"/>
                <w:color w:val="auto"/>
                <w:w w:val="87"/>
              </w:rPr>
              <w:t>October 2023</w:t>
            </w:r>
          </w:p>
        </w:tc>
      </w:tr>
      <w:tr>
        <w:trPr>
          <w:trHeight w:val="588"/>
        </w:trPr>
        <w:tc>
          <w:tcPr>
            <w:tcW w:w="1000" w:type="dxa"/>
            <w:vAlign w:val="bottom"/>
          </w:tcPr>
          <w:p>
            <w:pPr>
              <w:jc w:val="right"/>
              <w:ind w:right="502"/>
              <w:spacing w:after="0"/>
              <w:rPr>
                <w:sz w:val="20"/>
                <w:szCs w:val="20"/>
                <w:color w:val="auto"/>
              </w:rPr>
            </w:pPr>
            <w:r>
              <w:rPr>
                <w:rFonts w:ascii="Arial" w:cs="Arial" w:eastAsia="Arial" w:hAnsi="Arial"/>
                <w:sz w:val="20"/>
                <w:szCs w:val="20"/>
                <w:color w:val="auto"/>
                <w:w w:val="85"/>
              </w:rPr>
              <w:t>2023</w:t>
            </w:r>
          </w:p>
        </w:tc>
        <w:tc>
          <w:tcPr>
            <w:tcW w:w="5360" w:type="dxa"/>
            <w:vAlign w:val="bottom"/>
          </w:tcPr>
          <w:p>
            <w:pPr>
              <w:jc w:val="center"/>
              <w:ind w:left="42"/>
              <w:spacing w:after="0"/>
              <w:rPr>
                <w:sz w:val="20"/>
                <w:szCs w:val="20"/>
                <w:color w:val="auto"/>
              </w:rPr>
            </w:pPr>
            <w:r>
              <w:rPr>
                <w:rFonts w:ascii="Arial" w:cs="Arial" w:eastAsia="Arial" w:hAnsi="Arial"/>
                <w:sz w:val="20"/>
                <w:szCs w:val="20"/>
                <w:color w:val="auto"/>
                <w:w w:val="89"/>
              </w:rPr>
              <w:t>$400 million 2.85% Senior Notes due January 2023</w:t>
            </w:r>
          </w:p>
        </w:tc>
        <w:tc>
          <w:tcPr>
            <w:tcW w:w="1740" w:type="dxa"/>
            <w:vAlign w:val="bottom"/>
          </w:tcPr>
          <w:p>
            <w:pPr>
              <w:jc w:val="center"/>
              <w:ind w:left="382"/>
              <w:spacing w:after="0"/>
              <w:rPr>
                <w:sz w:val="20"/>
                <w:szCs w:val="20"/>
                <w:color w:val="auto"/>
              </w:rPr>
            </w:pPr>
            <w:r>
              <w:rPr>
                <w:rFonts w:ascii="Arial" w:cs="Arial" w:eastAsia="Arial" w:hAnsi="Arial"/>
                <w:sz w:val="20"/>
                <w:szCs w:val="20"/>
                <w:color w:val="auto"/>
                <w:w w:val="87"/>
              </w:rPr>
              <w:t>January 2023</w:t>
            </w:r>
          </w:p>
        </w:tc>
      </w:tr>
      <w:tr>
        <w:trPr>
          <w:trHeight w:val="588"/>
        </w:trPr>
        <w:tc>
          <w:tcPr>
            <w:tcW w:w="1000" w:type="dxa"/>
            <w:vAlign w:val="bottom"/>
          </w:tcPr>
          <w:p>
            <w:pPr>
              <w:jc w:val="right"/>
              <w:ind w:right="502"/>
              <w:spacing w:after="0"/>
              <w:rPr>
                <w:sz w:val="20"/>
                <w:szCs w:val="20"/>
                <w:color w:val="auto"/>
              </w:rPr>
            </w:pPr>
            <w:r>
              <w:rPr>
                <w:rFonts w:ascii="Arial" w:cs="Arial" w:eastAsia="Arial" w:hAnsi="Arial"/>
                <w:sz w:val="20"/>
                <w:szCs w:val="20"/>
                <w:color w:val="auto"/>
                <w:w w:val="85"/>
              </w:rPr>
              <w:t>2022</w:t>
            </w:r>
          </w:p>
        </w:tc>
        <w:tc>
          <w:tcPr>
            <w:tcW w:w="5360" w:type="dxa"/>
            <w:vAlign w:val="bottom"/>
          </w:tcPr>
          <w:p>
            <w:pPr>
              <w:jc w:val="center"/>
              <w:ind w:left="22"/>
              <w:spacing w:after="0"/>
              <w:rPr>
                <w:sz w:val="20"/>
                <w:szCs w:val="20"/>
                <w:color w:val="auto"/>
              </w:rPr>
            </w:pPr>
            <w:r>
              <w:rPr>
                <w:rFonts w:ascii="Arial" w:cs="Arial" w:eastAsia="Arial" w:hAnsi="Arial"/>
                <w:sz w:val="20"/>
                <w:szCs w:val="20"/>
                <w:color w:val="auto"/>
                <w:w w:val="88"/>
              </w:rPr>
              <w:t>$750 million 3.65% Senior Notes due June 2022</w:t>
            </w:r>
          </w:p>
        </w:tc>
        <w:tc>
          <w:tcPr>
            <w:tcW w:w="1740" w:type="dxa"/>
            <w:vAlign w:val="bottom"/>
          </w:tcPr>
          <w:p>
            <w:pPr>
              <w:jc w:val="center"/>
              <w:ind w:left="382"/>
              <w:spacing w:after="0"/>
              <w:rPr>
                <w:sz w:val="20"/>
                <w:szCs w:val="20"/>
                <w:color w:val="auto"/>
              </w:rPr>
            </w:pPr>
            <w:r>
              <w:rPr>
                <w:rFonts w:ascii="Arial" w:cs="Arial" w:eastAsia="Arial" w:hAnsi="Arial"/>
                <w:sz w:val="20"/>
                <w:szCs w:val="20"/>
                <w:color w:val="auto"/>
                <w:w w:val="88"/>
              </w:rPr>
              <w:t>March 2022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117475</wp:posOffset>
                </wp:positionV>
                <wp:extent cx="220218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1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9.25pt" to="173.05pt,9.2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46" w:lineRule="exact"/>
        <w:rPr>
          <w:sz w:val="20"/>
          <w:szCs w:val="20"/>
          <w:color w:val="auto"/>
        </w:rPr>
      </w:pPr>
    </w:p>
    <w:p>
      <w:pPr>
        <w:sectPr>
          <w:pgSz w:w="11880" w:h="15480" w:orient="portrait"/>
          <w:cols w:equalWidth="0" w:num="2">
            <w:col w:w="8920" w:space="700"/>
            <w:col w:w="420"/>
          </w:cols>
          <w:pgMar w:left="920" w:top="337" w:right="920" w:bottom="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580"/>
        <w:spacing w:after="0" w:line="271" w:lineRule="auto"/>
        <w:rPr>
          <w:sz w:val="20"/>
          <w:szCs w:val="20"/>
          <w:color w:val="auto"/>
        </w:rPr>
      </w:pPr>
      <w:r>
        <w:rPr>
          <w:rFonts w:ascii="Arial" w:cs="Arial" w:eastAsia="Arial" w:hAnsi="Arial"/>
          <w:sz w:val="20"/>
          <w:szCs w:val="20"/>
          <w:color w:val="auto"/>
        </w:rPr>
        <w:t>PAA repaid these senior notes with proceeds from its 5.70% senior notes issued in June 2024, cash on hand and borrowings under its commercial paper program.</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PAA repaid these senior notes with cash on hand and borrowings under its commercial paper program.</w:t>
      </w:r>
    </w:p>
    <w:p>
      <w:pPr>
        <w:spacing w:after="0" w:line="200" w:lineRule="exact"/>
        <w:rPr>
          <w:sz w:val="20"/>
          <w:szCs w:val="20"/>
          <w:color w:val="auto"/>
        </w:rPr>
      </w:pPr>
    </w:p>
    <w:p>
      <w:pPr>
        <w:sectPr>
          <w:pgSz w:w="11880" w:h="15480" w:orient="portrait"/>
          <w:cols w:equalWidth="0" w:num="2">
            <w:col w:w="140" w:space="560"/>
            <w:col w:w="9340"/>
          </w:cols>
          <w:pgMar w:left="920" w:top="337" w:right="920"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Maturities</w:t>
      </w:r>
    </w:p>
    <w:p>
      <w:pPr>
        <w:spacing w:after="0" w:line="248" w:lineRule="exact"/>
        <w:rPr>
          <w:sz w:val="20"/>
          <w:szCs w:val="20"/>
          <w:color w:val="auto"/>
        </w:rPr>
      </w:pPr>
    </w:p>
    <w:p>
      <w:pPr>
        <w:ind w:right="80" w:firstLine="706"/>
        <w:spacing w:after="0" w:line="278" w:lineRule="auto"/>
        <w:rPr>
          <w:sz w:val="20"/>
          <w:szCs w:val="20"/>
          <w:color w:val="auto"/>
        </w:rPr>
      </w:pPr>
      <w:r>
        <w:rPr>
          <w:rFonts w:ascii="Arial" w:cs="Arial" w:eastAsia="Arial" w:hAnsi="Arial"/>
          <w:sz w:val="19"/>
          <w:szCs w:val="19"/>
          <w:color w:val="auto"/>
        </w:rPr>
        <w:t>The weighted average maturity of PAA’s senior notes outstanding at December 31, 2024 was approximately 10 years. The following table presents the aggregate contractually scheduled maturities of such senior notes for the next five years and thereafter. The amounts presented exclude unamortized discounts and debt issuance costs.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Calendar Year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47"/>
              <w:spacing w:after="0"/>
              <w:rPr>
                <w:sz w:val="20"/>
                <w:szCs w:val="20"/>
                <w:color w:val="auto"/>
              </w:rPr>
            </w:pPr>
            <w:r>
              <w:rPr>
                <w:rFonts w:ascii="Arial" w:cs="Arial" w:eastAsia="Arial" w:hAnsi="Arial"/>
                <w:sz w:val="16"/>
                <w:szCs w:val="16"/>
                <w:b w:val="1"/>
                <w:bCs w:val="1"/>
                <w:color w:val="auto"/>
              </w:rPr>
              <w:t>Payment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70"/>
        </w:trPr>
        <w:tc>
          <w:tcPr>
            <w:tcW w:w="8680" w:type="dxa"/>
            <w:vAlign w:val="bottom"/>
          </w:tcPr>
          <w:p>
            <w:pPr>
              <w:ind w:left="60"/>
              <w:spacing w:after="0"/>
              <w:rPr>
                <w:sz w:val="20"/>
                <w:szCs w:val="20"/>
                <w:color w:val="auto"/>
              </w:rPr>
            </w:pPr>
            <w:r>
              <w:rPr>
                <w:rFonts w:ascii="Arial" w:cs="Arial" w:eastAsia="Arial" w:hAnsi="Arial"/>
                <w:sz w:val="20"/>
                <w:szCs w:val="20"/>
                <w:color w:val="auto"/>
              </w:rPr>
              <w:t>2025</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94"/>
        </w:trPr>
        <w:tc>
          <w:tcPr>
            <w:tcW w:w="8680" w:type="dxa"/>
            <w:vAlign w:val="bottom"/>
          </w:tcPr>
          <w:p>
            <w:pPr>
              <w:ind w:left="60"/>
              <w:spacing w:after="0"/>
              <w:rPr>
                <w:sz w:val="20"/>
                <w:szCs w:val="20"/>
                <w:color w:val="auto"/>
              </w:rPr>
            </w:pPr>
            <w:r>
              <w:rPr>
                <w:rFonts w:ascii="Arial" w:cs="Arial" w:eastAsia="Arial" w:hAnsi="Arial"/>
                <w:sz w:val="20"/>
                <w:szCs w:val="20"/>
                <w:color w:val="auto"/>
              </w:rPr>
              <w:t>2026</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750</w:t>
            </w:r>
          </w:p>
        </w:tc>
        <w:tc>
          <w:tcPr>
            <w:tcW w:w="0" w:type="dxa"/>
            <w:vAlign w:val="bottom"/>
          </w:tcPr>
          <w:p>
            <w:pPr>
              <w:spacing w:after="0"/>
              <w:rPr>
                <w:sz w:val="1"/>
                <w:szCs w:val="1"/>
                <w:color w:val="auto"/>
              </w:rPr>
            </w:pPr>
          </w:p>
        </w:tc>
      </w:tr>
      <w:tr>
        <w:trPr>
          <w:trHeight w:val="294"/>
        </w:trPr>
        <w:tc>
          <w:tcPr>
            <w:tcW w:w="8680" w:type="dxa"/>
            <w:vAlign w:val="bottom"/>
          </w:tcPr>
          <w:p>
            <w:pPr>
              <w:ind w:left="60"/>
              <w:spacing w:after="0"/>
              <w:rPr>
                <w:sz w:val="20"/>
                <w:szCs w:val="20"/>
                <w:color w:val="auto"/>
              </w:rPr>
            </w:pPr>
            <w:r>
              <w:rPr>
                <w:rFonts w:ascii="Arial" w:cs="Arial" w:eastAsia="Arial" w:hAnsi="Arial"/>
                <w:sz w:val="20"/>
                <w:szCs w:val="20"/>
                <w:color w:val="auto"/>
              </w:rPr>
              <w:t>2027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8680" w:type="dxa"/>
            <w:vAlign w:val="bottom"/>
          </w:tcPr>
          <w:p>
            <w:pPr>
              <w:ind w:left="60"/>
              <w:spacing w:after="0"/>
              <w:rPr>
                <w:sz w:val="20"/>
                <w:szCs w:val="20"/>
                <w:color w:val="auto"/>
              </w:rPr>
            </w:pPr>
            <w:r>
              <w:rPr>
                <w:rFonts w:ascii="Arial" w:cs="Arial" w:eastAsia="Arial" w:hAnsi="Arial"/>
                <w:sz w:val="20"/>
                <w:szCs w:val="20"/>
                <w:color w:val="auto"/>
              </w:rPr>
              <w:t>2028</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8680" w:type="dxa"/>
            <w:vAlign w:val="bottom"/>
          </w:tcPr>
          <w:p>
            <w:pPr>
              <w:ind w:left="60"/>
              <w:spacing w:after="0"/>
              <w:rPr>
                <w:sz w:val="20"/>
                <w:szCs w:val="20"/>
                <w:color w:val="auto"/>
              </w:rPr>
            </w:pPr>
            <w:r>
              <w:rPr>
                <w:rFonts w:ascii="Arial" w:cs="Arial" w:eastAsia="Arial" w:hAnsi="Arial"/>
                <w:sz w:val="20"/>
                <w:szCs w:val="20"/>
                <w:color w:val="auto"/>
              </w:rPr>
              <w:t>2029</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94"/>
        </w:trPr>
        <w:tc>
          <w:tcPr>
            <w:tcW w:w="8680" w:type="dxa"/>
            <w:vAlign w:val="bottom"/>
          </w:tcPr>
          <w:p>
            <w:pPr>
              <w:ind w:left="60"/>
              <w:spacing w:after="0"/>
              <w:rPr>
                <w:sz w:val="20"/>
                <w:szCs w:val="20"/>
                <w:color w:val="auto"/>
              </w:rPr>
            </w:pPr>
            <w:r>
              <w:rPr>
                <w:rFonts w:ascii="Arial" w:cs="Arial" w:eastAsia="Arial" w:hAnsi="Arial"/>
                <w:sz w:val="20"/>
                <w:szCs w:val="20"/>
                <w:color w:val="auto"/>
              </w:rPr>
              <w:t>Thereafter</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-1123315</wp:posOffset>
            </wp:positionV>
            <wp:extent cx="6400800" cy="212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7">
                      <a:extLst>
                        <a:ext uri="{28A0092B-C50C-407E-A947-70E740481C1C}"/>
                      </a:extLst>
                    </a:blip>
                    <a:srcRect/>
                    <a:stretch>
                      <a:fillRect/>
                    </a:stretch>
                  </pic:blipFill>
                  <pic:spPr bwMode="auto">
                    <a:xfrm>
                      <a:off x="0" y="0"/>
                      <a:ext cx="6400800" cy="2120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-749935</wp:posOffset>
            </wp:positionV>
            <wp:extent cx="6400800" cy="2120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a:extLst>
                        <a:ext uri="{28A0092B-C50C-407E-A947-70E740481C1C}"/>
                      </a:extLst>
                    </a:blip>
                    <a:srcRect/>
                    <a:stretch>
                      <a:fillRect/>
                    </a:stretch>
                  </pic:blipFill>
                  <pic:spPr bwMode="auto">
                    <a:xfrm>
                      <a:off x="0" y="0"/>
                      <a:ext cx="6400800" cy="2120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-376555</wp:posOffset>
            </wp:positionV>
            <wp:extent cx="6400800" cy="2120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9">
                      <a:extLst>
                        <a:ext uri="{28A0092B-C50C-407E-A947-70E740481C1C}"/>
                      </a:extLst>
                    </a:blip>
                    <a:srcRect/>
                    <a:stretch>
                      <a:fillRect/>
                    </a:stretch>
                  </pic:blipFill>
                  <pic:spPr bwMode="auto">
                    <a:xfrm>
                      <a:off x="0" y="0"/>
                      <a:ext cx="6400800" cy="2120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Covenants and Compliance</w:t>
      </w:r>
    </w:p>
    <w:p>
      <w:pPr>
        <w:spacing w:after="0" w:line="248" w:lineRule="exact"/>
        <w:rPr>
          <w:sz w:val="20"/>
          <w:szCs w:val="20"/>
          <w:color w:val="auto"/>
        </w:rPr>
      </w:pPr>
    </w:p>
    <w:p>
      <w:pPr>
        <w:ind w:right="260" w:firstLine="706"/>
        <w:spacing w:after="0" w:line="306" w:lineRule="auto"/>
        <w:rPr>
          <w:sz w:val="20"/>
          <w:szCs w:val="20"/>
          <w:color w:val="auto"/>
        </w:rPr>
      </w:pPr>
      <w:r>
        <w:rPr>
          <w:rFonts w:ascii="Arial" w:cs="Arial" w:eastAsia="Arial" w:hAnsi="Arial"/>
          <w:sz w:val="17"/>
          <w:szCs w:val="17"/>
          <w:color w:val="auto"/>
        </w:rPr>
        <w:t>The credit agreements for PAA’s revolving credit facilities (which impact the ability to access the PAA commercial paper program because they provide the financial 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spacing w:after="0" w:line="47" w:lineRule="exact"/>
        <w:rPr>
          <w:sz w:val="20"/>
          <w:szCs w:val="20"/>
          <w:color w:val="auto"/>
        </w:rPr>
      </w:pPr>
    </w:p>
    <w:p>
      <w:pPr>
        <w:ind w:left="1060" w:hanging="362"/>
        <w:spacing w:after="0"/>
        <w:tabs>
          <w:tab w:leader="none" w:pos="10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grant liens on certain property;</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incur indebtedness, including finance leases;</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sell substantially all of its assets or enter into a merger or consolidation;</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engage in certain transactions with affiliates; and</w:t>
      </w:r>
    </w:p>
    <w:p>
      <w:pPr>
        <w:spacing w:after="0" w:line="122" w:lineRule="exact"/>
        <w:rPr>
          <w:rFonts w:ascii="Arial" w:cs="Arial" w:eastAsia="Arial" w:hAnsi="Arial"/>
          <w:sz w:val="20"/>
          <w:szCs w:val="20"/>
          <w:color w:val="auto"/>
        </w:rPr>
      </w:pPr>
    </w:p>
    <w:p>
      <w:pPr>
        <w:ind w:left="1060" w:hanging="362"/>
        <w:spacing w:after="0"/>
        <w:tabs>
          <w:tab w:leader="none" w:pos="10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enter into certain burdensome agreements.</w:t>
      </w:r>
    </w:p>
    <w:p>
      <w:pPr>
        <w:sectPr>
          <w:pgSz w:w="11880" w:h="15480" w:orient="portrait"/>
          <w:cols w:equalWidth="0" w:num="1">
            <w:col w:w="10040"/>
          </w:cols>
          <w:pgMar w:left="920" w:top="33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880" w:h="15480" w:orient="portrait"/>
          <w:cols w:equalWidth="0" w:num="1">
            <w:col w:w="10040"/>
          </w:cols>
          <w:pgMar w:left="920" w:top="337" w:right="920" w:bottom="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right="20" w:firstLine="706"/>
        <w:spacing w:after="0" w:line="264" w:lineRule="auto"/>
        <w:rPr>
          <w:sz w:val="20"/>
          <w:szCs w:val="20"/>
          <w:color w:val="auto"/>
        </w:rPr>
      </w:pPr>
      <w:r>
        <w:rPr>
          <w:rFonts w:ascii="Arial" w:cs="Arial" w:eastAsia="Arial" w:hAnsi="Arial"/>
          <w:sz w:val="19"/>
          <w:szCs w:val="19"/>
          <w:color w:val="auto"/>
        </w:rPr>
        <w:t>The credit agreements for the PAA senior unsecured revolving credit facility and senior secured hedged inventory facility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99" w:lineRule="exact"/>
        <w:rPr>
          <w:sz w:val="20"/>
          <w:szCs w:val="20"/>
          <w:color w:val="auto"/>
        </w:rPr>
      </w:pPr>
    </w:p>
    <w:p>
      <w:pPr>
        <w:jc w:val="both"/>
        <w:ind w:right="340" w:firstLine="706"/>
        <w:spacing w:after="0" w:line="254" w:lineRule="auto"/>
        <w:rPr>
          <w:sz w:val="20"/>
          <w:szCs w:val="20"/>
          <w:color w:val="auto"/>
        </w:rPr>
      </w:pPr>
      <w:r>
        <w:rPr>
          <w:rFonts w:ascii="Arial" w:cs="Arial" w:eastAsia="Arial" w:hAnsi="Arial"/>
          <w:sz w:val="20"/>
          <w:szCs w:val="20"/>
          <w:color w:val="auto"/>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2024, PAA was in compliance with the covenants contained in its credit agreements and indentures.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Borrowings and Repayments</w:t>
      </w:r>
    </w:p>
    <w:p>
      <w:pPr>
        <w:spacing w:after="0" w:line="248" w:lineRule="exact"/>
        <w:rPr>
          <w:sz w:val="20"/>
          <w:szCs w:val="20"/>
          <w:color w:val="auto"/>
        </w:rPr>
      </w:pPr>
    </w:p>
    <w:p>
      <w:pPr>
        <w:ind w:firstLine="706"/>
        <w:spacing w:after="0" w:line="250" w:lineRule="auto"/>
        <w:rPr>
          <w:sz w:val="20"/>
          <w:szCs w:val="20"/>
          <w:color w:val="auto"/>
        </w:rPr>
      </w:pPr>
      <w:r>
        <w:rPr>
          <w:rFonts w:ascii="Arial" w:cs="Arial" w:eastAsia="Arial" w:hAnsi="Arial"/>
          <w:sz w:val="20"/>
          <w:szCs w:val="20"/>
          <w:color w:val="auto"/>
        </w:rPr>
        <w:t>Total borrowings under PAA’s credit facilities and commercial paper program for the years ended December 31, 2024, 2023 and 2022 were approximately $28.1 billion, $18.1 billion and $25.0 billion, respectively. Total repayments under PAA’s credit facilities and commercial paper program were approximately $28.1 billion, $17.7 billion and $25.0 billion for the years ended December 31, 2024, 2023 and 2022, respectively. The variance in total gross borrowings and repayments is impacted by various business and financial factors including, but not limited to, the timing, average term and method of general partnership borrowing activities.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Letters of Credit</w:t>
      </w:r>
    </w:p>
    <w:p>
      <w:pPr>
        <w:spacing w:after="0" w:line="248" w:lineRule="exact"/>
        <w:rPr>
          <w:sz w:val="20"/>
          <w:szCs w:val="20"/>
          <w:color w:val="auto"/>
        </w:rPr>
      </w:pPr>
    </w:p>
    <w:p>
      <w:pPr>
        <w:jc w:val="both"/>
        <w:ind w:right="240" w:firstLine="706"/>
        <w:spacing w:after="0" w:line="294" w:lineRule="auto"/>
        <w:rPr>
          <w:sz w:val="20"/>
          <w:szCs w:val="20"/>
          <w:color w:val="auto"/>
        </w:rPr>
      </w:pPr>
      <w:r>
        <w:rPr>
          <w:rFonts w:ascii="Arial" w:cs="Arial" w:eastAsia="Arial" w:hAnsi="Arial"/>
          <w:sz w:val="17"/>
          <w:szCs w:val="17"/>
          <w:color w:val="auto"/>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w:t>
      </w:r>
    </w:p>
    <w:p>
      <w:pPr>
        <w:spacing w:after="0" w:line="2"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color w:val="auto"/>
        </w:rPr>
        <w:t>Additionally, we issue letters of credit to support insurance programs, derivative transactions, including hedging-related margin obligations, and construction activities. At December 31, 2024 and 2023, we had outstanding letters of credit of $90 million and $205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Issuance Costs</w:t>
      </w:r>
    </w:p>
    <w:p>
      <w:pPr>
        <w:spacing w:after="0" w:line="248" w:lineRule="exact"/>
        <w:rPr>
          <w:sz w:val="20"/>
          <w:szCs w:val="20"/>
          <w:color w:val="auto"/>
        </w:rPr>
      </w:pPr>
    </w:p>
    <w:p>
      <w:pPr>
        <w:jc w:val="both"/>
        <w:ind w:right="100" w:firstLine="706"/>
        <w:spacing w:after="0" w:line="258" w:lineRule="auto"/>
        <w:rPr>
          <w:sz w:val="20"/>
          <w:szCs w:val="20"/>
          <w:color w:val="auto"/>
        </w:rPr>
      </w:pPr>
      <w:r>
        <w:rPr>
          <w:rFonts w:ascii="Arial" w:cs="Arial" w:eastAsia="Arial" w:hAnsi="Arial"/>
          <w:sz w:val="20"/>
          <w:szCs w:val="20"/>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11—Partners’ Capital and Distributions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Shares</w:t>
      </w:r>
    </w:p>
    <w:p>
      <w:pPr>
        <w:spacing w:after="0" w:line="248" w:lineRule="exact"/>
        <w:rPr>
          <w:sz w:val="20"/>
          <w:szCs w:val="20"/>
          <w:color w:val="auto"/>
        </w:rPr>
      </w:pPr>
    </w:p>
    <w:p>
      <w:pPr>
        <w:ind w:right="300" w:firstLine="706"/>
        <w:spacing w:after="0" w:line="325" w:lineRule="auto"/>
        <w:rPr>
          <w:sz w:val="20"/>
          <w:szCs w:val="20"/>
          <w:color w:val="auto"/>
        </w:rPr>
      </w:pPr>
      <w:r>
        <w:rPr>
          <w:rFonts w:ascii="Arial" w:cs="Arial" w:eastAsia="Arial" w:hAnsi="Arial"/>
          <w:sz w:val="17"/>
          <w:szCs w:val="17"/>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147" w:lineRule="exact"/>
        <w:rPr>
          <w:sz w:val="20"/>
          <w:szCs w:val="20"/>
          <w:color w:val="auto"/>
        </w:rPr>
      </w:pPr>
    </w:p>
    <w:p>
      <w:pPr>
        <w:ind w:right="160" w:firstLine="706"/>
        <w:spacing w:after="0" w:line="303" w:lineRule="auto"/>
        <w:rPr>
          <w:sz w:val="20"/>
          <w:szCs w:val="20"/>
          <w:color w:val="auto"/>
        </w:rPr>
      </w:pPr>
      <w:r>
        <w:rPr>
          <w:rFonts w:ascii="Arial" w:cs="Arial" w:eastAsia="Arial" w:hAnsi="Arial"/>
          <w:sz w:val="17"/>
          <w:szCs w:val="17"/>
          <w:color w:val="auto"/>
        </w:rPr>
        <w:t>Our Class C shares are non-economic and provide PAA, as the sole holder of such Class C shares, the right to vote, pro rata with the holders of our Class A and Class B shares, in the election of eligible PAGP GP directors. Pursuant to the Omnibus Agreement entered into on November 15, 2016, the number of Class C shares that PAA owns will at all times equal the number of outstanding PAA common units, excluding common units held by AAP, and Series A preferred units. Thus, the Class C shares function as a “pass-through” voting mechanism through which PAA votes at the direction of and as proxy for the PAA common unitholders (other than AAP) and Series A preferred unitholders in such director elections.</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880" w:h="15480" w:orient="portrait"/>
          <w:cols w:equalWidth="0" w:num="1">
            <w:col w:w="10040"/>
          </w:cols>
          <w:pgMar w:left="920" w:top="337" w:right="920" w:bottom="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Exchange and Redemption Rights</w:t>
      </w:r>
    </w:p>
    <w:p>
      <w:pPr>
        <w:spacing w:after="0" w:line="248" w:lineRule="exact"/>
        <w:rPr>
          <w:sz w:val="20"/>
          <w:szCs w:val="20"/>
          <w:color w:val="auto"/>
        </w:rPr>
      </w:pPr>
    </w:p>
    <w:p>
      <w:pPr>
        <w:ind w:right="100" w:firstLine="706"/>
        <w:spacing w:after="0" w:line="306" w:lineRule="auto"/>
        <w:rPr>
          <w:sz w:val="20"/>
          <w:szCs w:val="20"/>
          <w:color w:val="auto"/>
        </w:rPr>
      </w:pPr>
      <w:r>
        <w:rPr>
          <w:rFonts w:ascii="Arial" w:cs="Arial" w:eastAsia="Arial" w:hAnsi="Arial"/>
          <w:sz w:val="17"/>
          <w:szCs w:val="17"/>
          <w:color w:val="auto"/>
        </w:rPr>
        <w:t>Holders of AAP units and their permitted transferees each have the right to exchange all or a portion of their AAP units for Class A shares at an exchange ratio of one Class A share for each AAP unit exchanged (referred to herein as the “Exchange Right”). This Exchange Right may be exercised only if, simultaneously therewith, an equal number of our Class B shares and general partner units (if any) are transferred by the exercising party to us. See Note 14 for information regarding the recognition of deferred tax assets associated the transfer of ownership resulting from Exchange Right exercises.</w:t>
      </w:r>
    </w:p>
    <w:p>
      <w:pPr>
        <w:spacing w:after="0" w:line="165" w:lineRule="exact"/>
        <w:rPr>
          <w:sz w:val="20"/>
          <w:szCs w:val="20"/>
          <w:color w:val="auto"/>
        </w:rPr>
      </w:pPr>
    </w:p>
    <w:p>
      <w:pPr>
        <w:ind w:right="20" w:firstLine="706"/>
        <w:spacing w:after="0" w:line="300" w:lineRule="auto"/>
        <w:rPr>
          <w:sz w:val="20"/>
          <w:szCs w:val="20"/>
          <w:color w:val="auto"/>
        </w:rPr>
      </w:pPr>
      <w:r>
        <w:rPr>
          <w:rFonts w:ascii="Arial" w:cs="Arial" w:eastAsia="Arial" w:hAnsi="Arial"/>
          <w:sz w:val="17"/>
          <w:szCs w:val="17"/>
          <w:color w:val="auto"/>
        </w:rPr>
        <w:t>Additionally, subject to certain limitations, a holder of AAP units (other than us)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any general partner units transferred to us will remain outstanding and increase our ownership percentage in our general partner. Additionally, we will issue a corresponding number of Class C shares to PAA.</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Shares Outstanding</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The following table presents the activity for our Class A shares, Class B shares and Class C shares:</w:t>
      </w: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Class A Shares</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90"/>
              </w:rPr>
              <w:t>Class B Shares</w:t>
            </w:r>
          </w:p>
        </w:tc>
        <w:tc>
          <w:tcPr>
            <w:tcW w:w="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Class C Shares</w:t>
            </w:r>
          </w:p>
        </w:tc>
        <w:tc>
          <w:tcPr>
            <w:tcW w:w="0" w:type="dxa"/>
            <w:vAlign w:val="bottom"/>
          </w:tcPr>
          <w:p>
            <w:pPr>
              <w:spacing w:after="0"/>
              <w:rPr>
                <w:sz w:val="1"/>
                <w:szCs w:val="1"/>
                <w:color w:val="auto"/>
              </w:rPr>
            </w:pPr>
          </w:p>
        </w:tc>
      </w:tr>
      <w:tr>
        <w:trPr>
          <w:trHeight w:val="254"/>
        </w:trPr>
        <w:tc>
          <w:tcPr>
            <w:tcW w:w="6240" w:type="dxa"/>
            <w:vAlign w:val="bottom"/>
          </w:tcPr>
          <w:p>
            <w:pPr>
              <w:spacing w:after="0"/>
              <w:rPr>
                <w:sz w:val="20"/>
                <w:szCs w:val="20"/>
                <w:color w:val="auto"/>
              </w:rPr>
            </w:pPr>
            <w:r>
              <w:rPr>
                <w:rFonts w:ascii="Arial" w:cs="Arial" w:eastAsia="Arial" w:hAnsi="Arial"/>
                <w:sz w:val="20"/>
                <w:szCs w:val="20"/>
                <w:color w:val="auto"/>
              </w:rPr>
              <w:t>Outstanding at December 31, 2021</w:t>
            </w:r>
          </w:p>
        </w:tc>
        <w:tc>
          <w:tcPr>
            <w:tcW w:w="1180" w:type="dxa"/>
            <w:vAlign w:val="bottom"/>
          </w:tcPr>
          <w:p>
            <w:pPr>
              <w:jc w:val="right"/>
              <w:spacing w:after="0"/>
              <w:rPr>
                <w:sz w:val="20"/>
                <w:szCs w:val="20"/>
                <w:color w:val="auto"/>
              </w:rPr>
            </w:pPr>
            <w:r>
              <w:rPr>
                <w:rFonts w:ascii="Arial" w:cs="Arial" w:eastAsia="Arial" w:hAnsi="Arial"/>
                <w:sz w:val="20"/>
                <w:szCs w:val="20"/>
                <w:color w:val="auto"/>
                <w:w w:val="97"/>
              </w:rPr>
              <w:t>194,192,777</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46,645,514</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534,596,831</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20"/>
              <w:spacing w:after="0"/>
              <w:rPr>
                <w:sz w:val="20"/>
                <w:szCs w:val="20"/>
                <w:color w:val="auto"/>
              </w:rPr>
            </w:pPr>
            <w:r>
              <w:rPr>
                <w:rFonts w:ascii="Arial" w:cs="Arial" w:eastAsia="Arial" w:hAnsi="Arial"/>
                <w:sz w:val="20"/>
                <w:szCs w:val="20"/>
                <w:color w:val="auto"/>
              </w:rPr>
              <w:t>Conversion of AAP Management Units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240" w:type="dxa"/>
            <w:vAlign w:val="bottom"/>
            <w:vMerge w:val="continue"/>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258,047</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0"/>
        </w:trPr>
        <w:tc>
          <w:tcPr>
            <w:tcW w:w="6240" w:type="dxa"/>
            <w:vAlign w:val="bottom"/>
          </w:tcPr>
          <w:p>
            <w:pPr>
              <w:ind w:left="120"/>
              <w:spacing w:after="0"/>
              <w:rPr>
                <w:sz w:val="20"/>
                <w:szCs w:val="20"/>
                <w:color w:val="auto"/>
              </w:rPr>
            </w:pPr>
            <w:r>
              <w:rPr>
                <w:rFonts w:ascii="Arial" w:cs="Arial" w:eastAsia="Arial" w:hAnsi="Arial"/>
                <w:sz w:val="20"/>
                <w:szCs w:val="20"/>
                <w:color w:val="auto"/>
              </w:rPr>
              <w:t>Exchange Right exercises</w:t>
            </w:r>
          </w:p>
        </w:tc>
        <w:tc>
          <w:tcPr>
            <w:tcW w:w="1180" w:type="dxa"/>
            <w:vAlign w:val="bottom"/>
          </w:tcPr>
          <w:p>
            <w:pPr>
              <w:jc w:val="right"/>
              <w:spacing w:after="0"/>
              <w:rPr>
                <w:sz w:val="20"/>
                <w:szCs w:val="20"/>
                <w:color w:val="auto"/>
              </w:rPr>
            </w:pPr>
            <w:r>
              <w:rPr>
                <w:rFonts w:ascii="Arial" w:cs="Arial" w:eastAsia="Arial" w:hAnsi="Arial"/>
                <w:sz w:val="20"/>
                <w:szCs w:val="20"/>
                <w:color w:val="auto"/>
              </w:rPr>
              <w:t>179,150</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(179,150)</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240" w:type="dxa"/>
            <w:vAlign w:val="bottom"/>
          </w:tcPr>
          <w:p>
            <w:pPr>
              <w:ind w:left="120"/>
              <w:spacing w:after="0"/>
              <w:rPr>
                <w:sz w:val="20"/>
                <w:szCs w:val="20"/>
                <w:color w:val="auto"/>
              </w:rPr>
            </w:pPr>
            <w:r>
              <w:rPr>
                <w:rFonts w:ascii="Arial" w:cs="Arial" w:eastAsia="Arial" w:hAnsi="Arial"/>
                <w:sz w:val="20"/>
                <w:szCs w:val="20"/>
                <w:color w:val="auto"/>
              </w:rPr>
              <w:t>Redemption Right exercises</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(518,464)</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518,464</w:t>
            </w:r>
          </w:p>
        </w:tc>
        <w:tc>
          <w:tcPr>
            <w:tcW w:w="0" w:type="dxa"/>
            <w:vAlign w:val="bottom"/>
          </w:tcPr>
          <w:p>
            <w:pPr>
              <w:spacing w:after="0"/>
              <w:rPr>
                <w:sz w:val="1"/>
                <w:szCs w:val="1"/>
                <w:color w:val="auto"/>
              </w:rPr>
            </w:pPr>
          </w:p>
        </w:tc>
      </w:tr>
      <w:tr>
        <w:trPr>
          <w:trHeight w:val="223"/>
        </w:trPr>
        <w:tc>
          <w:tcPr>
            <w:tcW w:w="6240" w:type="dxa"/>
            <w:vAlign w:val="bottom"/>
          </w:tcPr>
          <w:p>
            <w:pPr>
              <w:ind w:left="100"/>
              <w:spacing w:after="0" w:line="223" w:lineRule="exact"/>
              <w:rPr>
                <w:sz w:val="20"/>
                <w:szCs w:val="20"/>
                <w:color w:val="auto"/>
              </w:rPr>
            </w:pPr>
            <w:r>
              <w:rPr>
                <w:rFonts w:ascii="Arial" w:cs="Arial" w:eastAsia="Arial" w:hAnsi="Arial"/>
                <w:sz w:val="20"/>
                <w:szCs w:val="20"/>
                <w:color w:val="auto"/>
                <w:w w:val="95"/>
              </w:rPr>
              <w:t>Repurchase and cancellation of common units by a subsidiary under the</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240" w:type="dxa"/>
            <w:vAlign w:val="bottom"/>
          </w:tcPr>
          <w:p>
            <w:pPr>
              <w:ind w:left="360"/>
              <w:spacing w:after="0"/>
              <w:rPr>
                <w:sz w:val="20"/>
                <w:szCs w:val="20"/>
                <w:color w:val="auto"/>
              </w:rPr>
            </w:pPr>
            <w:r>
              <w:rPr>
                <w:rFonts w:ascii="Arial" w:cs="Arial" w:eastAsia="Arial" w:hAnsi="Arial"/>
                <w:sz w:val="20"/>
                <w:szCs w:val="20"/>
                <w:color w:val="auto"/>
              </w:rPr>
              <w:t>Common Equity Repurchase Program</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(7,251,361)</w:t>
            </w:r>
          </w:p>
        </w:tc>
        <w:tc>
          <w:tcPr>
            <w:tcW w:w="0" w:type="dxa"/>
            <w:vAlign w:val="bottom"/>
          </w:tcPr>
          <w:p>
            <w:pPr>
              <w:spacing w:after="0"/>
              <w:rPr>
                <w:sz w:val="1"/>
                <w:szCs w:val="1"/>
                <w:color w:val="auto"/>
              </w:rPr>
            </w:pPr>
          </w:p>
        </w:tc>
      </w:tr>
      <w:tr>
        <w:trPr>
          <w:trHeight w:val="298"/>
        </w:trPr>
        <w:tc>
          <w:tcPr>
            <w:tcW w:w="6240" w:type="dxa"/>
            <w:vAlign w:val="bottom"/>
          </w:tcPr>
          <w:p>
            <w:pPr>
              <w:ind w:left="120"/>
              <w:spacing w:after="0"/>
              <w:rPr>
                <w:sz w:val="20"/>
                <w:szCs w:val="20"/>
                <w:color w:val="auto"/>
              </w:rPr>
            </w:pPr>
            <w:r>
              <w:rPr>
                <w:rFonts w:ascii="Arial" w:cs="Arial" w:eastAsia="Arial" w:hAnsi="Arial"/>
                <w:sz w:val="20"/>
                <w:szCs w:val="20"/>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35,715</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578,604</w:t>
            </w:r>
          </w:p>
        </w:tc>
        <w:tc>
          <w:tcPr>
            <w:tcW w:w="0" w:type="dxa"/>
            <w:vAlign w:val="bottom"/>
          </w:tcPr>
          <w:p>
            <w:pPr>
              <w:spacing w:after="0"/>
              <w:rPr>
                <w:sz w:val="1"/>
                <w:szCs w:val="1"/>
                <w:color w:val="auto"/>
              </w:rPr>
            </w:pPr>
          </w:p>
        </w:tc>
      </w:tr>
      <w:tr>
        <w:trPr>
          <w:trHeight w:val="254"/>
        </w:trPr>
        <w:tc>
          <w:tcPr>
            <w:tcW w:w="6240" w:type="dxa"/>
            <w:vAlign w:val="bottom"/>
          </w:tcPr>
          <w:p>
            <w:pPr>
              <w:spacing w:after="0"/>
              <w:rPr>
                <w:sz w:val="20"/>
                <w:szCs w:val="20"/>
                <w:color w:val="auto"/>
              </w:rPr>
            </w:pPr>
            <w:r>
              <w:rPr>
                <w:rFonts w:ascii="Arial" w:cs="Arial" w:eastAsia="Arial" w:hAnsi="Arial"/>
                <w:sz w:val="20"/>
                <w:szCs w:val="20"/>
                <w:color w:val="auto"/>
              </w:rPr>
              <w:t>Outstanding at December 31, 2022</w:t>
            </w:r>
          </w:p>
        </w:tc>
        <w:tc>
          <w:tcPr>
            <w:tcW w:w="1180" w:type="dxa"/>
            <w:vAlign w:val="bottom"/>
          </w:tcPr>
          <w:p>
            <w:pPr>
              <w:jc w:val="right"/>
              <w:spacing w:after="0"/>
              <w:rPr>
                <w:sz w:val="20"/>
                <w:szCs w:val="20"/>
                <w:color w:val="auto"/>
              </w:rPr>
            </w:pPr>
            <w:r>
              <w:rPr>
                <w:rFonts w:ascii="Arial" w:cs="Arial" w:eastAsia="Arial" w:hAnsi="Arial"/>
                <w:sz w:val="20"/>
                <w:szCs w:val="20"/>
                <w:color w:val="auto"/>
                <w:w w:val="97"/>
              </w:rPr>
              <w:t>194,407,642</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46,205,947</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528,442,538</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20"/>
              <w:spacing w:after="0"/>
              <w:rPr>
                <w:sz w:val="20"/>
                <w:szCs w:val="20"/>
                <w:color w:val="auto"/>
              </w:rPr>
            </w:pPr>
            <w:r>
              <w:rPr>
                <w:rFonts w:ascii="Arial" w:cs="Arial" w:eastAsia="Arial" w:hAnsi="Arial"/>
                <w:sz w:val="20"/>
                <w:szCs w:val="20"/>
                <w:color w:val="auto"/>
              </w:rPr>
              <w:t>Conversion of AAP Management Units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240" w:type="dxa"/>
            <w:vAlign w:val="bottom"/>
            <w:vMerge w:val="continue"/>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388,839</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0"/>
        </w:trPr>
        <w:tc>
          <w:tcPr>
            <w:tcW w:w="6240" w:type="dxa"/>
            <w:vAlign w:val="bottom"/>
          </w:tcPr>
          <w:p>
            <w:pPr>
              <w:ind w:left="120"/>
              <w:spacing w:after="0"/>
              <w:rPr>
                <w:sz w:val="20"/>
                <w:szCs w:val="20"/>
                <w:color w:val="auto"/>
              </w:rPr>
            </w:pPr>
            <w:r>
              <w:rPr>
                <w:rFonts w:ascii="Arial" w:cs="Arial" w:eastAsia="Arial" w:hAnsi="Arial"/>
                <w:sz w:val="20"/>
                <w:szCs w:val="20"/>
                <w:color w:val="auto"/>
              </w:rPr>
              <w:t>Exchange Right exercises</w:t>
            </w:r>
          </w:p>
        </w:tc>
        <w:tc>
          <w:tcPr>
            <w:tcW w:w="1180" w:type="dxa"/>
            <w:vAlign w:val="bottom"/>
          </w:tcPr>
          <w:p>
            <w:pPr>
              <w:jc w:val="right"/>
              <w:spacing w:after="0"/>
              <w:rPr>
                <w:sz w:val="20"/>
                <w:szCs w:val="20"/>
                <w:color w:val="auto"/>
              </w:rPr>
            </w:pPr>
            <w:r>
              <w:rPr>
                <w:rFonts w:ascii="Arial" w:cs="Arial" w:eastAsia="Arial" w:hAnsi="Arial"/>
                <w:sz w:val="20"/>
                <w:szCs w:val="20"/>
                <w:color w:val="auto"/>
              </w:rPr>
              <w:t>1,869,768</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(1,869,768)</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240" w:type="dxa"/>
            <w:vAlign w:val="bottom"/>
          </w:tcPr>
          <w:p>
            <w:pPr>
              <w:ind w:left="120"/>
              <w:spacing w:after="0"/>
              <w:rPr>
                <w:sz w:val="20"/>
                <w:szCs w:val="20"/>
                <w:color w:val="auto"/>
              </w:rPr>
            </w:pPr>
            <w:r>
              <w:rPr>
                <w:rFonts w:ascii="Arial" w:cs="Arial" w:eastAsia="Arial" w:hAnsi="Arial"/>
                <w:sz w:val="20"/>
                <w:szCs w:val="20"/>
                <w:color w:val="auto"/>
              </w:rPr>
              <w:t>Redemption Right exercises</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(8,487,850)</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8,487,850</w:t>
            </w:r>
          </w:p>
        </w:tc>
        <w:tc>
          <w:tcPr>
            <w:tcW w:w="0" w:type="dxa"/>
            <w:vAlign w:val="bottom"/>
          </w:tcPr>
          <w:p>
            <w:pPr>
              <w:spacing w:after="0"/>
              <w:rPr>
                <w:sz w:val="1"/>
                <w:szCs w:val="1"/>
                <w:color w:val="auto"/>
              </w:rPr>
            </w:pPr>
          </w:p>
        </w:tc>
      </w:tr>
      <w:tr>
        <w:trPr>
          <w:trHeight w:val="298"/>
        </w:trPr>
        <w:tc>
          <w:tcPr>
            <w:tcW w:w="6240" w:type="dxa"/>
            <w:vAlign w:val="bottom"/>
          </w:tcPr>
          <w:p>
            <w:pPr>
              <w:ind w:left="120"/>
              <w:spacing w:after="0"/>
              <w:rPr>
                <w:sz w:val="20"/>
                <w:szCs w:val="20"/>
                <w:color w:val="auto"/>
              </w:rPr>
            </w:pPr>
            <w:r>
              <w:rPr>
                <w:rFonts w:ascii="Arial" w:cs="Arial" w:eastAsia="Arial" w:hAnsi="Arial"/>
                <w:sz w:val="20"/>
                <w:szCs w:val="20"/>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139,350</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2,514,901</w:t>
            </w:r>
          </w:p>
        </w:tc>
        <w:tc>
          <w:tcPr>
            <w:tcW w:w="0" w:type="dxa"/>
            <w:vAlign w:val="bottom"/>
          </w:tcPr>
          <w:p>
            <w:pPr>
              <w:spacing w:after="0"/>
              <w:rPr>
                <w:sz w:val="1"/>
                <w:szCs w:val="1"/>
                <w:color w:val="auto"/>
              </w:rPr>
            </w:pPr>
          </w:p>
        </w:tc>
      </w:tr>
      <w:tr>
        <w:trPr>
          <w:trHeight w:val="254"/>
        </w:trPr>
        <w:tc>
          <w:tcPr>
            <w:tcW w:w="6240" w:type="dxa"/>
            <w:vAlign w:val="bottom"/>
          </w:tcPr>
          <w:p>
            <w:pPr>
              <w:spacing w:after="0"/>
              <w:rPr>
                <w:sz w:val="20"/>
                <w:szCs w:val="20"/>
                <w:color w:val="auto"/>
              </w:rPr>
            </w:pPr>
            <w:r>
              <w:rPr>
                <w:rFonts w:ascii="Arial" w:cs="Arial" w:eastAsia="Arial" w:hAnsi="Arial"/>
                <w:sz w:val="20"/>
                <w:szCs w:val="20"/>
                <w:color w:val="auto"/>
              </w:rPr>
              <w:t>Outstanding at December 31, 2023</w:t>
            </w:r>
          </w:p>
        </w:tc>
        <w:tc>
          <w:tcPr>
            <w:tcW w:w="1180" w:type="dxa"/>
            <w:vAlign w:val="bottom"/>
          </w:tcPr>
          <w:p>
            <w:pPr>
              <w:jc w:val="right"/>
              <w:spacing w:after="0"/>
              <w:rPr>
                <w:sz w:val="20"/>
                <w:szCs w:val="20"/>
                <w:color w:val="auto"/>
              </w:rPr>
            </w:pPr>
            <w:r>
              <w:rPr>
                <w:rFonts w:ascii="Arial" w:cs="Arial" w:eastAsia="Arial" w:hAnsi="Arial"/>
                <w:sz w:val="20"/>
                <w:szCs w:val="20"/>
                <w:color w:val="auto"/>
                <w:w w:val="97"/>
              </w:rPr>
              <w:t>196,416,760</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36,237,168</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539,445,289</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20"/>
              <w:spacing w:after="0"/>
              <w:rPr>
                <w:sz w:val="20"/>
                <w:szCs w:val="20"/>
                <w:color w:val="auto"/>
              </w:rPr>
            </w:pPr>
            <w:r>
              <w:rPr>
                <w:rFonts w:ascii="Arial" w:cs="Arial" w:eastAsia="Arial" w:hAnsi="Arial"/>
                <w:sz w:val="20"/>
                <w:szCs w:val="20"/>
                <w:color w:val="auto"/>
              </w:rPr>
              <w:t>Exchange Right exercises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240" w:type="dxa"/>
            <w:vAlign w:val="bottom"/>
            <w:vMerge w:val="continue"/>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846,937</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(846,937)</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240" w:type="dxa"/>
            <w:vAlign w:val="bottom"/>
          </w:tcPr>
          <w:p>
            <w:pPr>
              <w:ind w:left="120"/>
              <w:spacing w:after="0"/>
              <w:rPr>
                <w:sz w:val="20"/>
                <w:szCs w:val="20"/>
                <w:color w:val="auto"/>
              </w:rPr>
            </w:pPr>
            <w:r>
              <w:rPr>
                <w:rFonts w:ascii="Arial" w:cs="Arial" w:eastAsia="Arial" w:hAnsi="Arial"/>
                <w:sz w:val="20"/>
                <w:szCs w:val="20"/>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202,002</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2,559,549</w:t>
            </w:r>
          </w:p>
        </w:tc>
        <w:tc>
          <w:tcPr>
            <w:tcW w:w="0" w:type="dxa"/>
            <w:vAlign w:val="bottom"/>
          </w:tcPr>
          <w:p>
            <w:pPr>
              <w:spacing w:after="0"/>
              <w:rPr>
                <w:sz w:val="1"/>
                <w:szCs w:val="1"/>
                <w:color w:val="auto"/>
              </w:rPr>
            </w:pPr>
          </w:p>
        </w:tc>
      </w:tr>
      <w:tr>
        <w:trPr>
          <w:trHeight w:val="254"/>
        </w:trPr>
        <w:tc>
          <w:tcPr>
            <w:tcW w:w="6240" w:type="dxa"/>
            <w:vAlign w:val="bottom"/>
          </w:tcPr>
          <w:p>
            <w:pPr>
              <w:spacing w:after="0"/>
              <w:rPr>
                <w:sz w:val="20"/>
                <w:szCs w:val="20"/>
                <w:color w:val="auto"/>
              </w:rPr>
            </w:pPr>
            <w:r>
              <w:rPr>
                <w:rFonts w:ascii="Arial" w:cs="Arial" w:eastAsia="Arial" w:hAnsi="Arial"/>
                <w:sz w:val="20"/>
                <w:szCs w:val="20"/>
                <w:color w:val="auto"/>
              </w:rPr>
              <w:t>Outstanding at December 31, 2024</w:t>
            </w:r>
          </w:p>
        </w:tc>
        <w:tc>
          <w:tcPr>
            <w:tcW w:w="1180" w:type="dxa"/>
            <w:vAlign w:val="bottom"/>
          </w:tcPr>
          <w:p>
            <w:pPr>
              <w:jc w:val="right"/>
              <w:spacing w:after="0"/>
              <w:rPr>
                <w:sz w:val="20"/>
                <w:szCs w:val="20"/>
                <w:color w:val="auto"/>
              </w:rPr>
            </w:pPr>
            <w:r>
              <w:rPr>
                <w:rFonts w:ascii="Arial" w:cs="Arial" w:eastAsia="Arial" w:hAnsi="Arial"/>
                <w:sz w:val="20"/>
                <w:szCs w:val="20"/>
                <w:color w:val="auto"/>
                <w:w w:val="97"/>
              </w:rPr>
              <w:t>197,465,699</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35,390,231</w:t>
            </w: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542,004,838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-2952750</wp:posOffset>
            </wp:positionV>
            <wp:extent cx="6354445" cy="2959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0">
                      <a:extLst>
                        <a:ext uri="{28A0092B-C50C-407E-A947-70E740481C1C}"/>
                      </a:extLst>
                    </a:blip>
                    <a:srcRect/>
                    <a:stretch>
                      <a:fillRect/>
                    </a:stretch>
                  </pic:blipFill>
                  <pic:spPr bwMode="auto">
                    <a:xfrm>
                      <a:off x="0" y="0"/>
                      <a:ext cx="6354445" cy="295973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Distributions to Our Shareholders</w:t>
      </w:r>
    </w:p>
    <w:p>
      <w:pPr>
        <w:spacing w:after="0" w:line="248" w:lineRule="exact"/>
        <w:rPr>
          <w:sz w:val="20"/>
          <w:szCs w:val="20"/>
          <w:color w:val="auto"/>
        </w:rPr>
      </w:pPr>
    </w:p>
    <w:p>
      <w:pPr>
        <w:ind w:right="80" w:firstLine="706"/>
        <w:spacing w:after="0" w:line="254" w:lineRule="auto"/>
        <w:rPr>
          <w:sz w:val="20"/>
          <w:szCs w:val="20"/>
          <w:color w:val="auto"/>
        </w:rPr>
      </w:pPr>
      <w:r>
        <w:rPr>
          <w:rFonts w:ascii="Arial" w:cs="Arial" w:eastAsia="Arial" w:hAnsi="Arial"/>
          <w:sz w:val="20"/>
          <w:szCs w:val="20"/>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202" w:lineRule="exact"/>
        <w:rPr>
          <w:sz w:val="20"/>
          <w:szCs w:val="20"/>
          <w:color w:val="auto"/>
        </w:rPr>
      </w:pPr>
    </w:p>
    <w:p>
      <w:pPr>
        <w:ind w:right="500" w:firstLine="706"/>
        <w:spacing w:after="0" w:line="271" w:lineRule="auto"/>
        <w:rPr>
          <w:sz w:val="20"/>
          <w:szCs w:val="20"/>
          <w:color w:val="auto"/>
        </w:rPr>
      </w:pPr>
      <w:r>
        <w:rPr>
          <w:rFonts w:ascii="Arial" w:cs="Arial" w:eastAsia="Arial" w:hAnsi="Arial"/>
          <w:sz w:val="20"/>
          <w:szCs w:val="20"/>
          <w:color w:val="auto"/>
        </w:rPr>
        <w:t>The following table details distributions paid to our Class A shareholders during the years presented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8"/>
                <w:szCs w:val="18"/>
                <w:color w:val="auto"/>
              </w:rPr>
            </w:pP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Distributions to Class A Shareholders</w:t>
            </w:r>
          </w:p>
        </w:tc>
        <w:tc>
          <w:tcPr>
            <w:tcW w:w="3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w w:val="96"/>
              </w:rPr>
              <w:t>Distributions per Class A Share</w:t>
            </w:r>
          </w:p>
        </w:tc>
      </w:tr>
      <w:tr>
        <w:trPr>
          <w:trHeight w:val="270"/>
        </w:trPr>
        <w:tc>
          <w:tcPr>
            <w:tcW w:w="3300" w:type="dxa"/>
            <w:vAlign w:val="bottom"/>
          </w:tcPr>
          <w:p>
            <w:pPr>
              <w:ind w:left="60"/>
              <w:spacing w:after="0"/>
              <w:rPr>
                <w:sz w:val="20"/>
                <w:szCs w:val="20"/>
                <w:color w:val="auto"/>
              </w:rPr>
            </w:pPr>
            <w:r>
              <w:rPr>
                <w:rFonts w:ascii="Arial" w:cs="Arial" w:eastAsia="Arial" w:hAnsi="Arial"/>
                <w:sz w:val="20"/>
                <w:szCs w:val="20"/>
                <w:color w:val="auto"/>
              </w:rPr>
              <w:t>2024</w:t>
            </w:r>
          </w:p>
        </w:tc>
        <w:tc>
          <w:tcPr>
            <w:tcW w:w="3000" w:type="dxa"/>
            <w:vAlign w:val="bottom"/>
            <w:gridSpan w:val="2"/>
          </w:tcPr>
          <w:p>
            <w:pPr>
              <w:jc w:val="right"/>
              <w:ind w:right="2682"/>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251</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920" w:type="dxa"/>
            <w:vAlign w:val="bottom"/>
          </w:tcPr>
          <w:p>
            <w:pPr>
              <w:jc w:val="right"/>
              <w:spacing w:after="0"/>
              <w:rPr>
                <w:sz w:val="20"/>
                <w:szCs w:val="20"/>
                <w:color w:val="auto"/>
              </w:rPr>
            </w:pPr>
            <w:r>
              <w:rPr>
                <w:rFonts w:ascii="Arial" w:cs="Arial" w:eastAsia="Arial" w:hAnsi="Arial"/>
                <w:sz w:val="20"/>
                <w:szCs w:val="20"/>
                <w:color w:val="auto"/>
              </w:rPr>
              <w:t>1.2700</w:t>
            </w:r>
          </w:p>
        </w:tc>
      </w:tr>
      <w:tr>
        <w:trPr>
          <w:trHeight w:val="294"/>
        </w:trPr>
        <w:tc>
          <w:tcPr>
            <w:tcW w:w="3300" w:type="dxa"/>
            <w:vAlign w:val="bottom"/>
          </w:tcPr>
          <w:p>
            <w:pPr>
              <w:ind w:left="60"/>
              <w:spacing w:after="0"/>
              <w:rPr>
                <w:sz w:val="20"/>
                <w:szCs w:val="20"/>
                <w:color w:val="auto"/>
              </w:rPr>
            </w:pPr>
            <w:r>
              <w:rPr>
                <w:rFonts w:ascii="Arial" w:cs="Arial" w:eastAsia="Arial" w:hAnsi="Arial"/>
                <w:sz w:val="20"/>
                <w:szCs w:val="20"/>
                <w:color w:val="auto"/>
              </w:rPr>
              <w:t>2023</w:t>
            </w:r>
          </w:p>
        </w:tc>
        <w:tc>
          <w:tcPr>
            <w:tcW w:w="3000" w:type="dxa"/>
            <w:vAlign w:val="bottom"/>
            <w:gridSpan w:val="2"/>
          </w:tcPr>
          <w:p>
            <w:pPr>
              <w:jc w:val="right"/>
              <w:ind w:right="2682"/>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209</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920" w:type="dxa"/>
            <w:vAlign w:val="bottom"/>
          </w:tcPr>
          <w:p>
            <w:pPr>
              <w:jc w:val="right"/>
              <w:spacing w:after="0"/>
              <w:rPr>
                <w:sz w:val="20"/>
                <w:szCs w:val="20"/>
                <w:color w:val="auto"/>
              </w:rPr>
            </w:pPr>
            <w:r>
              <w:rPr>
                <w:rFonts w:ascii="Arial" w:cs="Arial" w:eastAsia="Arial" w:hAnsi="Arial"/>
                <w:sz w:val="20"/>
                <w:szCs w:val="20"/>
                <w:color w:val="auto"/>
              </w:rPr>
              <w:t>1.0700</w:t>
            </w:r>
          </w:p>
        </w:tc>
      </w:tr>
      <w:tr>
        <w:trPr>
          <w:trHeight w:val="294"/>
        </w:trPr>
        <w:tc>
          <w:tcPr>
            <w:tcW w:w="3300" w:type="dxa"/>
            <w:vAlign w:val="bottom"/>
          </w:tcPr>
          <w:p>
            <w:pPr>
              <w:ind w:left="60"/>
              <w:spacing w:after="0"/>
              <w:rPr>
                <w:sz w:val="20"/>
                <w:szCs w:val="20"/>
                <w:color w:val="auto"/>
              </w:rPr>
            </w:pPr>
            <w:r>
              <w:rPr>
                <w:rFonts w:ascii="Arial" w:cs="Arial" w:eastAsia="Arial" w:hAnsi="Arial"/>
                <w:sz w:val="20"/>
                <w:szCs w:val="20"/>
                <w:color w:val="auto"/>
              </w:rPr>
              <w:t>2022</w:t>
            </w:r>
          </w:p>
        </w:tc>
        <w:tc>
          <w:tcPr>
            <w:tcW w:w="3000" w:type="dxa"/>
            <w:vAlign w:val="bottom"/>
            <w:gridSpan w:val="2"/>
          </w:tcPr>
          <w:p>
            <w:pPr>
              <w:jc w:val="right"/>
              <w:ind w:right="2682"/>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162</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920" w:type="dxa"/>
            <w:vAlign w:val="bottom"/>
          </w:tcPr>
          <w:p>
            <w:pPr>
              <w:jc w:val="right"/>
              <w:spacing w:after="0"/>
              <w:rPr>
                <w:sz w:val="20"/>
                <w:szCs w:val="20"/>
                <w:color w:val="auto"/>
              </w:rPr>
            </w:pPr>
            <w:r>
              <w:rPr>
                <w:rFonts w:ascii="Arial" w:cs="Arial" w:eastAsia="Arial" w:hAnsi="Arial"/>
                <w:sz w:val="20"/>
                <w:szCs w:val="20"/>
                <w:color w:val="auto"/>
              </w:rPr>
              <w:t>0.8325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-563245</wp:posOffset>
            </wp:positionV>
            <wp:extent cx="6400800" cy="585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1">
                      <a:extLst>
                        <a:ext uri="{28A0092B-C50C-407E-A947-70E740481C1C}"/>
                      </a:extLst>
                    </a:blip>
                    <a:srcRect/>
                    <a:stretch>
                      <a:fillRect/>
                    </a:stretch>
                  </pic:blipFill>
                  <pic:spPr bwMode="auto">
                    <a:xfrm>
                      <a:off x="0" y="0"/>
                      <a:ext cx="6400800" cy="585470"/>
                    </a:xfrm>
                    <a:prstGeom prst="rect">
                      <a:avLst/>
                    </a:prstGeom>
                    <a:noFill/>
                  </pic:spPr>
                </pic:pic>
              </a:graphicData>
            </a:graphic>
          </wp:anchor>
        </w:drawing>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880" w:h="15480" w:orient="portrait"/>
          <w:cols w:equalWidth="0" w:num="1">
            <w:col w:w="10040"/>
          </w:cols>
          <w:pgMar w:left="920" w:top="337" w:right="920" w:bottom="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4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January 7, 2025, we declared a cash distribution of $0.38 per outstanding Class A share. This distribution of</w:t>
      </w:r>
    </w:p>
    <w:p>
      <w:pPr>
        <w:spacing w:after="0" w:line="5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$75 million was paid on February 14, 2025 to shareholders of record at the close of business on January 31, 2025, for the period October 1, 2024 through December 31, 2024.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Comprehensive Income/(Loss)</w:t>
      </w:r>
    </w:p>
    <w:p>
      <w:pPr>
        <w:spacing w:after="0" w:line="248" w:lineRule="exact"/>
        <w:rPr>
          <w:sz w:val="20"/>
          <w:szCs w:val="20"/>
          <w:color w:val="auto"/>
        </w:rPr>
      </w:pPr>
    </w:p>
    <w:p>
      <w:pPr>
        <w:ind w:right="100" w:firstLine="706"/>
        <w:spacing w:after="0" w:line="361" w:lineRule="auto"/>
        <w:rPr>
          <w:sz w:val="20"/>
          <w:szCs w:val="20"/>
          <w:color w:val="auto"/>
        </w:rPr>
      </w:pPr>
      <w:r>
        <w:rPr>
          <w:rFonts w:ascii="Arial" w:cs="Arial" w:eastAsia="Arial" w:hAnsi="Arial"/>
          <w:sz w:val="17"/>
          <w:szCs w:val="17"/>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Subsidiaries</w:t>
      </w:r>
    </w:p>
    <w:p>
      <w:pPr>
        <w:spacing w:after="0" w:line="24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Noncontrolling Interests in Subsidiaries</w:t>
      </w:r>
    </w:p>
    <w:p>
      <w:pPr>
        <w:spacing w:after="0" w:line="248" w:lineRule="exact"/>
        <w:rPr>
          <w:sz w:val="20"/>
          <w:szCs w:val="20"/>
          <w:color w:val="auto"/>
        </w:rPr>
      </w:pPr>
    </w:p>
    <w:p>
      <w:pPr>
        <w:ind w:firstLine="706"/>
        <w:spacing w:after="0" w:line="306" w:lineRule="auto"/>
        <w:rPr>
          <w:sz w:val="20"/>
          <w:szCs w:val="20"/>
          <w:color w:val="auto"/>
        </w:rPr>
      </w:pPr>
      <w:r>
        <w:rPr>
          <w:rFonts w:ascii="Arial" w:cs="Arial" w:eastAsia="Arial" w:hAnsi="Arial"/>
          <w:sz w:val="17"/>
          <w:szCs w:val="17"/>
          <w:color w:val="auto"/>
        </w:rPr>
        <w:t>As of December 31, 2024, noncontrolling interests in our subsidiaries consisted of (i) limited partner interests in PAA including a 70% interest in PAA’s common units and PAA’s Series A preferred units combined and 100% of PAA’s Series B preferred units, (ii) an approximate 15% limited partner interest in AAP, (iii) a 35% interest in the Permian JV, (iv) a 30% interest in Cactus II and (v) a 33% interest in Red River Pipeline Company LLC (“Red River”). The transactions resulting in the recognition of noncontrolling interests in the Permian JV and Cactus II are described below.</w:t>
      </w:r>
    </w:p>
    <w:p>
      <w:pPr>
        <w:spacing w:after="0" w:line="165" w:lineRule="exact"/>
        <w:rPr>
          <w:sz w:val="20"/>
          <w:szCs w:val="20"/>
          <w:color w:val="auto"/>
        </w:rPr>
      </w:pPr>
    </w:p>
    <w:p>
      <w:pPr>
        <w:ind w:right="20" w:firstLine="706"/>
        <w:spacing w:after="0" w:line="251" w:lineRule="auto"/>
        <w:rPr>
          <w:sz w:val="20"/>
          <w:szCs w:val="20"/>
          <w:color w:val="auto"/>
        </w:rPr>
      </w:pPr>
      <w:r>
        <w:rPr>
          <w:rFonts w:ascii="Arial" w:cs="Arial" w:eastAsia="Arial" w:hAnsi="Arial"/>
          <w:sz w:val="20"/>
          <w:szCs w:val="20"/>
          <w:color w:val="auto"/>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Common Equity Repurchase Program</w:t>
      </w:r>
    </w:p>
    <w:p>
      <w:pPr>
        <w:spacing w:after="0" w:line="248" w:lineRule="exact"/>
        <w:rPr>
          <w:sz w:val="20"/>
          <w:szCs w:val="20"/>
          <w:color w:val="auto"/>
        </w:rPr>
      </w:pPr>
    </w:p>
    <w:p>
      <w:pPr>
        <w:ind w:right="40" w:firstLine="706"/>
        <w:spacing w:after="0" w:line="264" w:lineRule="auto"/>
        <w:rPr>
          <w:sz w:val="20"/>
          <w:szCs w:val="20"/>
          <w:color w:val="auto"/>
        </w:rPr>
      </w:pPr>
      <w:r>
        <w:rPr>
          <w:rFonts w:ascii="Arial" w:cs="Arial" w:eastAsia="Arial" w:hAnsi="Arial"/>
          <w:sz w:val="19"/>
          <w:szCs w:val="19"/>
          <w:color w:val="auto"/>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 common units and/or our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Class A shares. Any PAA common units or Class A shares that are repurchased will be canceled. Class C shares held by PAA associated with any publicly held common units that are repurchased will also be canceled.</w:t>
      </w:r>
    </w:p>
    <w:p>
      <w:pPr>
        <w:spacing w:after="0" w:line="194" w:lineRule="exact"/>
        <w:rPr>
          <w:sz w:val="20"/>
          <w:szCs w:val="20"/>
          <w:color w:val="auto"/>
        </w:rPr>
      </w:pPr>
    </w:p>
    <w:p>
      <w:pPr>
        <w:ind w:right="260" w:firstLine="706"/>
        <w:spacing w:after="0" w:line="306" w:lineRule="auto"/>
        <w:rPr>
          <w:sz w:val="20"/>
          <w:szCs w:val="20"/>
          <w:color w:val="auto"/>
        </w:rPr>
      </w:pPr>
      <w:r>
        <w:rPr>
          <w:rFonts w:ascii="Arial" w:cs="Arial" w:eastAsia="Arial" w:hAnsi="Arial"/>
          <w:sz w:val="17"/>
          <w:szCs w:val="17"/>
          <w:color w:val="auto"/>
        </w:rPr>
        <w:t>There were no repurchases under the Program during the years ended December 31, 2024 or 2023. During the years ended December 31, 2022, PAA repurchased common units under the Program through open market purchases for a total purchase price of $74 million, including commissions and fees. The repurchased common units were canceled immediately upon acquisition, as were the Class C shares held by PAA associated with the repurchased common units. At December 31, 2024, the remaining available capacity under the Program was $198 million.</w:t>
      </w:r>
    </w:p>
    <w:p>
      <w:pPr>
        <w:spacing w:after="0" w:line="155" w:lineRule="exact"/>
        <w:rPr>
          <w:sz w:val="20"/>
          <w:szCs w:val="20"/>
          <w:color w:val="auto"/>
        </w:rPr>
      </w:pPr>
    </w:p>
    <w:p>
      <w:pPr>
        <w:ind w:right="40" w:firstLine="794"/>
        <w:spacing w:after="0" w:line="271" w:lineRule="auto"/>
        <w:rPr>
          <w:sz w:val="20"/>
          <w:szCs w:val="20"/>
          <w:color w:val="auto"/>
        </w:rPr>
      </w:pPr>
      <w:r>
        <w:rPr>
          <w:rFonts w:ascii="Arial" w:cs="Arial" w:eastAsia="Arial" w:hAnsi="Arial"/>
          <w:sz w:val="19"/>
          <w:szCs w:val="19"/>
          <w:color w:val="auto"/>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 See Note 14 for additional information regarding the associated impact to the deferred tax asset.</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880" w:h="15480" w:orient="portrait"/>
          <w:cols w:equalWidth="0" w:num="1">
            <w:col w:w="10040"/>
          </w:cols>
          <w:pgMar w:left="920" w:top="337" w:right="920" w:bottom="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Subsidiary Distributions</w:t>
      </w:r>
    </w:p>
    <w:p>
      <w:pPr>
        <w:spacing w:after="0" w:line="246" w:lineRule="exact"/>
        <w:rPr>
          <w:sz w:val="20"/>
          <w:szCs w:val="20"/>
          <w:color w:val="auto"/>
        </w:rPr>
      </w:pPr>
    </w:p>
    <w:p>
      <w:pPr>
        <w:ind w:right="80" w:firstLine="706"/>
        <w:spacing w:after="0" w:line="299" w:lineRule="auto"/>
        <w:rPr>
          <w:sz w:val="20"/>
          <w:szCs w:val="20"/>
          <w:color w:val="auto"/>
        </w:rPr>
      </w:pPr>
      <w:r>
        <w:rPr>
          <w:rFonts w:ascii="Arial" w:cs="Arial" w:eastAsia="Arial" w:hAnsi="Arial"/>
          <w:sz w:val="17"/>
          <w:szCs w:val="17"/>
          <w:b w:val="1"/>
          <w:bCs w:val="1"/>
          <w:i w:val="1"/>
          <w:iCs w:val="1"/>
          <w:color w:val="auto"/>
        </w:rPr>
        <w:t xml:space="preserve">PAA Series A Preferred Unit Distributions. </w:t>
      </w:r>
      <w:r>
        <w:rPr>
          <w:rFonts w:ascii="Arial" w:cs="Arial" w:eastAsia="Arial" w:hAnsi="Arial"/>
          <w:sz w:val="17"/>
          <w:szCs w:val="17"/>
          <w:color w:val="auto"/>
        </w:rPr>
        <w:t>After the fifth anniversary of the January 28, 2016 issuance date of PAA’s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A preferred units, the holders of PAA’s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12 for additional information. In January 2023, the Series A preferred unitholders elected the Preferred Distribution Rate Reset Option. Effective January 31, 2023, the new Series A preferred unit distribution rate is equal to 9.375% per annum of the original Issue Price (approximately $2.46 per unit annualized). The quarterly distribution paid in May 2023 reflected a pro-rated amount of approximately $0.585 per unit.</w:t>
      </w:r>
    </w:p>
    <w:p>
      <w:pPr>
        <w:spacing w:after="0" w:line="170" w:lineRule="exact"/>
        <w:rPr>
          <w:sz w:val="20"/>
          <w:szCs w:val="20"/>
          <w:color w:val="auto"/>
        </w:rPr>
      </w:pPr>
    </w:p>
    <w:p>
      <w:pPr>
        <w:ind w:firstLine="706"/>
        <w:spacing w:after="0" w:line="258" w:lineRule="auto"/>
        <w:rPr>
          <w:sz w:val="20"/>
          <w:szCs w:val="20"/>
          <w:color w:val="auto"/>
        </w:rPr>
      </w:pPr>
      <w:r>
        <w:rPr>
          <w:rFonts w:ascii="Arial" w:cs="Arial" w:eastAsia="Arial" w:hAnsi="Arial"/>
          <w:sz w:val="20"/>
          <w:szCs w:val="20"/>
          <w:color w:val="auto"/>
        </w:rPr>
        <w:t>On January 31, 2025, PAA repurchased approximately 12.7 million units, or 18%, of its outstanding Series A preferred units at the issue price of $26.25 per unit for a purchase price of approximately $333 million, plus accrued and unpaid distributions through January 30, 2025 of approximately $10 million.</w:t>
      </w:r>
    </w:p>
    <w:p>
      <w:pPr>
        <w:spacing w:after="0" w:line="199" w:lineRule="exact"/>
        <w:rPr>
          <w:sz w:val="20"/>
          <w:szCs w:val="20"/>
          <w:color w:val="auto"/>
        </w:rPr>
      </w:pPr>
    </w:p>
    <w:p>
      <w:pPr>
        <w:ind w:right="240" w:firstLine="706"/>
        <w:spacing w:after="0" w:line="271" w:lineRule="auto"/>
        <w:rPr>
          <w:sz w:val="20"/>
          <w:szCs w:val="20"/>
          <w:color w:val="auto"/>
        </w:rPr>
      </w:pPr>
      <w:r>
        <w:rPr>
          <w:rFonts w:ascii="Arial" w:cs="Arial" w:eastAsia="Arial" w:hAnsi="Arial"/>
          <w:sz w:val="20"/>
          <w:szCs w:val="20"/>
          <w:color w:val="auto"/>
        </w:rPr>
        <w:t>The following table details distributions paid to PAA’s Series A preferred unitholders during the years presented (in millions, except unit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40" w:type="dxa"/>
            <w:vAlign w:val="bottom"/>
            <w:tcBorders>
              <w:bottom w:val="single" w:sz="8" w:color="auto"/>
            </w:tcBorders>
            <w:gridSpan w:val="5"/>
          </w:tcPr>
          <w:p>
            <w:pPr>
              <w:jc w:val="right"/>
              <w:ind w:right="882"/>
              <w:spacing w:after="0"/>
              <w:rPr>
                <w:sz w:val="20"/>
                <w:szCs w:val="20"/>
                <w:color w:val="auto"/>
              </w:rPr>
            </w:pPr>
            <w:r>
              <w:rPr>
                <w:rFonts w:ascii="Arial" w:cs="Arial" w:eastAsia="Arial" w:hAnsi="Arial"/>
                <w:sz w:val="16"/>
                <w:szCs w:val="16"/>
                <w:b w:val="1"/>
                <w:bCs w:val="1"/>
                <w:color w:val="auto"/>
              </w:rPr>
              <w:t>Series A Preferred Unitholders</w:t>
            </w:r>
          </w:p>
        </w:tc>
        <w:tc>
          <w:tcPr>
            <w:tcW w:w="440" w:type="dxa"/>
            <w:vAlign w:val="bottom"/>
            <w:tcBorders>
              <w:bottom w:val="single" w:sz="8" w:color="auto"/>
            </w:tcBorders>
          </w:tcPr>
          <w:p>
            <w:pPr>
              <w:spacing w:after="0"/>
              <w:rPr>
                <w:sz w:val="18"/>
                <w:szCs w:val="18"/>
                <w:color w:val="auto"/>
              </w:rPr>
            </w:pPr>
          </w:p>
        </w:tc>
      </w:tr>
      <w:tr>
        <w:trPr>
          <w:trHeight w:val="230"/>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b w:val="1"/>
                <w:bCs w:val="1"/>
                <w:color w:val="auto"/>
              </w:rPr>
              <w:t>Cash Distribution</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Distribution per Unit</w:t>
            </w:r>
          </w:p>
        </w:tc>
        <w:tc>
          <w:tcPr>
            <w:tcW w:w="440" w:type="dxa"/>
            <w:vAlign w:val="bottom"/>
            <w:tcBorders>
              <w:bottom w:val="single" w:sz="8" w:color="auto"/>
            </w:tcBorders>
          </w:tcPr>
          <w:p>
            <w:pPr>
              <w:spacing w:after="0"/>
              <w:rPr>
                <w:sz w:val="19"/>
                <w:szCs w:val="19"/>
                <w:color w:val="auto"/>
              </w:rPr>
            </w:pPr>
          </w:p>
        </w:tc>
      </w:tr>
      <w:tr>
        <w:trPr>
          <w:trHeight w:val="270"/>
        </w:trPr>
        <w:tc>
          <w:tcPr>
            <w:tcW w:w="5100" w:type="dxa"/>
            <w:vAlign w:val="bottom"/>
          </w:tcPr>
          <w:p>
            <w:pPr>
              <w:ind w:left="40"/>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3"/>
                <w:szCs w:val="23"/>
                <w:color w:val="auto"/>
              </w:rPr>
            </w:pPr>
          </w:p>
        </w:tc>
        <w:tc>
          <w:tcPr>
            <w:tcW w:w="1900" w:type="dxa"/>
            <w:vAlign w:val="bottom"/>
          </w:tcPr>
          <w:p>
            <w:pPr>
              <w:jc w:val="right"/>
              <w:ind w:right="165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175</w:t>
            </w:r>
          </w:p>
        </w:tc>
        <w:tc>
          <w:tcPr>
            <w:tcW w:w="80" w:type="dxa"/>
            <w:vAlign w:val="bottom"/>
            <w:tcBorders>
              <w:right w:val="single" w:sz="8" w:color="auto"/>
            </w:tcBorders>
          </w:tcPr>
          <w:p>
            <w:pPr>
              <w:spacing w:after="0"/>
              <w:rPr>
                <w:sz w:val="23"/>
                <w:szCs w:val="23"/>
                <w:color w:val="auto"/>
              </w:rPr>
            </w:pPr>
          </w:p>
        </w:tc>
        <w:tc>
          <w:tcPr>
            <w:tcW w:w="1980" w:type="dxa"/>
            <w:vAlign w:val="bottom"/>
            <w:gridSpan w:val="2"/>
          </w:tcPr>
          <w:p>
            <w:pPr>
              <w:jc w:val="right"/>
              <w:ind w:right="1682"/>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w w:val="87"/>
              </w:rPr>
              <w:t>2.46</w:t>
            </w:r>
          </w:p>
        </w:tc>
      </w:tr>
      <w:tr>
        <w:trPr>
          <w:trHeight w:val="294"/>
        </w:trPr>
        <w:tc>
          <w:tcPr>
            <w:tcW w:w="5100" w:type="dxa"/>
            <w:vAlign w:val="bottom"/>
          </w:tcPr>
          <w:p>
            <w:pPr>
              <w:ind w:left="40"/>
              <w:spacing w:after="0"/>
              <w:rPr>
                <w:sz w:val="20"/>
                <w:szCs w:val="20"/>
                <w:color w:val="auto"/>
              </w:rPr>
            </w:pPr>
            <w:r>
              <w:rPr>
                <w:rFonts w:ascii="Arial" w:cs="Arial" w:eastAsia="Arial" w:hAnsi="Arial"/>
                <w:sz w:val="20"/>
                <w:szCs w:val="20"/>
                <w:color w:val="auto"/>
              </w:rPr>
              <w:t>2023</w:t>
            </w:r>
          </w:p>
        </w:tc>
        <w:tc>
          <w:tcPr>
            <w:tcW w:w="60" w:type="dxa"/>
            <w:vAlign w:val="bottom"/>
          </w:tcPr>
          <w:p>
            <w:pPr>
              <w:spacing w:after="0"/>
              <w:rPr>
                <w:sz w:val="24"/>
                <w:szCs w:val="24"/>
                <w:color w:val="auto"/>
              </w:rPr>
            </w:pPr>
          </w:p>
        </w:tc>
        <w:tc>
          <w:tcPr>
            <w:tcW w:w="1900" w:type="dxa"/>
            <w:vAlign w:val="bottom"/>
          </w:tcPr>
          <w:p>
            <w:pPr>
              <w:jc w:val="right"/>
              <w:ind w:right="165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166</w:t>
            </w:r>
          </w:p>
        </w:tc>
        <w:tc>
          <w:tcPr>
            <w:tcW w:w="80" w:type="dxa"/>
            <w:vAlign w:val="bottom"/>
            <w:tcBorders>
              <w:right w:val="single" w:sz="8" w:color="auto"/>
            </w:tcBorders>
          </w:tcPr>
          <w:p>
            <w:pPr>
              <w:spacing w:after="0"/>
              <w:rPr>
                <w:sz w:val="24"/>
                <w:szCs w:val="24"/>
                <w:color w:val="auto"/>
              </w:rPr>
            </w:pPr>
          </w:p>
        </w:tc>
        <w:tc>
          <w:tcPr>
            <w:tcW w:w="1980" w:type="dxa"/>
            <w:vAlign w:val="bottom"/>
            <w:gridSpan w:val="2"/>
          </w:tcPr>
          <w:p>
            <w:pPr>
              <w:jc w:val="right"/>
              <w:ind w:right="1682"/>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w w:val="87"/>
              </w:rPr>
              <w:t>2.34</w:t>
            </w:r>
          </w:p>
        </w:tc>
      </w:tr>
      <w:tr>
        <w:trPr>
          <w:trHeight w:val="308"/>
        </w:trPr>
        <w:tc>
          <w:tcPr>
            <w:tcW w:w="5100" w:type="dxa"/>
            <w:vAlign w:val="bottom"/>
          </w:tcPr>
          <w:p>
            <w:pPr>
              <w:ind w:left="40"/>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4"/>
                <w:szCs w:val="24"/>
                <w:color w:val="auto"/>
              </w:rPr>
            </w:pPr>
          </w:p>
        </w:tc>
        <w:tc>
          <w:tcPr>
            <w:tcW w:w="1900" w:type="dxa"/>
            <w:vAlign w:val="bottom"/>
          </w:tcPr>
          <w:p>
            <w:pPr>
              <w:jc w:val="right"/>
              <w:ind w:right="1650"/>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rPr>
              <w:t>149</w:t>
            </w:r>
          </w:p>
        </w:tc>
        <w:tc>
          <w:tcPr>
            <w:tcW w:w="80" w:type="dxa"/>
            <w:vAlign w:val="bottom"/>
            <w:tcBorders>
              <w:right w:val="single" w:sz="8" w:color="auto"/>
            </w:tcBorders>
          </w:tcPr>
          <w:p>
            <w:pPr>
              <w:spacing w:after="0"/>
              <w:rPr>
                <w:sz w:val="24"/>
                <w:szCs w:val="24"/>
                <w:color w:val="auto"/>
              </w:rPr>
            </w:pPr>
          </w:p>
        </w:tc>
        <w:tc>
          <w:tcPr>
            <w:tcW w:w="1980" w:type="dxa"/>
            <w:vAlign w:val="bottom"/>
            <w:gridSpan w:val="2"/>
          </w:tcPr>
          <w:p>
            <w:pPr>
              <w:jc w:val="right"/>
              <w:ind w:right="1682"/>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w w:val="87"/>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-572135</wp:posOffset>
            </wp:positionV>
            <wp:extent cx="6410325" cy="5854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2">
                      <a:extLst>
                        <a:ext uri="{28A0092B-C50C-407E-A947-70E740481C1C}"/>
                      </a:extLst>
                    </a:blip>
                    <a:srcRect/>
                    <a:stretch>
                      <a:fillRect/>
                    </a:stretch>
                  </pic:blipFill>
                  <pic:spPr bwMode="auto">
                    <a:xfrm>
                      <a:off x="0" y="0"/>
                      <a:ext cx="6410325" cy="5854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4830445</wp:posOffset>
                </wp:positionH>
                <wp:positionV relativeFrom="paragraph">
                  <wp:posOffset>-560070</wp:posOffset>
                </wp:positionV>
                <wp:extent cx="0" cy="56007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0070"/>
                        </a:xfrm>
                        <a:prstGeom prst="line">
                          <a:avLst/>
                        </a:prstGeom>
                        <a:solidFill>
                          <a:srgbClr val="FFFFFF"/>
                        </a:solidFill>
                        <a:ln w="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35pt,-44.0999pt" to="380.3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3281045</wp:posOffset>
                </wp:positionH>
                <wp:positionV relativeFrom="paragraph">
                  <wp:posOffset>-718185</wp:posOffset>
                </wp:positionV>
                <wp:extent cx="150241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24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35pt,-56.5499pt" to="376.65pt,-56.5499pt" o:allowincell="f" strokecolor="#000000" strokeweight="0pt"/>
            </w:pict>
          </mc:Fallback>
        </mc:AlternateContent>
      </w:r>
    </w:p>
    <w:p>
      <w:pPr>
        <w:spacing w:after="0" w:line="252" w:lineRule="exact"/>
        <w:rPr>
          <w:sz w:val="20"/>
          <w:szCs w:val="20"/>
          <w:color w:val="auto"/>
        </w:rPr>
      </w:pPr>
    </w:p>
    <w:p>
      <w:pPr>
        <w:ind w:right="60" w:firstLine="706"/>
        <w:spacing w:after="0" w:line="258" w:lineRule="auto"/>
        <w:rPr>
          <w:sz w:val="20"/>
          <w:szCs w:val="20"/>
          <w:color w:val="auto"/>
        </w:rPr>
      </w:pPr>
      <w:r>
        <w:rPr>
          <w:rFonts w:ascii="Arial" w:cs="Arial" w:eastAsia="Arial" w:hAnsi="Arial"/>
          <w:sz w:val="20"/>
          <w:szCs w:val="20"/>
          <w:color w:val="auto"/>
        </w:rPr>
        <w:t>On February 14, 2025, PAA paid a cash distribution of $36 million to its Series A preferred unitholders outstanding as of January 31,2025. At December 31, 2024, such amount was accrued as distributions payable in “Other current liabilities” on our Consolidated Balance Sheet.</w:t>
      </w:r>
    </w:p>
    <w:p>
      <w:pPr>
        <w:spacing w:after="0" w:line="197" w:lineRule="exact"/>
        <w:rPr>
          <w:sz w:val="20"/>
          <w:szCs w:val="20"/>
          <w:color w:val="auto"/>
        </w:rPr>
      </w:pPr>
    </w:p>
    <w:p>
      <w:pPr>
        <w:ind w:right="340" w:firstLine="706"/>
        <w:spacing w:after="0" w:line="250" w:lineRule="auto"/>
        <w:rPr>
          <w:sz w:val="20"/>
          <w:szCs w:val="20"/>
          <w:color w:val="auto"/>
        </w:rPr>
      </w:pPr>
      <w:r>
        <w:rPr>
          <w:rFonts w:ascii="Arial" w:cs="Arial" w:eastAsia="Arial" w:hAnsi="Arial"/>
          <w:sz w:val="20"/>
          <w:szCs w:val="20"/>
          <w:b w:val="1"/>
          <w:bCs w:val="1"/>
          <w:i w:val="1"/>
          <w:iCs w:val="1"/>
          <w:color w:val="auto"/>
        </w:rPr>
        <w:t xml:space="preserve">PAA Series B Preferred Unit Distributions. </w:t>
      </w:r>
      <w:r>
        <w:rPr>
          <w:rFonts w:ascii="Arial" w:cs="Arial" w:eastAsia="Arial" w:hAnsi="Arial"/>
          <w:sz w:val="20"/>
          <w:szCs w:val="20"/>
          <w:color w:val="auto"/>
        </w:rPr>
        <w:t>The initial distribution rate for the Series B preferred units from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0.26161%, plus 4.11% per annum.</w:t>
      </w:r>
    </w:p>
    <w:p>
      <w:pPr>
        <w:spacing w:after="0" w:line="206" w:lineRule="exact"/>
        <w:rPr>
          <w:sz w:val="20"/>
          <w:szCs w:val="20"/>
          <w:color w:val="auto"/>
        </w:rPr>
      </w:pPr>
    </w:p>
    <w:p>
      <w:pPr>
        <w:ind w:right="260" w:firstLine="706"/>
        <w:spacing w:after="0" w:line="271" w:lineRule="auto"/>
        <w:rPr>
          <w:sz w:val="20"/>
          <w:szCs w:val="20"/>
          <w:color w:val="auto"/>
        </w:rPr>
      </w:pPr>
      <w:r>
        <w:rPr>
          <w:rFonts w:ascii="Arial" w:cs="Arial" w:eastAsia="Arial" w:hAnsi="Arial"/>
          <w:sz w:val="20"/>
          <w:szCs w:val="20"/>
          <w:color w:val="auto"/>
        </w:rPr>
        <w:t>The following table details distributions paid to PAA’s Series B preferred unitholders during the years presented (in millions, except unit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80" w:type="dxa"/>
            <w:vAlign w:val="bottom"/>
            <w:tcBorders>
              <w:bottom w:val="single" w:sz="8" w:color="auto"/>
            </w:tcBorders>
            <w:gridSpan w:val="6"/>
          </w:tcPr>
          <w:p>
            <w:pPr>
              <w:jc w:val="right"/>
              <w:ind w:right="1307"/>
              <w:spacing w:after="0"/>
              <w:rPr>
                <w:sz w:val="20"/>
                <w:szCs w:val="20"/>
                <w:color w:val="auto"/>
              </w:rPr>
            </w:pPr>
            <w:r>
              <w:rPr>
                <w:rFonts w:ascii="Arial" w:cs="Arial" w:eastAsia="Arial" w:hAnsi="Arial"/>
                <w:sz w:val="16"/>
                <w:szCs w:val="16"/>
                <w:b w:val="1"/>
                <w:bCs w:val="1"/>
                <w:color w:val="auto"/>
              </w:rPr>
              <w:t>Series B Preferred Unitholders</w:t>
            </w:r>
          </w:p>
        </w:tc>
      </w:tr>
      <w:tr>
        <w:trPr>
          <w:trHeight w:val="230"/>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9"/>
                <w:szCs w:val="19"/>
                <w:color w:val="auto"/>
              </w:rPr>
            </w:pP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Cash Distribution</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Distribution per Unit</w:t>
            </w:r>
          </w:p>
        </w:tc>
      </w:tr>
      <w:tr>
        <w:trPr>
          <w:trHeight w:val="270"/>
        </w:trPr>
        <w:tc>
          <w:tcPr>
            <w:tcW w:w="5100" w:type="dxa"/>
            <w:vAlign w:val="bottom"/>
          </w:tcPr>
          <w:p>
            <w:pPr>
              <w:ind w:left="40"/>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3"/>
                <w:szCs w:val="23"/>
                <w:color w:val="auto"/>
              </w:rPr>
            </w:pPr>
          </w:p>
        </w:tc>
        <w:tc>
          <w:tcPr>
            <w:tcW w:w="1940" w:type="dxa"/>
            <w:vAlign w:val="bottom"/>
          </w:tcPr>
          <w:p>
            <w:pPr>
              <w:jc w:val="right"/>
              <w:ind w:right="169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79</w:t>
            </w:r>
          </w:p>
        </w:tc>
        <w:tc>
          <w:tcPr>
            <w:tcW w:w="80" w:type="dxa"/>
            <w:vAlign w:val="bottom"/>
            <w:tcBorders>
              <w:right w:val="single" w:sz="8" w:color="auto"/>
            </w:tcBorders>
          </w:tcPr>
          <w:p>
            <w:pPr>
              <w:spacing w:after="0"/>
              <w:rPr>
                <w:sz w:val="23"/>
                <w:szCs w:val="2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40" w:type="dxa"/>
            <w:vAlign w:val="bottom"/>
          </w:tcPr>
          <w:p>
            <w:pPr>
              <w:jc w:val="right"/>
              <w:spacing w:after="0"/>
              <w:rPr>
                <w:sz w:val="20"/>
                <w:szCs w:val="20"/>
                <w:color w:val="auto"/>
              </w:rPr>
            </w:pPr>
            <w:r>
              <w:rPr>
                <w:rFonts w:ascii="Arial" w:cs="Arial" w:eastAsia="Arial" w:hAnsi="Arial"/>
                <w:sz w:val="20"/>
                <w:szCs w:val="20"/>
                <w:color w:val="auto"/>
              </w:rPr>
              <w:t>98.14</w:t>
            </w:r>
          </w:p>
        </w:tc>
      </w:tr>
      <w:tr>
        <w:trPr>
          <w:trHeight w:val="294"/>
        </w:trPr>
        <w:tc>
          <w:tcPr>
            <w:tcW w:w="5100" w:type="dxa"/>
            <w:vAlign w:val="bottom"/>
          </w:tcPr>
          <w:p>
            <w:pPr>
              <w:ind w:left="40"/>
              <w:spacing w:after="0"/>
              <w:rPr>
                <w:sz w:val="20"/>
                <w:szCs w:val="20"/>
                <w:color w:val="auto"/>
              </w:rPr>
            </w:pPr>
            <w:r>
              <w:rPr>
                <w:rFonts w:ascii="Arial" w:cs="Arial" w:eastAsia="Arial" w:hAnsi="Arial"/>
                <w:sz w:val="20"/>
                <w:szCs w:val="20"/>
                <w:color w:val="auto"/>
              </w:rPr>
              <w:t>2023</w:t>
            </w:r>
          </w:p>
        </w:tc>
        <w:tc>
          <w:tcPr>
            <w:tcW w:w="60" w:type="dxa"/>
            <w:vAlign w:val="bottom"/>
          </w:tcPr>
          <w:p>
            <w:pPr>
              <w:spacing w:after="0"/>
              <w:rPr>
                <w:sz w:val="24"/>
                <w:szCs w:val="24"/>
                <w:color w:val="auto"/>
              </w:rPr>
            </w:pPr>
          </w:p>
        </w:tc>
        <w:tc>
          <w:tcPr>
            <w:tcW w:w="1940" w:type="dxa"/>
            <w:vAlign w:val="bottom"/>
          </w:tcPr>
          <w:p>
            <w:pPr>
              <w:jc w:val="right"/>
              <w:ind w:right="169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75</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40" w:type="dxa"/>
            <w:vAlign w:val="bottom"/>
          </w:tcPr>
          <w:p>
            <w:pPr>
              <w:jc w:val="right"/>
              <w:spacing w:after="0"/>
              <w:rPr>
                <w:sz w:val="20"/>
                <w:szCs w:val="20"/>
                <w:color w:val="auto"/>
              </w:rPr>
            </w:pPr>
            <w:r>
              <w:rPr>
                <w:rFonts w:ascii="Arial" w:cs="Arial" w:eastAsia="Arial" w:hAnsi="Arial"/>
                <w:sz w:val="20"/>
                <w:szCs w:val="20"/>
                <w:color w:val="auto"/>
              </w:rPr>
              <w:t>93.43</w:t>
            </w:r>
          </w:p>
        </w:tc>
      </w:tr>
      <w:tr>
        <w:trPr>
          <w:trHeight w:val="308"/>
        </w:trPr>
        <w:tc>
          <w:tcPr>
            <w:tcW w:w="5100" w:type="dxa"/>
            <w:vAlign w:val="bottom"/>
          </w:tcPr>
          <w:p>
            <w:pPr>
              <w:ind w:left="40"/>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4"/>
                <w:szCs w:val="24"/>
                <w:color w:val="auto"/>
              </w:rPr>
            </w:pPr>
          </w:p>
        </w:tc>
        <w:tc>
          <w:tcPr>
            <w:tcW w:w="1940" w:type="dxa"/>
            <w:vAlign w:val="bottom"/>
          </w:tcPr>
          <w:p>
            <w:pPr>
              <w:jc w:val="right"/>
              <w:ind w:right="169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49</w:t>
            </w:r>
          </w:p>
        </w:tc>
        <w:tc>
          <w:tcPr>
            <w:tcW w:w="8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40" w:type="dxa"/>
            <w:vAlign w:val="bottom"/>
          </w:tcPr>
          <w:p>
            <w:pPr>
              <w:jc w:val="right"/>
              <w:spacing w:after="0"/>
              <w:rPr>
                <w:sz w:val="20"/>
                <w:szCs w:val="20"/>
                <w:color w:val="auto"/>
              </w:rPr>
            </w:pPr>
            <w:r>
              <w:rPr>
                <w:rFonts w:ascii="Arial" w:cs="Arial" w:eastAsia="Arial" w:hAnsi="Arial"/>
                <w:sz w:val="20"/>
                <w:szCs w:val="20"/>
                <w:color w:val="auto"/>
              </w:rPr>
              <w:t>61.25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-572135</wp:posOffset>
            </wp:positionV>
            <wp:extent cx="6410325" cy="585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3">
                      <a:extLst>
                        <a:ext uri="{28A0092B-C50C-407E-A947-70E740481C1C}"/>
                      </a:extLst>
                    </a:blip>
                    <a:srcRect/>
                    <a:stretch>
                      <a:fillRect/>
                    </a:stretch>
                  </pic:blipFill>
                  <pic:spPr bwMode="auto">
                    <a:xfrm>
                      <a:off x="0" y="0"/>
                      <a:ext cx="6410325" cy="5854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4830445</wp:posOffset>
                </wp:positionH>
                <wp:positionV relativeFrom="paragraph">
                  <wp:posOffset>-560070</wp:posOffset>
                </wp:positionV>
                <wp:extent cx="0" cy="56007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0070"/>
                        </a:xfrm>
                        <a:prstGeom prst="line">
                          <a:avLst/>
                        </a:prstGeom>
                        <a:solidFill>
                          <a:srgbClr val="FFFFFF"/>
                        </a:solidFill>
                        <a:ln w="0">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35pt,-44.0999pt" to="380.35pt,0pt" o:allowincell="f" strokecolor="#000000" strokeweight="0pt"/>
            </w:pict>
          </mc:Fallback>
        </mc:AlternateContent>
      </w:r>
    </w:p>
    <w:p>
      <w:pPr>
        <w:spacing w:after="0" w:line="252" w:lineRule="exact"/>
        <w:rPr>
          <w:sz w:val="20"/>
          <w:szCs w:val="20"/>
          <w:color w:val="auto"/>
        </w:rPr>
      </w:pPr>
    </w:p>
    <w:p>
      <w:pPr>
        <w:ind w:right="380" w:firstLine="706"/>
        <w:spacing w:after="0" w:line="278" w:lineRule="auto"/>
        <w:rPr>
          <w:sz w:val="20"/>
          <w:szCs w:val="20"/>
          <w:color w:val="auto"/>
        </w:rPr>
      </w:pPr>
      <w:r>
        <w:rPr>
          <w:rFonts w:ascii="Arial" w:cs="Arial" w:eastAsia="Arial" w:hAnsi="Arial"/>
          <w:sz w:val="19"/>
          <w:szCs w:val="19"/>
          <w:color w:val="auto"/>
        </w:rPr>
        <w:t>On February 18, 2025, PAA paid a cash distribution of $18 million ($22.73 per unit) to its Series B preferred unitholders. At December 31, 2024, approximately $9 million of accrued distributions payable to PAA’s Series B preferred unitholders was included in “Other current liabilities” on our Consolidated Balance Sheet.</w:t>
      </w:r>
    </w:p>
    <w:p>
      <w:pPr>
        <w:spacing w:after="0" w:line="180" w:lineRule="exact"/>
        <w:rPr>
          <w:sz w:val="20"/>
          <w:szCs w:val="20"/>
          <w:color w:val="auto"/>
        </w:rPr>
      </w:pPr>
    </w:p>
    <w:p>
      <w:pPr>
        <w:ind w:right="140" w:firstLine="706"/>
        <w:spacing w:after="0" w:line="268" w:lineRule="auto"/>
        <w:rPr>
          <w:sz w:val="20"/>
          <w:szCs w:val="20"/>
          <w:color w:val="auto"/>
        </w:rPr>
      </w:pPr>
      <w:r>
        <w:rPr>
          <w:rFonts w:ascii="Arial" w:cs="Arial" w:eastAsia="Arial" w:hAnsi="Arial"/>
          <w:sz w:val="19"/>
          <w:szCs w:val="19"/>
          <w:b w:val="1"/>
          <w:bCs w:val="1"/>
          <w:i w:val="1"/>
          <w:iCs w:val="1"/>
          <w:color w:val="auto"/>
        </w:rPr>
        <w:t xml:space="preserve">PAA Common Unit Distributions. </w:t>
      </w:r>
      <w:r>
        <w:rPr>
          <w:rFonts w:ascii="Arial" w:cs="Arial" w:eastAsia="Arial" w:hAnsi="Arial"/>
          <w:sz w:val="19"/>
          <w:szCs w:val="19"/>
          <w:color w:val="auto"/>
        </w:rPr>
        <w:t>After making distributions to its outstanding preferred units, PAA distributes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remainder of its available cash within 45 days following the end of each quarter to common unitholders of record, including AAP. Available cash is generally defined as all of PAA’s cash and cash equivalents on hand at the end of each quarter, less reserves established in the discretion of its general partner for future requirements. PAA’s available cash also includes cash on hand resulting from borrowings made after the end of the quarter.</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10040"/>
          </w:cols>
          <w:pgMar w:left="920" w:top="337" w:right="920" w:bottom="0" w:gutter="0" w:footer="0" w:header="0"/>
          <w:type w:val="continuous"/>
        </w:sectPr>
      </w:pPr>
    </w:p>
    <w:bookmarkStart w:id="142" w:name="page143"/>
    <w:bookmarkEnd w:id="142"/>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 w:right="660" w:firstLine="706"/>
        <w:spacing w:after="0" w:line="271" w:lineRule="auto"/>
        <w:rPr>
          <w:sz w:val="20"/>
          <w:szCs w:val="20"/>
          <w:color w:val="auto"/>
        </w:rPr>
      </w:pPr>
      <w:r>
        <w:rPr>
          <w:rFonts w:ascii="Arial" w:cs="Arial" w:eastAsia="Arial" w:hAnsi="Arial"/>
          <w:sz w:val="20"/>
          <w:szCs w:val="20"/>
          <w:color w:val="auto"/>
        </w:rPr>
        <w:t>The following table details distributions paid by PAA to its common unitholders during the years presented (in millions, except per unit data):</w:t>
      </w:r>
    </w:p>
    <w:p>
      <w:pPr>
        <w:spacing w:after="0" w:line="259"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6"/>
                <w:szCs w:val="16"/>
                <w:b w:val="1"/>
                <w:bCs w:val="1"/>
                <w:color w:val="auto"/>
                <w:w w:val="91"/>
              </w:rPr>
              <w:t>Distributions Paid</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6"/>
                <w:szCs w:val="16"/>
                <w:b w:val="1"/>
                <w:bCs w:val="1"/>
                <w:color w:val="auto"/>
                <w:w w:val="89"/>
              </w:rPr>
              <w:t>Distributions per</w:t>
            </w:r>
          </w:p>
        </w:tc>
      </w:tr>
      <w:tr>
        <w:trPr>
          <w:trHeight w:val="215"/>
        </w:trPr>
        <w:tc>
          <w:tcPr>
            <w:tcW w:w="3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Public</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7"/>
              <w:spacing w:after="0"/>
              <w:rPr>
                <w:sz w:val="20"/>
                <w:szCs w:val="20"/>
                <w:color w:val="auto"/>
              </w:rPr>
            </w:pPr>
            <w:r>
              <w:rPr>
                <w:rFonts w:ascii="Arial" w:cs="Arial" w:eastAsia="Arial" w:hAnsi="Arial"/>
                <w:sz w:val="16"/>
                <w:szCs w:val="16"/>
                <w:b w:val="1"/>
                <w:bCs w:val="1"/>
                <w:color w:val="auto"/>
              </w:rPr>
              <w:t>AAP</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w w:val="99"/>
              </w:rPr>
              <w:t>Common Unit</w:t>
            </w:r>
          </w:p>
        </w:tc>
      </w:tr>
      <w:tr>
        <w:trPr>
          <w:trHeight w:val="257"/>
        </w:trPr>
        <w:tc>
          <w:tcPr>
            <w:tcW w:w="3500" w:type="dxa"/>
            <w:vAlign w:val="bottom"/>
          </w:tcPr>
          <w:p>
            <w:pPr>
              <w:ind w:left="60"/>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2"/>
                <w:szCs w:val="22"/>
                <w:color w:val="auto"/>
              </w:rPr>
            </w:pPr>
          </w:p>
        </w:tc>
        <w:tc>
          <w:tcPr>
            <w:tcW w:w="1240" w:type="dxa"/>
            <w:vAlign w:val="bottom"/>
          </w:tcPr>
          <w:p>
            <w:pPr>
              <w:jc w:val="right"/>
              <w:ind w:right="987"/>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595</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296</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891</w:t>
            </w:r>
          </w:p>
        </w:tc>
        <w:tc>
          <w:tcPr>
            <w:tcW w:w="80" w:type="dxa"/>
            <w:vAlign w:val="bottom"/>
            <w:tcBorders>
              <w:right w:val="single" w:sz="8" w:color="auto"/>
            </w:tcBorders>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1.2700</w:t>
            </w:r>
          </w:p>
        </w:tc>
      </w:tr>
      <w:tr>
        <w:trPr>
          <w:trHeight w:val="279"/>
        </w:trPr>
        <w:tc>
          <w:tcPr>
            <w:tcW w:w="3500" w:type="dxa"/>
            <w:vAlign w:val="bottom"/>
          </w:tcPr>
          <w:p>
            <w:pPr>
              <w:ind w:left="60"/>
              <w:spacing w:after="0"/>
              <w:rPr>
                <w:sz w:val="20"/>
                <w:szCs w:val="20"/>
                <w:color w:val="auto"/>
              </w:rPr>
            </w:pPr>
            <w:r>
              <w:rPr>
                <w:rFonts w:ascii="Arial" w:cs="Arial" w:eastAsia="Arial" w:hAnsi="Arial"/>
                <w:sz w:val="20"/>
                <w:szCs w:val="20"/>
                <w:color w:val="auto"/>
              </w:rPr>
              <w:t>2023</w:t>
            </w:r>
          </w:p>
        </w:tc>
        <w:tc>
          <w:tcPr>
            <w:tcW w:w="60" w:type="dxa"/>
            <w:vAlign w:val="bottom"/>
          </w:tcPr>
          <w:p>
            <w:pPr>
              <w:spacing w:after="0"/>
              <w:rPr>
                <w:sz w:val="24"/>
                <w:szCs w:val="24"/>
                <w:color w:val="auto"/>
              </w:rPr>
            </w:pPr>
          </w:p>
        </w:tc>
        <w:tc>
          <w:tcPr>
            <w:tcW w:w="1240" w:type="dxa"/>
            <w:vAlign w:val="bottom"/>
          </w:tcPr>
          <w:p>
            <w:pPr>
              <w:jc w:val="right"/>
              <w:ind w:right="987"/>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492</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256</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748</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1.0700</w:t>
            </w:r>
          </w:p>
        </w:tc>
      </w:tr>
      <w:tr>
        <w:trPr>
          <w:trHeight w:val="291"/>
        </w:trPr>
        <w:tc>
          <w:tcPr>
            <w:tcW w:w="3500" w:type="dxa"/>
            <w:vAlign w:val="bottom"/>
          </w:tcPr>
          <w:p>
            <w:pPr>
              <w:ind w:left="60"/>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4"/>
                <w:szCs w:val="24"/>
                <w:color w:val="auto"/>
              </w:rPr>
            </w:pPr>
          </w:p>
        </w:tc>
        <w:tc>
          <w:tcPr>
            <w:tcW w:w="1240" w:type="dxa"/>
            <w:vAlign w:val="bottom"/>
          </w:tcPr>
          <w:p>
            <w:pPr>
              <w:jc w:val="right"/>
              <w:ind w:right="987"/>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383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201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584</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0.8325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-544195</wp:posOffset>
            </wp:positionV>
            <wp:extent cx="6391275" cy="2025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4">
                      <a:extLst>
                        <a:ext uri="{28A0092B-C50C-407E-A947-70E740481C1C}"/>
                      </a:extLst>
                    </a:blip>
                    <a:srcRect/>
                    <a:stretch>
                      <a:fillRect/>
                    </a:stretch>
                  </pic:blipFill>
                  <pic:spPr bwMode="auto">
                    <a:xfrm>
                      <a:off x="0" y="0"/>
                      <a:ext cx="6391275" cy="2025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-189230</wp:posOffset>
            </wp:positionV>
            <wp:extent cx="6391275" cy="2025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5">
                      <a:extLst>
                        <a:ext uri="{28A0092B-C50C-407E-A947-70E740481C1C}"/>
                      </a:extLst>
                    </a:blip>
                    <a:srcRect/>
                    <a:stretch>
                      <a:fillRect/>
                    </a:stretch>
                  </pic:blipFill>
                  <pic:spPr bwMode="auto">
                    <a:xfrm>
                      <a:off x="0" y="0"/>
                      <a:ext cx="6391275" cy="2025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5394960</wp:posOffset>
                </wp:positionH>
                <wp:positionV relativeFrom="paragraph">
                  <wp:posOffset>-531495</wp:posOffset>
                </wp:positionV>
                <wp:extent cx="0" cy="53149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1495"/>
                        </a:xfrm>
                        <a:prstGeom prst="line">
                          <a:avLst/>
                        </a:prstGeom>
                        <a:solidFill>
                          <a:srgbClr val="FFFFFF"/>
                        </a:solidFill>
                        <a:ln w="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8pt,-41.8499pt" to="424.8pt,0pt" o:allowincell="f" strokecolor="#000000" strokeweight="0pt"/>
            </w:pict>
          </mc:Fallback>
        </mc:AlternateContent>
      </w:r>
    </w:p>
    <w:p>
      <w:pPr>
        <w:spacing w:after="0" w:line="252" w:lineRule="exact"/>
        <w:rPr>
          <w:sz w:val="20"/>
          <w:szCs w:val="20"/>
          <w:color w:val="auto"/>
        </w:rPr>
      </w:pPr>
    </w:p>
    <w:p>
      <w:pPr>
        <w:ind w:left="7" w:right="100" w:firstLine="706"/>
        <w:spacing w:after="0" w:line="254" w:lineRule="auto"/>
        <w:rPr>
          <w:sz w:val="20"/>
          <w:szCs w:val="20"/>
          <w:color w:val="auto"/>
        </w:rPr>
      </w:pPr>
      <w:r>
        <w:rPr>
          <w:rFonts w:ascii="Arial" w:cs="Arial" w:eastAsia="Arial" w:hAnsi="Arial"/>
          <w:sz w:val="20"/>
          <w:szCs w:val="20"/>
          <w:color w:val="auto"/>
        </w:rPr>
        <w:t>On January 7, 2025, PAA declared a cash distribution of $0.38 per unit on its outstanding common units. The total distribution of $267 million was paid on February 14, 2025 to unitholders of record at the close of business on January 31, 2025, for the period from October 1, 2024 through December 31, 2024. Of this amount, approximately $88 million was paid to AAP.</w:t>
      </w:r>
    </w:p>
    <w:p>
      <w:pPr>
        <w:spacing w:after="0" w:line="201" w:lineRule="exact"/>
        <w:rPr>
          <w:sz w:val="20"/>
          <w:szCs w:val="20"/>
          <w:color w:val="auto"/>
        </w:rPr>
      </w:pPr>
    </w:p>
    <w:p>
      <w:pPr>
        <w:ind w:left="7" w:right="140" w:firstLine="706"/>
        <w:spacing w:after="0" w:line="272" w:lineRule="auto"/>
        <w:rPr>
          <w:sz w:val="20"/>
          <w:szCs w:val="20"/>
          <w:color w:val="auto"/>
        </w:rPr>
      </w:pPr>
      <w:r>
        <w:rPr>
          <w:rFonts w:ascii="Arial" w:cs="Arial" w:eastAsia="Arial" w:hAnsi="Arial"/>
          <w:sz w:val="19"/>
          <w:szCs w:val="19"/>
          <w:b w:val="1"/>
          <w:bCs w:val="1"/>
          <w:i w:val="1"/>
          <w:iCs w:val="1"/>
          <w:color w:val="auto"/>
        </w:rPr>
        <w:t xml:space="preserve">AAP Distributions. </w:t>
      </w:r>
      <w:r>
        <w:rPr>
          <w:rFonts w:ascii="Arial" w:cs="Arial" w:eastAsia="Arial" w:hAnsi="Arial"/>
          <w:sz w:val="19"/>
          <w:szCs w:val="19"/>
          <w:color w:val="auto"/>
        </w:rPr>
        <w:t>AAP distributes all of the cash received from PAA distributions on a quarterly basis, less reserves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established in the discretion of its general partner for future requirements. Generally, distributions are paid to its partners in proportion to their percentage interest in AAP. The following table details the distributions to AAP’s partners paid during the years presented from distributions received from PAA (in millions):</w:t>
      </w:r>
    </w:p>
    <w:p>
      <w:pPr>
        <w:spacing w:after="0" w:line="275"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w w:val="91"/>
              </w:rPr>
              <w:t>Distributions to AAP’s Partners</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Year</w:t>
            </w:r>
          </w:p>
        </w:tc>
        <w:tc>
          <w:tcPr>
            <w:tcW w:w="60" w:type="dxa"/>
            <w:vAlign w:val="bottom"/>
            <w:vMerge w:val="restart"/>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Noncontrolling</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ind w:right="507"/>
              <w:spacing w:after="0"/>
              <w:rPr>
                <w:sz w:val="20"/>
                <w:szCs w:val="20"/>
                <w:color w:val="auto"/>
              </w:rPr>
            </w:pPr>
            <w:r>
              <w:rPr>
                <w:rFonts w:ascii="Arial" w:cs="Arial" w:eastAsia="Arial" w:hAnsi="Arial"/>
                <w:sz w:val="16"/>
                <w:szCs w:val="16"/>
                <w:b w:val="1"/>
                <w:bCs w:val="1"/>
                <w:color w:val="auto"/>
              </w:rPr>
              <w:t>PAGP</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350"/>
              <w:spacing w:after="0" w:line="182" w:lineRule="exact"/>
              <w:rPr>
                <w:sz w:val="20"/>
                <w:szCs w:val="20"/>
                <w:color w:val="auto"/>
              </w:rPr>
            </w:pPr>
            <w:r>
              <w:rPr>
                <w:rFonts w:ascii="Arial" w:cs="Arial" w:eastAsia="Arial" w:hAnsi="Arial"/>
                <w:sz w:val="16"/>
                <w:szCs w:val="16"/>
                <w:b w:val="1"/>
                <w:bCs w:val="1"/>
                <w:color w:val="auto"/>
              </w:rPr>
              <w:t>Total Cash</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Interests</w:t>
            </w:r>
          </w:p>
        </w:tc>
        <w:tc>
          <w:tcPr>
            <w:tcW w:w="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w w:val="95"/>
              </w:rPr>
              <w:t>Distributions</w:t>
            </w:r>
          </w:p>
        </w:tc>
        <w:tc>
          <w:tcPr>
            <w:tcW w:w="0" w:type="dxa"/>
            <w:vAlign w:val="bottom"/>
          </w:tcPr>
          <w:p>
            <w:pPr>
              <w:spacing w:after="0"/>
              <w:rPr>
                <w:sz w:val="1"/>
                <w:szCs w:val="1"/>
                <w:color w:val="auto"/>
              </w:rPr>
            </w:pPr>
          </w:p>
        </w:tc>
      </w:tr>
      <w:tr>
        <w:trPr>
          <w:trHeight w:val="270"/>
        </w:trPr>
        <w:tc>
          <w:tcPr>
            <w:tcW w:w="5040" w:type="dxa"/>
            <w:vAlign w:val="bottom"/>
          </w:tcPr>
          <w:p>
            <w:pPr>
              <w:ind w:left="60"/>
              <w:spacing w:after="0"/>
              <w:rPr>
                <w:sz w:val="20"/>
                <w:szCs w:val="20"/>
                <w:color w:val="auto"/>
              </w:rPr>
            </w:pPr>
            <w:r>
              <w:rPr>
                <w:rFonts w:ascii="Arial" w:cs="Arial" w:eastAsia="Arial" w:hAnsi="Arial"/>
                <w:sz w:val="20"/>
                <w:szCs w:val="20"/>
                <w:color w:val="auto"/>
              </w:rPr>
              <w:t>2024</w:t>
            </w:r>
          </w:p>
        </w:tc>
        <w:tc>
          <w:tcPr>
            <w:tcW w:w="60" w:type="dxa"/>
            <w:vAlign w:val="bottom"/>
          </w:tcPr>
          <w:p>
            <w:pPr>
              <w:spacing w:after="0"/>
              <w:rPr>
                <w:sz w:val="23"/>
                <w:szCs w:val="23"/>
                <w:color w:val="auto"/>
              </w:rPr>
            </w:pPr>
          </w:p>
        </w:tc>
        <w:tc>
          <w:tcPr>
            <w:tcW w:w="1320" w:type="dxa"/>
            <w:vAlign w:val="bottom"/>
          </w:tcPr>
          <w:p>
            <w:pPr>
              <w:jc w:val="right"/>
              <w:ind w:right="107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45</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251</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296</w:t>
            </w:r>
          </w:p>
        </w:tc>
        <w:tc>
          <w:tcPr>
            <w:tcW w:w="0" w:type="dxa"/>
            <w:vAlign w:val="bottom"/>
          </w:tcPr>
          <w:p>
            <w:pPr>
              <w:spacing w:after="0"/>
              <w:rPr>
                <w:sz w:val="1"/>
                <w:szCs w:val="1"/>
                <w:color w:val="auto"/>
              </w:rPr>
            </w:pPr>
          </w:p>
        </w:tc>
      </w:tr>
      <w:tr>
        <w:trPr>
          <w:trHeight w:val="294"/>
        </w:trPr>
        <w:tc>
          <w:tcPr>
            <w:tcW w:w="5040" w:type="dxa"/>
            <w:vAlign w:val="bottom"/>
          </w:tcPr>
          <w:p>
            <w:pPr>
              <w:ind w:left="60"/>
              <w:spacing w:after="0"/>
              <w:rPr>
                <w:sz w:val="20"/>
                <w:szCs w:val="20"/>
                <w:color w:val="auto"/>
              </w:rPr>
            </w:pPr>
            <w:r>
              <w:rPr>
                <w:rFonts w:ascii="Arial" w:cs="Arial" w:eastAsia="Arial" w:hAnsi="Arial"/>
                <w:sz w:val="20"/>
                <w:szCs w:val="20"/>
                <w:color w:val="auto"/>
              </w:rPr>
              <w:t>2023</w:t>
            </w:r>
          </w:p>
        </w:tc>
        <w:tc>
          <w:tcPr>
            <w:tcW w:w="60" w:type="dxa"/>
            <w:vAlign w:val="bottom"/>
          </w:tcPr>
          <w:p>
            <w:pPr>
              <w:spacing w:after="0"/>
              <w:rPr>
                <w:sz w:val="24"/>
                <w:szCs w:val="24"/>
                <w:color w:val="auto"/>
              </w:rPr>
            </w:pPr>
          </w:p>
        </w:tc>
        <w:tc>
          <w:tcPr>
            <w:tcW w:w="1320" w:type="dxa"/>
            <w:vAlign w:val="bottom"/>
          </w:tcPr>
          <w:p>
            <w:pPr>
              <w:jc w:val="right"/>
              <w:ind w:right="107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47</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209</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256</w:t>
            </w:r>
          </w:p>
        </w:tc>
        <w:tc>
          <w:tcPr>
            <w:tcW w:w="0" w:type="dxa"/>
            <w:vAlign w:val="bottom"/>
          </w:tcPr>
          <w:p>
            <w:pPr>
              <w:spacing w:after="0"/>
              <w:rPr>
                <w:sz w:val="1"/>
                <w:szCs w:val="1"/>
                <w:color w:val="auto"/>
              </w:rPr>
            </w:pPr>
          </w:p>
        </w:tc>
      </w:tr>
      <w:tr>
        <w:trPr>
          <w:trHeight w:val="294"/>
        </w:trPr>
        <w:tc>
          <w:tcPr>
            <w:tcW w:w="5040" w:type="dxa"/>
            <w:vAlign w:val="bottom"/>
          </w:tcPr>
          <w:p>
            <w:pPr>
              <w:ind w:left="60"/>
              <w:spacing w:after="0"/>
              <w:rPr>
                <w:sz w:val="20"/>
                <w:szCs w:val="20"/>
                <w:color w:val="auto"/>
              </w:rPr>
            </w:pPr>
            <w:r>
              <w:rPr>
                <w:rFonts w:ascii="Arial" w:cs="Arial" w:eastAsia="Arial" w:hAnsi="Arial"/>
                <w:sz w:val="20"/>
                <w:szCs w:val="20"/>
                <w:color w:val="auto"/>
              </w:rPr>
              <w:t>2022</w:t>
            </w:r>
          </w:p>
        </w:tc>
        <w:tc>
          <w:tcPr>
            <w:tcW w:w="60" w:type="dxa"/>
            <w:vAlign w:val="bottom"/>
          </w:tcPr>
          <w:p>
            <w:pPr>
              <w:spacing w:after="0"/>
              <w:rPr>
                <w:sz w:val="24"/>
                <w:szCs w:val="24"/>
                <w:color w:val="auto"/>
              </w:rPr>
            </w:pPr>
          </w:p>
        </w:tc>
        <w:tc>
          <w:tcPr>
            <w:tcW w:w="1320" w:type="dxa"/>
            <w:vAlign w:val="bottom"/>
          </w:tcPr>
          <w:p>
            <w:pPr>
              <w:jc w:val="right"/>
              <w:ind w:right="1070"/>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39</w:t>
            </w:r>
          </w:p>
        </w:tc>
        <w:tc>
          <w:tcPr>
            <w:tcW w:w="4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162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-563245</wp:posOffset>
            </wp:positionV>
            <wp:extent cx="6391275" cy="5854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6">
                      <a:extLst>
                        <a:ext uri="{28A0092B-C50C-407E-A947-70E740481C1C}"/>
                      </a:extLst>
                    </a:blip>
                    <a:srcRect/>
                    <a:stretch>
                      <a:fillRect/>
                    </a:stretch>
                  </pic:blipFill>
                  <pic:spPr bwMode="auto">
                    <a:xfrm>
                      <a:off x="0" y="0"/>
                      <a:ext cx="6391275" cy="585470"/>
                    </a:xfrm>
                    <a:prstGeom prst="rect">
                      <a:avLst/>
                    </a:prstGeom>
                    <a:noFill/>
                  </pic:spPr>
                </pic:pic>
              </a:graphicData>
            </a:graphic>
          </wp:anchor>
        </w:drawing>
      </w:r>
    </w:p>
    <w:p>
      <w:pPr>
        <w:spacing w:after="0" w:line="266" w:lineRule="exact"/>
        <w:rPr>
          <w:sz w:val="20"/>
          <w:szCs w:val="20"/>
          <w:color w:val="auto"/>
        </w:rPr>
      </w:pPr>
    </w:p>
    <w:p>
      <w:pPr>
        <w:ind w:left="7" w:right="480" w:firstLine="706"/>
        <w:spacing w:after="0" w:line="298" w:lineRule="auto"/>
        <w:rPr>
          <w:sz w:val="20"/>
          <w:szCs w:val="20"/>
          <w:color w:val="auto"/>
        </w:rPr>
      </w:pPr>
      <w:r>
        <w:rPr>
          <w:rFonts w:ascii="Arial" w:cs="Arial" w:eastAsia="Arial" w:hAnsi="Arial"/>
          <w:sz w:val="19"/>
          <w:szCs w:val="19"/>
          <w:color w:val="auto"/>
        </w:rPr>
        <w:t>On February 14, 2025, AAP distributed $88 million to its partners from distributions received from PAA. Of this amount, $13 million was distributed to noncontrolling interests and $75 million was distributed to us.</w:t>
      </w:r>
    </w:p>
    <w:p>
      <w:pPr>
        <w:spacing w:after="0" w:line="161" w:lineRule="exact"/>
        <w:rPr>
          <w:sz w:val="20"/>
          <w:szCs w:val="20"/>
          <w:color w:val="auto"/>
        </w:rPr>
      </w:pPr>
    </w:p>
    <w:p>
      <w:pPr>
        <w:jc w:val="both"/>
        <w:ind w:left="7" w:right="260" w:firstLine="706"/>
        <w:spacing w:after="0" w:line="272" w:lineRule="auto"/>
        <w:rPr>
          <w:sz w:val="20"/>
          <w:szCs w:val="20"/>
          <w:color w:val="auto"/>
        </w:rPr>
      </w:pPr>
      <w:r>
        <w:rPr>
          <w:rFonts w:ascii="Arial" w:cs="Arial" w:eastAsia="Arial" w:hAnsi="Arial"/>
          <w:sz w:val="19"/>
          <w:szCs w:val="19"/>
          <w:b w:val="1"/>
          <w:bCs w:val="1"/>
          <w:i w:val="1"/>
          <w:iCs w:val="1"/>
          <w:color w:val="auto"/>
        </w:rPr>
        <w:t xml:space="preserve">Consolidated Joint Venture Distributions. </w:t>
      </w:r>
      <w:r>
        <w:rPr>
          <w:rFonts w:ascii="Arial" w:cs="Arial" w:eastAsia="Arial" w:hAnsi="Arial"/>
          <w:sz w:val="19"/>
          <w:szCs w:val="19"/>
          <w:color w:val="auto"/>
        </w:rPr>
        <w:t>Distributions from Cactus II and Red River are paid in proportion to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owner’s interest in the entity. Cash available for distribution is cash on hand less the amount of cash required to fund normal operations and capital projects. The following table details distributions paid to noncontrolling interests in consolidated joint venture entities during the years presented (in millions):</w:t>
      </w:r>
    </w:p>
    <w:p>
      <w:pPr>
        <w:spacing w:after="0" w:line="275"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b w:val="1"/>
                <w:bCs w:val="1"/>
                <w:color w:val="auto"/>
              </w:rPr>
              <w:t>2022</w:t>
            </w:r>
          </w:p>
        </w:tc>
      </w:tr>
      <w:tr>
        <w:trPr>
          <w:trHeight w:val="310"/>
        </w:trPr>
        <w:tc>
          <w:tcPr>
            <w:tcW w:w="3940" w:type="dxa"/>
            <w:vAlign w:val="bottom"/>
            <w:gridSpan w:val="2"/>
          </w:tcPr>
          <w:p>
            <w:pPr>
              <w:ind w:left="40"/>
              <w:spacing w:after="0"/>
              <w:rPr>
                <w:sz w:val="20"/>
                <w:szCs w:val="20"/>
                <w:color w:val="auto"/>
              </w:rPr>
            </w:pPr>
            <w:r>
              <w:rPr>
                <w:rFonts w:ascii="Arial" w:cs="Arial" w:eastAsia="Arial" w:hAnsi="Arial"/>
                <w:sz w:val="20"/>
                <w:szCs w:val="20"/>
                <w:color w:val="auto"/>
              </w:rPr>
              <w:t xml:space="preserve">Permian JV </w:t>
            </w:r>
            <w:r>
              <w:rPr>
                <w:rFonts w:ascii="Arial" w:cs="Arial" w:eastAsia="Arial" w:hAnsi="Arial"/>
                <w:sz w:val="25"/>
                <w:szCs w:val="25"/>
                <w:color w:val="auto"/>
                <w:vertAlign w:val="superscript"/>
              </w:rPr>
              <w:t>(1)</w:t>
            </w:r>
          </w:p>
        </w:tc>
        <w:tc>
          <w:tcPr>
            <w:tcW w:w="1380" w:type="dxa"/>
            <w:vAlign w:val="bottom"/>
          </w:tcPr>
          <w:p>
            <w:pPr>
              <w:jc w:val="right"/>
              <w:ind w:right="1149"/>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322</w:t>
            </w:r>
          </w:p>
        </w:tc>
        <w:tc>
          <w:tcPr>
            <w:tcW w:w="5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249</w:t>
            </w:r>
          </w:p>
        </w:tc>
        <w:tc>
          <w:tcPr>
            <w:tcW w:w="5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273</w:t>
            </w:r>
          </w:p>
        </w:tc>
      </w:tr>
      <w:tr>
        <w:trPr>
          <w:trHeight w:val="255"/>
        </w:trPr>
        <w:tc>
          <w:tcPr>
            <w:tcW w:w="3940" w:type="dxa"/>
            <w:vAlign w:val="bottom"/>
            <w:gridSpan w:val="2"/>
          </w:tcPr>
          <w:p>
            <w:pPr>
              <w:ind w:left="40"/>
              <w:spacing w:after="0"/>
              <w:rPr>
                <w:sz w:val="20"/>
                <w:szCs w:val="20"/>
                <w:color w:val="auto"/>
              </w:rPr>
            </w:pPr>
            <w:r>
              <w:rPr>
                <w:rFonts w:ascii="Arial" w:cs="Arial" w:eastAsia="Arial" w:hAnsi="Arial"/>
                <w:sz w:val="20"/>
                <w:szCs w:val="20"/>
                <w:color w:val="auto"/>
              </w:rPr>
              <w:t>Cactus II</w:t>
            </w:r>
          </w:p>
        </w:tc>
        <w:tc>
          <w:tcPr>
            <w:tcW w:w="1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77</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63</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8"/>
        </w:trPr>
        <w:tc>
          <w:tcPr>
            <w:tcW w:w="3940" w:type="dxa"/>
            <w:vAlign w:val="bottom"/>
            <w:gridSpan w:val="2"/>
          </w:tcPr>
          <w:p>
            <w:pPr>
              <w:ind w:left="40"/>
              <w:spacing w:after="0"/>
              <w:rPr>
                <w:sz w:val="20"/>
                <w:szCs w:val="20"/>
                <w:color w:val="auto"/>
              </w:rPr>
            </w:pPr>
            <w:r>
              <w:rPr>
                <w:rFonts w:ascii="Arial" w:cs="Arial" w:eastAsia="Arial" w:hAnsi="Arial"/>
                <w:sz w:val="20"/>
                <w:szCs w:val="20"/>
                <w:color w:val="auto"/>
              </w:rPr>
              <w:t>Red River</w:t>
            </w:r>
          </w:p>
        </w:tc>
        <w:tc>
          <w:tcPr>
            <w:tcW w:w="1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r>
      <w:tr>
        <w:trPr>
          <w:trHeight w:val="254"/>
        </w:trPr>
        <w:tc>
          <w:tcPr>
            <w:tcW w:w="3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80" w:type="dxa"/>
            <w:vAlign w:val="bottom"/>
          </w:tcPr>
          <w:p>
            <w:pPr>
              <w:jc w:val="right"/>
              <w:ind w:right="1149"/>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425</w:t>
            </w:r>
          </w:p>
        </w:tc>
        <w:tc>
          <w:tcPr>
            <w:tcW w:w="5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333</w:t>
            </w:r>
          </w:p>
        </w:tc>
        <w:tc>
          <w:tcPr>
            <w:tcW w:w="5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298</w:t>
            </w:r>
          </w:p>
        </w:tc>
      </w:tr>
      <w:tr>
        <w:trPr>
          <w:trHeight w:val="20"/>
        </w:trPr>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-874395</wp:posOffset>
            </wp:positionV>
            <wp:extent cx="6410325" cy="784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7">
                      <a:extLst>
                        <a:ext uri="{28A0092B-C50C-407E-A947-70E740481C1C}"/>
                      </a:extLst>
                    </a:blip>
                    <a:srcRect/>
                    <a:stretch>
                      <a:fillRect/>
                    </a:stretch>
                  </pic:blipFill>
                  <pic:spPr bwMode="auto">
                    <a:xfrm>
                      <a:off x="0" y="0"/>
                      <a:ext cx="6410325" cy="784860"/>
                    </a:xfrm>
                    <a:prstGeom prst="rect">
                      <a:avLst/>
                    </a:prstGeom>
                    <a:noFill/>
                  </pic:spPr>
                </pic:pic>
              </a:graphicData>
            </a:graphic>
          </wp:anchor>
        </w:drawing>
      </w:r>
    </w:p>
    <w:p>
      <w:pPr>
        <w:spacing w:after="0" w:line="66" w:lineRule="exact"/>
        <w:rPr>
          <w:sz w:val="20"/>
          <w:szCs w:val="20"/>
          <w:color w:val="auto"/>
        </w:rPr>
      </w:pPr>
    </w:p>
    <w:p>
      <w:pPr>
        <w:ind w:left="707" w:right="100" w:hanging="707"/>
        <w:spacing w:after="0" w:line="227" w:lineRule="auto"/>
        <w:tabs>
          <w:tab w:leader="none" w:pos="707" w:val="left"/>
        </w:tabs>
        <w:numPr>
          <w:ilvl w:val="0"/>
          <w:numId w:val="92"/>
        </w:numPr>
        <w:rPr>
          <w:rFonts w:ascii="Arial" w:cs="Arial" w:eastAsia="Arial" w:hAnsi="Arial"/>
          <w:sz w:val="25"/>
          <w:szCs w:val="25"/>
          <w:color w:val="auto"/>
          <w:vertAlign w:val="superscript"/>
        </w:rPr>
      </w:pPr>
      <w:r>
        <w:rPr>
          <w:rFonts w:ascii="Arial" w:cs="Arial" w:eastAsia="Arial" w:hAnsi="Arial"/>
          <w:sz w:val="20"/>
          <w:szCs w:val="20"/>
          <w:color w:val="auto"/>
        </w:rPr>
        <w:t>The initial distribution from the Permian JV was paid during the first quarter of 2022, with approximately $54 million paid to noncontrolling interests.</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F-37</w:t>
      </w:r>
    </w:p>
    <w:p>
      <w:pPr>
        <w:sectPr>
          <w:pgSz w:w="11880" w:h="15480" w:orient="portrait"/>
          <w:cols w:equalWidth="0" w:num="1">
            <w:col w:w="10047"/>
          </w:cols>
          <w:pgMar w:left="913" w:top="337" w:right="920" w:bottom="0" w:gutter="0" w:footer="0" w:header="0"/>
          <w:type w:val="continuous"/>
        </w:sectPr>
      </w:pPr>
    </w:p>
    <w:bookmarkStart w:id="143" w:name="page144"/>
    <w:bookmarkEnd w:id="143"/>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12—Derivatives and Risk Management Activities</w:t>
      </w:r>
    </w:p>
    <w:p>
      <w:pPr>
        <w:spacing w:after="0" w:line="248" w:lineRule="exact"/>
        <w:rPr>
          <w:sz w:val="20"/>
          <w:szCs w:val="20"/>
          <w:color w:val="auto"/>
        </w:rPr>
      </w:pPr>
    </w:p>
    <w:p>
      <w:pPr>
        <w:ind w:left="7" w:right="60" w:firstLine="706"/>
        <w:spacing w:after="0" w:line="294"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0" w:lineRule="exact"/>
        <w:rPr>
          <w:sz w:val="20"/>
          <w:szCs w:val="20"/>
          <w:color w:val="auto"/>
        </w:rPr>
      </w:pPr>
    </w:p>
    <w:p>
      <w:pPr>
        <w:spacing w:after="0" w:line="215" w:lineRule="exact"/>
        <w:rPr>
          <w:sz w:val="20"/>
          <w:szCs w:val="20"/>
          <w:color w:val="auto"/>
        </w:rPr>
      </w:pPr>
    </w:p>
    <w:p>
      <w:pPr>
        <w:ind w:left="7" w:right="60" w:firstLine="706"/>
        <w:spacing w:after="0" w:line="303" w:lineRule="auto"/>
        <w:rPr>
          <w:sz w:val="20"/>
          <w:szCs w:val="20"/>
          <w:color w:val="auto"/>
        </w:rPr>
      </w:pPr>
      <w:r>
        <w:rPr>
          <w:rFonts w:ascii="Arial" w:cs="Arial" w:eastAsia="Arial" w:hAnsi="Arial"/>
          <w:sz w:val="17"/>
          <w:szCs w:val="17"/>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166" w:lineRule="exact"/>
        <w:rPr>
          <w:sz w:val="20"/>
          <w:szCs w:val="20"/>
          <w:color w:val="auto"/>
        </w:rPr>
      </w:pPr>
    </w:p>
    <w:p>
      <w:pPr>
        <w:ind w:left="7" w:firstLine="706"/>
        <w:spacing w:after="0" w:line="254" w:lineRule="auto"/>
        <w:rPr>
          <w:sz w:val="20"/>
          <w:szCs w:val="20"/>
          <w:color w:val="auto"/>
        </w:rPr>
      </w:pPr>
      <w:r>
        <w:rPr>
          <w:rFonts w:ascii="Arial" w:cs="Arial" w:eastAsia="Arial" w:hAnsi="Arial"/>
          <w:sz w:val="20"/>
          <w:szCs w:val="20"/>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2" w:lineRule="exact"/>
        <w:rPr>
          <w:sz w:val="20"/>
          <w:szCs w:val="20"/>
          <w:color w:val="auto"/>
        </w:rPr>
      </w:pPr>
    </w:p>
    <w:p>
      <w:pPr>
        <w:ind w:left="7" w:right="80" w:firstLine="662"/>
        <w:spacing w:after="0" w:line="271" w:lineRule="auto"/>
        <w:rPr>
          <w:sz w:val="20"/>
          <w:szCs w:val="20"/>
          <w:color w:val="auto"/>
        </w:rPr>
      </w:pPr>
      <w:r>
        <w:rPr>
          <w:rFonts w:ascii="Arial" w:cs="Arial" w:eastAsia="Arial" w:hAnsi="Arial"/>
          <w:sz w:val="19"/>
          <w:szCs w:val="19"/>
          <w:color w:val="auto"/>
        </w:rPr>
        <w:t>At December 31, 2024 and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Commodity Price Risk Hedging</w:t>
      </w:r>
    </w:p>
    <w:p>
      <w:pPr>
        <w:spacing w:after="0" w:line="248" w:lineRule="exact"/>
        <w:rPr>
          <w:sz w:val="20"/>
          <w:szCs w:val="20"/>
          <w:color w:val="auto"/>
        </w:rPr>
      </w:pPr>
    </w:p>
    <w:p>
      <w:pPr>
        <w:ind w:left="7" w:right="180" w:firstLine="706"/>
        <w:spacing w:after="0" w:line="300" w:lineRule="auto"/>
        <w:rPr>
          <w:sz w:val="20"/>
          <w:szCs w:val="20"/>
          <w:color w:val="auto"/>
        </w:rPr>
      </w:pPr>
      <w:r>
        <w:rPr>
          <w:rFonts w:ascii="Arial" w:cs="Arial" w:eastAsia="Arial" w:hAnsi="Arial"/>
          <w:sz w:val="17"/>
          <w:szCs w:val="17"/>
          <w:color w:val="auto"/>
        </w:rPr>
        <w:t>Our core business activities involve certain commodity price-related risks that we manage in various ways, including through the use of derivative instruments. Our policy is to (i) only purchase inventory for which we have a sales market,</w:t>
      </w:r>
    </w:p>
    <w:p>
      <w:pPr>
        <w:spacing w:after="0" w:line="1" w:lineRule="exact"/>
        <w:rPr>
          <w:sz w:val="20"/>
          <w:szCs w:val="20"/>
          <w:color w:val="auto"/>
        </w:rPr>
      </w:pPr>
    </w:p>
    <w:p>
      <w:pPr>
        <w:ind w:left="7" w:right="60" w:hanging="7"/>
        <w:spacing w:after="0" w:line="248" w:lineRule="auto"/>
        <w:tabs>
          <w:tab w:leader="none" w:pos="296" w:val="left"/>
        </w:tabs>
        <w:numPr>
          <w:ilvl w:val="0"/>
          <w:numId w:val="93"/>
        </w:numPr>
        <w:rPr>
          <w:rFonts w:ascii="Arial" w:cs="Arial" w:eastAsia="Arial" w:hAnsi="Arial"/>
          <w:sz w:val="20"/>
          <w:szCs w:val="20"/>
          <w:color w:val="auto"/>
        </w:rPr>
      </w:pPr>
      <w:r>
        <w:rPr>
          <w:rFonts w:ascii="Arial" w:cs="Arial" w:eastAsia="Arial" w:hAnsi="Arial"/>
          <w:sz w:val="20"/>
          <w:szCs w:val="20"/>
          <w:color w:val="auto"/>
        </w:rPr>
        <w:t>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8" w:lineRule="exact"/>
        <w:rPr>
          <w:sz w:val="20"/>
          <w:szCs w:val="20"/>
          <w:color w:val="auto"/>
        </w:rPr>
      </w:pPr>
    </w:p>
    <w:p>
      <w:pPr>
        <w:ind w:left="7" w:right="180" w:firstLine="706"/>
        <w:spacing w:after="0" w:line="360" w:lineRule="auto"/>
        <w:rPr>
          <w:sz w:val="20"/>
          <w:szCs w:val="20"/>
          <w:color w:val="auto"/>
        </w:rPr>
      </w:pPr>
      <w:r>
        <w:rPr>
          <w:rFonts w:ascii="Arial" w:cs="Arial" w:eastAsia="Arial" w:hAnsi="Arial"/>
          <w:sz w:val="17"/>
          <w:szCs w:val="17"/>
          <w:color w:val="auto"/>
        </w:rPr>
        <w:t>In the normal course of our operations, we purchase and sell commodities. We use derivatives to manage the associated risks and to optimize profits. As of December 31, 2024, net derivative positions related to these activities included:</w:t>
      </w:r>
    </w:p>
    <w:p>
      <w:pPr>
        <w:spacing w:after="0" w:line="2" w:lineRule="exact"/>
        <w:rPr>
          <w:sz w:val="20"/>
          <w:szCs w:val="20"/>
          <w:color w:val="auto"/>
        </w:rPr>
      </w:pPr>
    </w:p>
    <w:p>
      <w:pPr>
        <w:ind w:left="1067" w:right="360" w:hanging="362"/>
        <w:spacing w:after="0" w:line="271" w:lineRule="auto"/>
        <w:tabs>
          <w:tab w:leader="none" w:pos="1067"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net long position of 7.4 million barrels associated with our crude oil purchases, which was unwound ratably during January 2025 to match monthly average pricing.</w:t>
      </w:r>
    </w:p>
    <w:p>
      <w:pPr>
        <w:spacing w:after="0" w:line="68" w:lineRule="exact"/>
        <w:rPr>
          <w:rFonts w:ascii="Arial" w:cs="Arial" w:eastAsia="Arial" w:hAnsi="Arial"/>
          <w:sz w:val="20"/>
          <w:szCs w:val="20"/>
          <w:color w:val="auto"/>
        </w:rPr>
      </w:pPr>
    </w:p>
    <w:p>
      <w:pPr>
        <w:ind w:left="1067" w:right="240" w:hanging="362"/>
        <w:spacing w:after="0" w:line="271" w:lineRule="auto"/>
        <w:tabs>
          <w:tab w:leader="none" w:pos="1067"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net short time spread position of 4.8 million barrels, which hedges a portion of our anticipated crude oil lease gathering purchases through November 2025.</w:t>
      </w:r>
    </w:p>
    <w:p>
      <w:pPr>
        <w:spacing w:after="0" w:line="68" w:lineRule="exact"/>
        <w:rPr>
          <w:rFonts w:ascii="Arial" w:cs="Arial" w:eastAsia="Arial" w:hAnsi="Arial"/>
          <w:sz w:val="20"/>
          <w:szCs w:val="20"/>
          <w:color w:val="auto"/>
        </w:rPr>
      </w:pPr>
    </w:p>
    <w:p>
      <w:pPr>
        <w:ind w:left="1067" w:right="280" w:hanging="362"/>
        <w:spacing w:after="0" w:line="271" w:lineRule="auto"/>
        <w:tabs>
          <w:tab w:leader="none" w:pos="1067"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net crude oil basis spread position of 1.8 million barrels at multiple locations through December 2025. These derivatives allow us to lock in grade and location basis differentials.</w:t>
      </w:r>
    </w:p>
    <w:p>
      <w:pPr>
        <w:spacing w:after="0" w:line="68" w:lineRule="exact"/>
        <w:rPr>
          <w:rFonts w:ascii="Arial" w:cs="Arial" w:eastAsia="Arial" w:hAnsi="Arial"/>
          <w:sz w:val="20"/>
          <w:szCs w:val="20"/>
          <w:color w:val="auto"/>
        </w:rPr>
      </w:pPr>
    </w:p>
    <w:p>
      <w:pPr>
        <w:ind w:left="1067" w:hanging="362"/>
        <w:spacing w:after="0" w:line="271" w:lineRule="auto"/>
        <w:tabs>
          <w:tab w:leader="none" w:pos="1067"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net short position of 16.7 million barrels through December 2028 related to anticipated net sales of crude oil and NGL inventory.</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F-38</w:t>
      </w:r>
    </w:p>
    <w:p>
      <w:pPr>
        <w:sectPr>
          <w:pgSz w:w="11880" w:h="15480" w:orient="portrait"/>
          <w:cols w:equalWidth="0" w:num="1">
            <w:col w:w="10047"/>
          </w:cols>
          <w:pgMar w:left="913" w:top="337" w:right="920" w:bottom="0" w:gutter="0" w:footer="0" w:header="0"/>
          <w:type w:val="continuous"/>
        </w:sectPr>
      </w:pPr>
    </w:p>
    <w:bookmarkStart w:id="144" w:name="page145"/>
    <w:bookmarkEnd w:id="144"/>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 w:right="60" w:firstLine="706"/>
        <w:spacing w:after="0" w:line="250" w:lineRule="auto"/>
        <w:rPr>
          <w:sz w:val="20"/>
          <w:szCs w:val="20"/>
          <w:color w:val="auto"/>
        </w:rPr>
      </w:pPr>
      <w:r>
        <w:rPr>
          <w:rFonts w:ascii="Arial" w:cs="Arial" w:eastAsia="Arial" w:hAnsi="Arial"/>
          <w:sz w:val="20"/>
          <w:szCs w:val="20"/>
          <w:color w:val="auto"/>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2024.</w:t>
      </w:r>
    </w:p>
    <w:p>
      <w:pPr>
        <w:spacing w:after="0" w:line="278"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8"/>
              </w:rPr>
              <w:t>Notional Volume</w:t>
            </w:r>
          </w:p>
        </w:tc>
        <w:tc>
          <w:tcPr>
            <w:tcW w:w="6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Remaining Tenor</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(Short)/Long</w:t>
            </w:r>
          </w:p>
        </w:tc>
        <w:tc>
          <w:tcPr>
            <w:tcW w:w="6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840" w:type="dxa"/>
            <w:vAlign w:val="bottom"/>
          </w:tcPr>
          <w:p>
            <w:pPr>
              <w:spacing w:after="0"/>
              <w:rPr>
                <w:sz w:val="20"/>
                <w:szCs w:val="20"/>
                <w:color w:val="auto"/>
              </w:rPr>
            </w:pPr>
            <w:r>
              <w:rPr>
                <w:rFonts w:ascii="Arial" w:cs="Arial" w:eastAsia="Arial" w:hAnsi="Arial"/>
                <w:sz w:val="20"/>
                <w:szCs w:val="20"/>
                <w:color w:val="auto"/>
              </w:rPr>
              <w:t>Natural gas purchases</w:t>
            </w:r>
          </w:p>
        </w:tc>
        <w:tc>
          <w:tcPr>
            <w:tcW w:w="1560" w:type="dxa"/>
            <w:vAlign w:val="bottom"/>
          </w:tcPr>
          <w:p>
            <w:pPr>
              <w:jc w:val="center"/>
              <w:spacing w:after="0"/>
              <w:rPr>
                <w:sz w:val="20"/>
                <w:szCs w:val="20"/>
                <w:color w:val="auto"/>
              </w:rPr>
            </w:pPr>
            <w:r>
              <w:rPr>
                <w:rFonts w:ascii="Arial" w:cs="Arial" w:eastAsia="Arial" w:hAnsi="Arial"/>
                <w:sz w:val="20"/>
                <w:szCs w:val="20"/>
                <w:color w:val="auto"/>
                <w:w w:val="92"/>
              </w:rPr>
              <w:t>49.3 Bcf</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color w:val="auto"/>
                <w:w w:val="85"/>
              </w:rPr>
              <w:t>June 2026</w:t>
            </w:r>
          </w:p>
        </w:tc>
        <w:tc>
          <w:tcPr>
            <w:tcW w:w="0" w:type="dxa"/>
            <w:vAlign w:val="bottom"/>
          </w:tcPr>
          <w:p>
            <w:pPr>
              <w:spacing w:after="0"/>
              <w:rPr>
                <w:sz w:val="1"/>
                <w:szCs w:val="1"/>
                <w:color w:val="auto"/>
              </w:rPr>
            </w:pPr>
          </w:p>
        </w:tc>
      </w:tr>
      <w:tr>
        <w:trPr>
          <w:trHeight w:val="309"/>
        </w:trPr>
        <w:tc>
          <w:tcPr>
            <w:tcW w:w="6840" w:type="dxa"/>
            <w:vAlign w:val="bottom"/>
          </w:tcPr>
          <w:p>
            <w:pPr>
              <w:spacing w:after="0"/>
              <w:rPr>
                <w:sz w:val="20"/>
                <w:szCs w:val="20"/>
                <w:color w:val="auto"/>
              </w:rPr>
            </w:pPr>
            <w:r>
              <w:rPr>
                <w:rFonts w:ascii="Arial" w:cs="Arial" w:eastAsia="Arial" w:hAnsi="Arial"/>
                <w:sz w:val="20"/>
                <w:szCs w:val="20"/>
                <w:color w:val="auto"/>
              </w:rPr>
              <w:t>Propane sales</w:t>
            </w:r>
          </w:p>
        </w:tc>
        <w:tc>
          <w:tcPr>
            <w:tcW w:w="1560" w:type="dxa"/>
            <w:vAlign w:val="bottom"/>
          </w:tcPr>
          <w:p>
            <w:pPr>
              <w:jc w:val="center"/>
              <w:spacing w:after="0"/>
              <w:rPr>
                <w:sz w:val="20"/>
                <w:szCs w:val="20"/>
                <w:color w:val="auto"/>
              </w:rPr>
            </w:pPr>
            <w:r>
              <w:rPr>
                <w:rFonts w:ascii="Arial" w:cs="Arial" w:eastAsia="Arial" w:hAnsi="Arial"/>
                <w:sz w:val="20"/>
                <w:szCs w:val="20"/>
                <w:color w:val="auto"/>
                <w:w w:val="94"/>
              </w:rPr>
              <w:t>(8.8) MMbls</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color w:val="auto"/>
                <w:w w:val="85"/>
              </w:rPr>
              <w:t>June 2026</w:t>
            </w:r>
          </w:p>
        </w:tc>
        <w:tc>
          <w:tcPr>
            <w:tcW w:w="0" w:type="dxa"/>
            <w:vAlign w:val="bottom"/>
          </w:tcPr>
          <w:p>
            <w:pPr>
              <w:spacing w:after="0"/>
              <w:rPr>
                <w:sz w:val="1"/>
                <w:szCs w:val="1"/>
                <w:color w:val="auto"/>
              </w:rPr>
            </w:pPr>
          </w:p>
        </w:tc>
      </w:tr>
      <w:tr>
        <w:trPr>
          <w:trHeight w:val="309"/>
        </w:trPr>
        <w:tc>
          <w:tcPr>
            <w:tcW w:w="6840" w:type="dxa"/>
            <w:vAlign w:val="bottom"/>
          </w:tcPr>
          <w:p>
            <w:pPr>
              <w:spacing w:after="0"/>
              <w:rPr>
                <w:sz w:val="20"/>
                <w:szCs w:val="20"/>
                <w:color w:val="auto"/>
              </w:rPr>
            </w:pPr>
            <w:r>
              <w:rPr>
                <w:rFonts w:ascii="Arial" w:cs="Arial" w:eastAsia="Arial" w:hAnsi="Arial"/>
                <w:sz w:val="20"/>
                <w:szCs w:val="20"/>
                <w:color w:val="auto"/>
              </w:rPr>
              <w:t>Butane sales</w:t>
            </w:r>
          </w:p>
        </w:tc>
        <w:tc>
          <w:tcPr>
            <w:tcW w:w="1560" w:type="dxa"/>
            <w:vAlign w:val="bottom"/>
          </w:tcPr>
          <w:p>
            <w:pPr>
              <w:jc w:val="center"/>
              <w:spacing w:after="0"/>
              <w:rPr>
                <w:sz w:val="20"/>
                <w:szCs w:val="20"/>
                <w:color w:val="auto"/>
              </w:rPr>
            </w:pPr>
            <w:r>
              <w:rPr>
                <w:rFonts w:ascii="Arial" w:cs="Arial" w:eastAsia="Arial" w:hAnsi="Arial"/>
                <w:sz w:val="20"/>
                <w:szCs w:val="20"/>
                <w:color w:val="auto"/>
                <w:w w:val="94"/>
              </w:rPr>
              <w:t>(1.3) MMbls</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color w:val="auto"/>
                <w:w w:val="87"/>
              </w:rPr>
              <w:t>December 2025</w:t>
            </w:r>
          </w:p>
        </w:tc>
        <w:tc>
          <w:tcPr>
            <w:tcW w:w="0" w:type="dxa"/>
            <w:vAlign w:val="bottom"/>
          </w:tcPr>
          <w:p>
            <w:pPr>
              <w:spacing w:after="0"/>
              <w:rPr>
                <w:sz w:val="1"/>
                <w:szCs w:val="1"/>
                <w:color w:val="auto"/>
              </w:rPr>
            </w:pPr>
          </w:p>
        </w:tc>
      </w:tr>
      <w:tr>
        <w:trPr>
          <w:trHeight w:val="309"/>
        </w:trPr>
        <w:tc>
          <w:tcPr>
            <w:tcW w:w="6840" w:type="dxa"/>
            <w:vAlign w:val="bottom"/>
          </w:tcPr>
          <w:p>
            <w:pPr>
              <w:spacing w:after="0"/>
              <w:rPr>
                <w:sz w:val="20"/>
                <w:szCs w:val="20"/>
                <w:color w:val="auto"/>
              </w:rPr>
            </w:pPr>
            <w:r>
              <w:rPr>
                <w:rFonts w:ascii="Arial" w:cs="Arial" w:eastAsia="Arial" w:hAnsi="Arial"/>
                <w:sz w:val="20"/>
                <w:szCs w:val="20"/>
                <w:color w:val="auto"/>
              </w:rPr>
              <w:t>Condensate sales</w:t>
            </w:r>
          </w:p>
        </w:tc>
        <w:tc>
          <w:tcPr>
            <w:tcW w:w="1560" w:type="dxa"/>
            <w:vAlign w:val="bottom"/>
          </w:tcPr>
          <w:p>
            <w:pPr>
              <w:jc w:val="center"/>
              <w:spacing w:after="0"/>
              <w:rPr>
                <w:sz w:val="20"/>
                <w:szCs w:val="20"/>
                <w:color w:val="auto"/>
              </w:rPr>
            </w:pPr>
            <w:r>
              <w:rPr>
                <w:rFonts w:ascii="Arial" w:cs="Arial" w:eastAsia="Arial" w:hAnsi="Arial"/>
                <w:sz w:val="20"/>
                <w:szCs w:val="20"/>
                <w:color w:val="auto"/>
                <w:w w:val="94"/>
              </w:rPr>
              <w:t>(2.3) MMbls</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color w:val="auto"/>
                <w:w w:val="87"/>
              </w:rPr>
              <w:t>December 2025</w:t>
            </w:r>
          </w:p>
        </w:tc>
        <w:tc>
          <w:tcPr>
            <w:tcW w:w="0" w:type="dxa"/>
            <w:vAlign w:val="bottom"/>
          </w:tcPr>
          <w:p>
            <w:pPr>
              <w:spacing w:after="0"/>
              <w:rPr>
                <w:sz w:val="1"/>
                <w:szCs w:val="1"/>
                <w:color w:val="auto"/>
              </w:rPr>
            </w:pPr>
          </w:p>
        </w:tc>
      </w:tr>
      <w:tr>
        <w:trPr>
          <w:trHeight w:val="345"/>
        </w:trPr>
        <w:tc>
          <w:tcPr>
            <w:tcW w:w="6840" w:type="dxa"/>
            <w:vAlign w:val="bottom"/>
          </w:tcPr>
          <w:p>
            <w:pPr>
              <w:spacing w:after="0"/>
              <w:rPr>
                <w:sz w:val="20"/>
                <w:szCs w:val="20"/>
                <w:color w:val="auto"/>
              </w:rPr>
            </w:pPr>
            <w:r>
              <w:rPr>
                <w:rFonts w:ascii="Arial" w:cs="Arial" w:eastAsia="Arial" w:hAnsi="Arial"/>
                <w:sz w:val="20"/>
                <w:szCs w:val="20"/>
                <w:color w:val="auto"/>
              </w:rPr>
              <w:t xml:space="preserve">Fuel gas requirements </w:t>
            </w:r>
            <w:r>
              <w:rPr>
                <w:rFonts w:ascii="Arial" w:cs="Arial" w:eastAsia="Arial" w:hAnsi="Arial"/>
                <w:sz w:val="25"/>
                <w:szCs w:val="25"/>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20"/>
                <w:szCs w:val="20"/>
                <w:color w:val="auto"/>
                <w:w w:val="89"/>
              </w:rPr>
              <w:t>2.7 Bcf</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color w:val="auto"/>
                <w:w w:val="87"/>
              </w:rPr>
              <w:t>December 2025</w:t>
            </w: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Arial" w:cs="Arial" w:eastAsia="Arial" w:hAnsi="Arial"/>
                <w:sz w:val="20"/>
                <w:szCs w:val="20"/>
                <w:color w:val="auto"/>
              </w:rPr>
              <w:t xml:space="preserve">Power supply requirements </w:t>
            </w:r>
            <w:r>
              <w:rPr>
                <w:rFonts w:ascii="Arial" w:cs="Arial" w:eastAsia="Arial" w:hAnsi="Arial"/>
                <w:sz w:val="25"/>
                <w:szCs w:val="25"/>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20"/>
                <w:szCs w:val="20"/>
                <w:color w:val="auto"/>
                <w:w w:val="89"/>
              </w:rPr>
              <w:t>2.1 TWh</w:t>
            </w:r>
          </w:p>
        </w:tc>
        <w:tc>
          <w:tcPr>
            <w:tcW w:w="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color w:val="auto"/>
                <w:w w:val="87"/>
              </w:rPr>
              <w:t>December 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-1219835</wp:posOffset>
            </wp:positionV>
            <wp:extent cx="6410325" cy="130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8">
                      <a:extLst>
                        <a:ext uri="{28A0092B-C50C-407E-A947-70E740481C1C}"/>
                      </a:extLst>
                    </a:blip>
                    <a:srcRect/>
                    <a:stretch>
                      <a:fillRect/>
                    </a:stretch>
                  </pic:blipFill>
                  <pic:spPr bwMode="auto">
                    <a:xfrm>
                      <a:off x="0" y="0"/>
                      <a:ext cx="6410325" cy="1304290"/>
                    </a:xfrm>
                    <a:prstGeom prst="rect">
                      <a:avLst/>
                    </a:prstGeom>
                    <a:noFill/>
                  </pic:spPr>
                </pic:pic>
              </a:graphicData>
            </a:graphic>
          </wp:anchor>
        </w:drawing>
      </w:r>
    </w:p>
    <w:p>
      <w:pPr>
        <w:spacing w:after="0" w:line="139" w:lineRule="exact"/>
        <w:rPr>
          <w:sz w:val="20"/>
          <w:szCs w:val="20"/>
          <w:color w:val="auto"/>
        </w:rPr>
      </w:pPr>
    </w:p>
    <w:p>
      <w:pPr>
        <w:ind w:left="707" w:right="40" w:hanging="707"/>
        <w:spacing w:after="0" w:line="227" w:lineRule="auto"/>
        <w:tabs>
          <w:tab w:leader="none" w:pos="707" w:val="left"/>
        </w:tabs>
        <w:numPr>
          <w:ilvl w:val="0"/>
          <w:numId w:val="95"/>
        </w:numPr>
        <w:rPr>
          <w:rFonts w:ascii="Arial" w:cs="Arial" w:eastAsia="Arial" w:hAnsi="Arial"/>
          <w:sz w:val="25"/>
          <w:szCs w:val="25"/>
          <w:color w:val="auto"/>
          <w:vertAlign w:val="superscript"/>
        </w:rPr>
      </w:pPr>
      <w:r>
        <w:rPr>
          <w:rFonts w:ascii="Arial" w:cs="Arial" w:eastAsia="Arial" w:hAnsi="Arial"/>
          <w:sz w:val="20"/>
          <w:szCs w:val="20"/>
          <w:color w:val="auto"/>
        </w:rPr>
        <w:t>Positions to hedge a portion of our power supply and fuel gas requirements at our Canadian natural gas processing and fractionation plants.</w:t>
      </w:r>
    </w:p>
    <w:p>
      <w:pPr>
        <w:spacing w:after="0" w:line="216" w:lineRule="exact"/>
        <w:rPr>
          <w:sz w:val="20"/>
          <w:szCs w:val="20"/>
          <w:color w:val="auto"/>
        </w:rPr>
      </w:pPr>
    </w:p>
    <w:p>
      <w:pPr>
        <w:ind w:left="7" w:right="240" w:firstLine="706"/>
        <w:spacing w:after="0" w:line="254" w:lineRule="auto"/>
        <w:rPr>
          <w:sz w:val="20"/>
          <w:szCs w:val="20"/>
          <w:color w:val="auto"/>
        </w:rPr>
      </w:pPr>
      <w:r>
        <w:rPr>
          <w:rFonts w:ascii="Arial" w:cs="Arial" w:eastAsia="Arial" w:hAnsi="Arial"/>
          <w:sz w:val="20"/>
          <w:szCs w:val="20"/>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2" w:lineRule="exact"/>
        <w:rPr>
          <w:sz w:val="20"/>
          <w:szCs w:val="20"/>
          <w:color w:val="auto"/>
        </w:rPr>
      </w:pPr>
    </w:p>
    <w:p>
      <w:pPr>
        <w:jc w:val="both"/>
        <w:ind w:left="7" w:right="140" w:firstLine="706"/>
        <w:spacing w:after="0" w:line="258" w:lineRule="auto"/>
        <w:rPr>
          <w:sz w:val="20"/>
          <w:szCs w:val="20"/>
          <w:color w:val="auto"/>
        </w:rPr>
      </w:pPr>
      <w:r>
        <w:rPr>
          <w:rFonts w:ascii="Arial" w:cs="Arial" w:eastAsia="Arial" w:hAnsi="Arial"/>
          <w:sz w:val="20"/>
          <w:szCs w:val="20"/>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87" w:lineRule="exact"/>
        <w:rPr>
          <w:sz w:val="20"/>
          <w:szCs w:val="20"/>
          <w:color w:val="auto"/>
        </w:rPr>
      </w:pPr>
    </w:p>
    <w:tbl>
      <w:tblPr>
        <w:tblLayout w:type="fixed"/>
        <w:tblInd w:w="67"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2022</w:t>
            </w:r>
          </w:p>
        </w:tc>
      </w:tr>
      <w:tr>
        <w:trPr>
          <w:trHeight w:val="270"/>
        </w:trPr>
        <w:tc>
          <w:tcPr>
            <w:tcW w:w="6000" w:type="dxa"/>
            <w:vAlign w:val="bottom"/>
          </w:tcPr>
          <w:p>
            <w:pPr>
              <w:spacing w:after="0"/>
              <w:rPr>
                <w:sz w:val="20"/>
                <w:szCs w:val="20"/>
                <w:color w:val="auto"/>
              </w:rPr>
            </w:pPr>
            <w:r>
              <w:rPr>
                <w:rFonts w:ascii="Arial" w:cs="Arial" w:eastAsia="Arial" w:hAnsi="Arial"/>
                <w:sz w:val="20"/>
                <w:szCs w:val="20"/>
                <w:color w:val="auto"/>
              </w:rPr>
              <w:t>Product sales revenues</w:t>
            </w:r>
          </w:p>
        </w:tc>
        <w:tc>
          <w:tcPr>
            <w:tcW w:w="820" w:type="dxa"/>
            <w:vAlign w:val="bottom"/>
          </w:tcPr>
          <w:p>
            <w:pPr>
              <w:jc w:val="right"/>
              <w:ind w:right="589"/>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w w:val="89"/>
              </w:rPr>
              <w:t>(223)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13</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179</w:t>
            </w:r>
          </w:p>
        </w:tc>
      </w:tr>
      <w:tr>
        <w:trPr>
          <w:trHeight w:val="298"/>
        </w:trPr>
        <w:tc>
          <w:tcPr>
            <w:tcW w:w="6000" w:type="dxa"/>
            <w:vAlign w:val="bottom"/>
          </w:tcPr>
          <w:p>
            <w:pPr>
              <w:spacing w:after="0"/>
              <w:rPr>
                <w:sz w:val="20"/>
                <w:szCs w:val="20"/>
                <w:color w:val="auto"/>
              </w:rPr>
            </w:pPr>
            <w:r>
              <w:rPr>
                <w:rFonts w:ascii="Arial" w:cs="Arial" w:eastAsia="Arial" w:hAnsi="Arial"/>
                <w:sz w:val="20"/>
                <w:szCs w:val="20"/>
                <w:color w:val="auto"/>
              </w:rPr>
              <w:t>Field operating costs</w:t>
            </w: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w:t>
            </w:r>
          </w:p>
        </w:tc>
      </w:tr>
      <w:tr>
        <w:trPr>
          <w:trHeight w:val="254"/>
        </w:trPr>
        <w:tc>
          <w:tcPr>
            <w:tcW w:w="6000" w:type="dxa"/>
            <w:vAlign w:val="bottom"/>
          </w:tcPr>
          <w:p>
            <w:pPr>
              <w:ind w:left="100"/>
              <w:spacing w:after="0"/>
              <w:rPr>
                <w:sz w:val="20"/>
                <w:szCs w:val="20"/>
                <w:color w:val="auto"/>
              </w:rPr>
            </w:pPr>
            <w:r>
              <w:rPr>
                <w:rFonts w:ascii="Arial" w:cs="Arial" w:eastAsia="Arial" w:hAnsi="Arial"/>
                <w:sz w:val="20"/>
                <w:szCs w:val="20"/>
                <w:color w:val="auto"/>
              </w:rPr>
              <w:t>Net gain/(loss) from commodity derivative activity</w:t>
            </w:r>
          </w:p>
        </w:tc>
        <w:tc>
          <w:tcPr>
            <w:tcW w:w="820" w:type="dxa"/>
            <w:vAlign w:val="bottom"/>
          </w:tcPr>
          <w:p>
            <w:pPr>
              <w:jc w:val="right"/>
              <w:ind w:right="589"/>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w w:val="89"/>
              </w:rPr>
              <w:t>(255)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(32)</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238</w:t>
            </w:r>
          </w:p>
        </w:tc>
      </w:tr>
      <w:tr>
        <w:trPr>
          <w:trHeight w:val="20"/>
        </w:trPr>
        <w:tc>
          <w:tcPr>
            <w:tcW w:w="6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-591185</wp:posOffset>
            </wp:positionV>
            <wp:extent cx="6400800" cy="5981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9">
                      <a:extLst>
                        <a:ext uri="{28A0092B-C50C-407E-A947-70E740481C1C}"/>
                      </a:extLst>
                    </a:blip>
                    <a:srcRect/>
                    <a:stretch>
                      <a:fillRect/>
                    </a:stretch>
                  </pic:blipFill>
                  <pic:spPr bwMode="auto">
                    <a:xfrm>
                      <a:off x="0" y="0"/>
                      <a:ext cx="6400800" cy="598170"/>
                    </a:xfrm>
                    <a:prstGeom prst="rect">
                      <a:avLst/>
                    </a:prstGeom>
                    <a:noFill/>
                  </pic:spPr>
                </pic:pic>
              </a:graphicData>
            </a:graphic>
          </wp:anchor>
        </w:drawing>
      </w:r>
    </w:p>
    <w:p>
      <w:pPr>
        <w:spacing w:after="0" w:line="223" w:lineRule="exact"/>
        <w:rPr>
          <w:sz w:val="20"/>
          <w:szCs w:val="20"/>
          <w:color w:val="auto"/>
        </w:rPr>
      </w:pPr>
    </w:p>
    <w:p>
      <w:pPr>
        <w:ind w:left="7" w:right="120" w:firstLine="706"/>
        <w:spacing w:after="0" w:line="303"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54"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30"/>
        </w:trPr>
        <w:tc>
          <w:tcPr>
            <w:tcW w:w="7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w w:val="89"/>
              </w:rPr>
              <w:t>2023</w:t>
            </w:r>
          </w:p>
        </w:tc>
      </w:tr>
      <w:tr>
        <w:trPr>
          <w:trHeight w:val="270"/>
        </w:trPr>
        <w:tc>
          <w:tcPr>
            <w:tcW w:w="7380" w:type="dxa"/>
            <w:vAlign w:val="bottom"/>
          </w:tcPr>
          <w:p>
            <w:pPr>
              <w:spacing w:after="0"/>
              <w:rPr>
                <w:sz w:val="20"/>
                <w:szCs w:val="20"/>
                <w:color w:val="auto"/>
              </w:rPr>
            </w:pPr>
            <w:r>
              <w:rPr>
                <w:rFonts w:ascii="Arial" w:cs="Arial" w:eastAsia="Arial" w:hAnsi="Arial"/>
                <w:sz w:val="20"/>
                <w:szCs w:val="20"/>
                <w:color w:val="auto"/>
              </w:rPr>
              <w:t>Initial margin</w:t>
            </w:r>
          </w:p>
        </w:tc>
        <w:tc>
          <w:tcPr>
            <w:tcW w:w="820" w:type="dxa"/>
            <w:vAlign w:val="bottom"/>
          </w:tcPr>
          <w:p>
            <w:pPr>
              <w:jc w:val="right"/>
              <w:ind w:right="589"/>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53</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94"/>
        </w:trPr>
        <w:tc>
          <w:tcPr>
            <w:tcW w:w="7380" w:type="dxa"/>
            <w:vAlign w:val="bottom"/>
          </w:tcPr>
          <w:p>
            <w:pPr>
              <w:spacing w:after="0"/>
              <w:rPr>
                <w:sz w:val="20"/>
                <w:szCs w:val="20"/>
                <w:color w:val="auto"/>
              </w:rPr>
            </w:pPr>
            <w:r>
              <w:rPr>
                <w:rFonts w:ascii="Arial" w:cs="Arial" w:eastAsia="Arial" w:hAnsi="Arial"/>
                <w:sz w:val="20"/>
                <w:szCs w:val="20"/>
                <w:color w:val="auto"/>
              </w:rPr>
              <w:t>Variation margin posted/(returned)</w:t>
            </w: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49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98"/>
        </w:trPr>
        <w:tc>
          <w:tcPr>
            <w:tcW w:w="7380" w:type="dxa"/>
            <w:vAlign w:val="bottom"/>
          </w:tcPr>
          <w:p>
            <w:pPr>
              <w:spacing w:after="0"/>
              <w:rPr>
                <w:sz w:val="20"/>
                <w:szCs w:val="20"/>
                <w:color w:val="auto"/>
              </w:rPr>
            </w:pPr>
            <w:r>
              <w:rPr>
                <w:rFonts w:ascii="Arial" w:cs="Arial" w:eastAsia="Arial" w:hAnsi="Arial"/>
                <w:sz w:val="20"/>
                <w:szCs w:val="20"/>
                <w:color w:val="auto"/>
              </w:rPr>
              <w:t>Letters of credit</w:t>
            </w: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254"/>
        </w:trPr>
        <w:tc>
          <w:tcPr>
            <w:tcW w:w="7380" w:type="dxa"/>
            <w:vAlign w:val="bottom"/>
          </w:tcPr>
          <w:p>
            <w:pPr>
              <w:ind w:left="120"/>
              <w:spacing w:after="0"/>
              <w:rPr>
                <w:sz w:val="20"/>
                <w:szCs w:val="20"/>
                <w:color w:val="auto"/>
              </w:rPr>
            </w:pPr>
            <w:r>
              <w:rPr>
                <w:rFonts w:ascii="Arial" w:cs="Arial" w:eastAsia="Arial" w:hAnsi="Arial"/>
                <w:sz w:val="20"/>
                <w:szCs w:val="20"/>
                <w:color w:val="auto"/>
              </w:rPr>
              <w:t>Net broker receivable/(payable)</w:t>
            </w:r>
          </w:p>
        </w:tc>
        <w:tc>
          <w:tcPr>
            <w:tcW w:w="820" w:type="dxa"/>
            <w:vAlign w:val="bottom"/>
          </w:tcPr>
          <w:p>
            <w:pPr>
              <w:jc w:val="right"/>
              <w:ind w:right="589"/>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72</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0"/>
        </w:trPr>
        <w:tc>
          <w:tcPr>
            <w:tcW w:w="7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-777875</wp:posOffset>
            </wp:positionV>
            <wp:extent cx="6410325" cy="784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0">
                      <a:extLst>
                        <a:ext uri="{28A0092B-C50C-407E-A947-70E740481C1C}"/>
                      </a:extLst>
                    </a:blip>
                    <a:srcRect/>
                    <a:stretch>
                      <a:fillRect/>
                    </a:stretch>
                  </pic:blipFill>
                  <pic:spPr bwMode="auto">
                    <a:xfrm>
                      <a:off x="0" y="0"/>
                      <a:ext cx="6410325" cy="784860"/>
                    </a:xfrm>
                    <a:prstGeom prst="rect">
                      <a:avLst/>
                    </a:prstGeom>
                    <a:noFill/>
                  </pic:spPr>
                </pic:pic>
              </a:graphicData>
            </a:graphic>
          </wp:anchor>
        </w:drawing>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F-39</w:t>
      </w:r>
    </w:p>
    <w:p>
      <w:pPr>
        <w:sectPr>
          <w:pgSz w:w="11880" w:h="15480" w:orient="portrait"/>
          <w:cols w:equalWidth="0" w:num="1">
            <w:col w:w="10047"/>
          </w:cols>
          <w:pgMar w:left="913" w:top="337" w:right="920" w:bottom="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right="140" w:firstLine="706"/>
        <w:spacing w:after="0" w:line="251" w:lineRule="auto"/>
        <w:rPr>
          <w:sz w:val="20"/>
          <w:szCs w:val="20"/>
          <w:color w:val="auto"/>
        </w:rPr>
      </w:pPr>
      <w:r>
        <w:rPr>
          <w:rFonts w:ascii="Arial" w:cs="Arial" w:eastAsia="Arial" w:hAnsi="Arial"/>
          <w:sz w:val="20"/>
          <w:szCs w:val="20"/>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6"/>
                <w:szCs w:val="16"/>
                <w:b w:val="1"/>
                <w:bCs w:val="1"/>
                <w:color w:val="auto"/>
                <w:w w:val="91"/>
              </w:rPr>
              <w:t>December 31, 2024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6"/>
                <w:szCs w:val="16"/>
                <w:b w:val="1"/>
                <w:bCs w:val="1"/>
                <w:color w:val="auto"/>
                <w:w w:val="91"/>
              </w:rPr>
              <w:t>December 31, 2023</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240"/>
              <w:spacing w:after="0" w:line="177" w:lineRule="exact"/>
              <w:rPr>
                <w:sz w:val="20"/>
                <w:szCs w:val="20"/>
                <w:color w:val="auto"/>
              </w:rPr>
            </w:pPr>
            <w:r>
              <w:rPr>
                <w:rFonts w:ascii="Arial" w:cs="Arial" w:eastAsia="Arial" w:hAnsi="Arial"/>
                <w:sz w:val="16"/>
                <w:szCs w:val="16"/>
                <w:b w:val="1"/>
                <w:bCs w:val="1"/>
                <w:color w:val="auto"/>
                <w:w w:val="92"/>
              </w:rPr>
              <w:t>Net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73"/>
              <w:spacing w:after="0" w:line="177" w:lineRule="exact"/>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jc w:val="center"/>
              <w:ind w:right="80"/>
              <w:spacing w:after="0" w:line="157" w:lineRule="exact"/>
              <w:rPr>
                <w:sz w:val="20"/>
                <w:szCs w:val="20"/>
                <w:color w:val="auto"/>
              </w:rPr>
            </w:pPr>
            <w:r>
              <w:rPr>
                <w:rFonts w:ascii="Arial" w:cs="Arial" w:eastAsia="Arial" w:hAnsi="Arial"/>
                <w:sz w:val="16"/>
                <w:szCs w:val="16"/>
                <w:b w:val="1"/>
                <w:bCs w:val="1"/>
                <w:color w:val="auto"/>
                <w:w w:val="94"/>
              </w:rPr>
              <w:t>Carrying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1"/>
              </w:rPr>
              <w:t>Carrying</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Arial" w:cs="Arial" w:eastAsia="Arial" w:hAnsi="Arial"/>
                <w:sz w:val="16"/>
                <w:szCs w:val="16"/>
                <w:b w:val="1"/>
                <w:bCs w:val="1"/>
                <w:color w:val="auto"/>
                <w:w w:val="93"/>
              </w:rPr>
              <w:t>Value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73"/>
              <w:spacing w:after="0" w:line="157" w:lineRule="exact"/>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88"/>
              <w:spacing w:after="0"/>
              <w:rPr>
                <w:sz w:val="20"/>
                <w:szCs w:val="20"/>
                <w:color w:val="auto"/>
              </w:rPr>
            </w:pPr>
            <w:r>
              <w:rPr>
                <w:rFonts w:ascii="Arial" w:cs="Arial" w:eastAsia="Arial" w:hAnsi="Arial"/>
                <w:sz w:val="16"/>
                <w:szCs w:val="16"/>
                <w:b w:val="1"/>
                <w:bCs w:val="1"/>
                <w:color w:val="auto"/>
                <w:w w:val="87"/>
              </w:rPr>
              <w:t>Effect of</w:t>
            </w:r>
          </w:p>
        </w:tc>
        <w:tc>
          <w:tcPr>
            <w:tcW w:w="40" w:type="dxa"/>
            <w:vAlign w:val="bottom"/>
          </w:tcPr>
          <w:p>
            <w:pPr>
              <w:spacing w:after="0"/>
              <w:rPr>
                <w:sz w:val="13"/>
                <w:szCs w:val="13"/>
                <w:color w:val="auto"/>
              </w:rPr>
            </w:pPr>
          </w:p>
        </w:tc>
        <w:tc>
          <w:tcPr>
            <w:tcW w:w="980" w:type="dxa"/>
            <w:vAlign w:val="bottom"/>
            <w:gridSpan w:val="3"/>
          </w:tcPr>
          <w:p>
            <w:pPr>
              <w:jc w:val="center"/>
              <w:ind w:right="80"/>
              <w:spacing w:after="0" w:line="157" w:lineRule="exact"/>
              <w:rPr>
                <w:sz w:val="20"/>
                <w:szCs w:val="20"/>
                <w:color w:val="auto"/>
              </w:rPr>
            </w:pPr>
            <w:r>
              <w:rPr>
                <w:rFonts w:ascii="Arial" w:cs="Arial" w:eastAsia="Arial" w:hAnsi="Arial"/>
                <w:sz w:val="16"/>
                <w:szCs w:val="16"/>
                <w:b w:val="1"/>
                <w:bCs w:val="1"/>
                <w:color w:val="auto"/>
                <w:w w:val="85"/>
              </w:rPr>
              <w:t>Presented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88"/>
              <w:spacing w:after="0"/>
              <w:rPr>
                <w:sz w:val="20"/>
                <w:szCs w:val="20"/>
                <w:color w:val="auto"/>
              </w:rPr>
            </w:pPr>
            <w:r>
              <w:rPr>
                <w:rFonts w:ascii="Arial" w:cs="Arial" w:eastAsia="Arial" w:hAnsi="Arial"/>
                <w:sz w:val="16"/>
                <w:szCs w:val="16"/>
                <w:b w:val="1"/>
                <w:bCs w:val="1"/>
                <w:color w:val="auto"/>
                <w:w w:val="87"/>
              </w:rPr>
              <w:t>Effect of</w:t>
            </w:r>
          </w:p>
        </w:tc>
        <w:tc>
          <w:tcPr>
            <w:tcW w:w="60" w:type="dxa"/>
            <w:vAlign w:val="bottom"/>
          </w:tcPr>
          <w:p>
            <w:pPr>
              <w:spacing w:after="0"/>
              <w:rPr>
                <w:sz w:val="13"/>
                <w:szCs w:val="13"/>
                <w:color w:val="auto"/>
              </w:rPr>
            </w:pPr>
          </w:p>
        </w:tc>
        <w:tc>
          <w:tcPr>
            <w:tcW w:w="8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7"/>
              </w:rPr>
              <w:t>Presented</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1860" w:type="dxa"/>
            <w:vAlign w:val="bottom"/>
            <w:gridSpan w:val="5"/>
            <w:vMerge w:val="restart"/>
          </w:tcPr>
          <w:p>
            <w:pPr>
              <w:jc w:val="right"/>
              <w:ind w:right="45"/>
              <w:spacing w:after="0"/>
              <w:rPr>
                <w:sz w:val="20"/>
                <w:szCs w:val="20"/>
                <w:color w:val="auto"/>
              </w:rPr>
            </w:pPr>
            <w:r>
              <w:rPr>
                <w:rFonts w:ascii="Arial" w:cs="Arial" w:eastAsia="Arial" w:hAnsi="Arial"/>
                <w:sz w:val="16"/>
                <w:szCs w:val="16"/>
                <w:b w:val="1"/>
                <w:bCs w:val="1"/>
                <w:color w:val="auto"/>
                <w:w w:val="95"/>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Arial" w:cs="Arial" w:eastAsia="Arial" w:hAnsi="Arial"/>
                <w:sz w:val="16"/>
                <w:szCs w:val="16"/>
                <w:b w:val="1"/>
                <w:bCs w:val="1"/>
                <w:color w:val="auto"/>
                <w:w w:val="83"/>
              </w:rPr>
              <w:t>on the</w:t>
            </w:r>
          </w:p>
        </w:tc>
        <w:tc>
          <w:tcPr>
            <w:tcW w:w="40" w:type="dxa"/>
            <w:vAlign w:val="bottom"/>
          </w:tcPr>
          <w:p>
            <w:pPr>
              <w:spacing w:after="0"/>
              <w:rPr>
                <w:sz w:val="13"/>
                <w:szCs w:val="13"/>
                <w:color w:val="auto"/>
              </w:rPr>
            </w:pPr>
          </w:p>
        </w:tc>
        <w:tc>
          <w:tcPr>
            <w:tcW w:w="1860" w:type="dxa"/>
            <w:vAlign w:val="bottom"/>
            <w:gridSpan w:val="5"/>
            <w:vMerge w:val="restart"/>
          </w:tcPr>
          <w:p>
            <w:pPr>
              <w:jc w:val="right"/>
              <w:ind w:right="45"/>
              <w:spacing w:after="0"/>
              <w:rPr>
                <w:sz w:val="20"/>
                <w:szCs w:val="20"/>
                <w:color w:val="auto"/>
              </w:rPr>
            </w:pPr>
            <w:r>
              <w:rPr>
                <w:rFonts w:ascii="Arial" w:cs="Arial" w:eastAsia="Arial" w:hAnsi="Arial"/>
                <w:sz w:val="16"/>
                <w:szCs w:val="16"/>
                <w:b w:val="1"/>
                <w:bCs w:val="1"/>
                <w:color w:val="auto"/>
                <w:w w:val="95"/>
              </w:rPr>
              <w:t>Commodity Derivatives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73"/>
              <w:spacing w:after="0" w:line="157" w:lineRule="exact"/>
              <w:rPr>
                <w:sz w:val="20"/>
                <w:szCs w:val="20"/>
                <w:color w:val="auto"/>
              </w:rPr>
            </w:pPr>
            <w:r>
              <w:rPr>
                <w:rFonts w:ascii="Arial" w:cs="Arial" w:eastAsia="Arial" w:hAnsi="Arial"/>
                <w:sz w:val="16"/>
                <w:szCs w:val="16"/>
                <w:b w:val="1"/>
                <w:bCs w:val="1"/>
                <w:color w:val="auto"/>
                <w:w w:val="83"/>
              </w:rPr>
              <w:t>on the</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86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rPr>
              <w:t>Balance</w:t>
            </w:r>
          </w:p>
        </w:tc>
        <w:tc>
          <w:tcPr>
            <w:tcW w:w="40" w:type="dxa"/>
            <w:vAlign w:val="bottom"/>
          </w:tcPr>
          <w:p>
            <w:pPr>
              <w:spacing w:after="0"/>
              <w:rPr>
                <w:sz w:val="10"/>
                <w:szCs w:val="10"/>
                <w:color w:val="auto"/>
              </w:rPr>
            </w:pPr>
          </w:p>
        </w:tc>
        <w:tc>
          <w:tcPr>
            <w:tcW w:w="1860" w:type="dxa"/>
            <w:vAlign w:val="bottom"/>
            <w:tcBorders>
              <w:bottom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rPr>
              <w:t>Collateral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73"/>
              <w:spacing w:after="0" w:line="117" w:lineRule="exact"/>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45"/>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9"/>
                <w:szCs w:val="19"/>
                <w:color w:val="auto"/>
              </w:rPr>
            </w:pPr>
          </w:p>
        </w:tc>
        <w:tc>
          <w:tcPr>
            <w:tcW w:w="90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68"/>
              <w:spacing w:after="0"/>
              <w:rPr>
                <w:sz w:val="20"/>
                <w:szCs w:val="20"/>
                <w:color w:val="auto"/>
              </w:rPr>
            </w:pPr>
            <w:r>
              <w:rPr>
                <w:rFonts w:ascii="Arial" w:cs="Arial" w:eastAsia="Arial" w:hAnsi="Arial"/>
                <w:sz w:val="16"/>
                <w:szCs w:val="16"/>
                <w:b w:val="1"/>
                <w:bCs w:val="1"/>
                <w:color w:val="auto"/>
                <w:w w:val="90"/>
              </w:rPr>
              <w:t>Netting</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Sheet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45"/>
              <w:spacing w:after="0"/>
              <w:rPr>
                <w:sz w:val="20"/>
                <w:szCs w:val="20"/>
                <w:color w:val="auto"/>
              </w:rPr>
            </w:pPr>
            <w:r>
              <w:rPr>
                <w:rFonts w:ascii="Arial" w:cs="Arial" w:eastAsia="Arial" w:hAnsi="Arial"/>
                <w:sz w:val="16"/>
                <w:szCs w:val="16"/>
                <w:b w:val="1"/>
                <w:bCs w:val="1"/>
                <w:color w:val="auto"/>
                <w:w w:val="83"/>
              </w:rPr>
              <w:t>Assets</w:t>
            </w:r>
          </w:p>
        </w:tc>
        <w:tc>
          <w:tcPr>
            <w:tcW w:w="60" w:type="dxa"/>
            <w:vAlign w:val="bottom"/>
          </w:tcPr>
          <w:p>
            <w:pPr>
              <w:spacing w:after="0"/>
              <w:rPr>
                <w:sz w:val="19"/>
                <w:szCs w:val="19"/>
                <w:color w:val="auto"/>
              </w:rPr>
            </w:pPr>
          </w:p>
        </w:tc>
        <w:tc>
          <w:tcPr>
            <w:tcW w:w="90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rPr>
              <w:t>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68"/>
              <w:spacing w:after="0"/>
              <w:rPr>
                <w:sz w:val="20"/>
                <w:szCs w:val="20"/>
                <w:color w:val="auto"/>
              </w:rPr>
            </w:pPr>
            <w:r>
              <w:rPr>
                <w:rFonts w:ascii="Arial" w:cs="Arial" w:eastAsia="Arial" w:hAnsi="Arial"/>
                <w:sz w:val="16"/>
                <w:szCs w:val="16"/>
                <w:b w:val="1"/>
                <w:bCs w:val="1"/>
                <w:color w:val="auto"/>
                <w:w w:val="90"/>
              </w:rPr>
              <w:t>Netting</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73"/>
              <w:spacing w:after="0"/>
              <w:rPr>
                <w:sz w:val="20"/>
                <w:szCs w:val="20"/>
                <w:color w:val="auto"/>
              </w:rPr>
            </w:pPr>
            <w:r>
              <w:rPr>
                <w:rFonts w:ascii="Arial" w:cs="Arial" w:eastAsia="Arial" w:hAnsi="Arial"/>
                <w:sz w:val="16"/>
                <w:szCs w:val="16"/>
                <w:b w:val="1"/>
                <w:bCs w:val="1"/>
                <w:color w:val="auto"/>
                <w:w w:val="82"/>
              </w:rPr>
              <w:t>Sheet</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20"/>
                <w:szCs w:val="20"/>
                <w:b w:val="1"/>
                <w:bCs w:val="1"/>
                <w:color w:val="auto"/>
              </w:rPr>
              <w:t>Derivative Assets</w:t>
            </w: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360" w:type="dxa"/>
            <w:vAlign w:val="bottom"/>
          </w:tcPr>
          <w:p>
            <w:pPr>
              <w:spacing w:after="0"/>
              <w:rPr>
                <w:sz w:val="20"/>
                <w:szCs w:val="20"/>
                <w:color w:val="auto"/>
              </w:rPr>
            </w:pPr>
            <w:r>
              <w:rPr>
                <w:rFonts w:ascii="Arial" w:cs="Arial" w:eastAsia="Arial" w:hAnsi="Arial"/>
                <w:sz w:val="20"/>
                <w:szCs w:val="20"/>
                <w:color w:val="auto"/>
              </w:rPr>
              <w:t>Other current assets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36</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(74)</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34</w:t>
            </w:r>
          </w:p>
        </w:tc>
        <w:tc>
          <w:tcPr>
            <w:tcW w:w="80" w:type="dxa"/>
            <w:vAlign w:val="bottom"/>
            <w:tcBorders>
              <w:right w:val="single" w:sz="8" w:color="auto"/>
            </w:tcBorders>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153</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(79)</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(13)</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79"/>
        </w:trPr>
        <w:tc>
          <w:tcPr>
            <w:tcW w:w="2360" w:type="dxa"/>
            <w:vAlign w:val="bottom"/>
          </w:tcPr>
          <w:p>
            <w:pPr>
              <w:spacing w:after="0"/>
              <w:rPr>
                <w:sz w:val="20"/>
                <w:szCs w:val="20"/>
                <w:color w:val="auto"/>
              </w:rPr>
            </w:pPr>
            <w:r>
              <w:rPr>
                <w:rFonts w:ascii="Arial" w:cs="Arial" w:eastAsia="Arial" w:hAnsi="Arial"/>
                <w:sz w:val="20"/>
                <w:szCs w:val="20"/>
                <w:color w:val="auto"/>
                <w:w w:val="96"/>
              </w:rPr>
              <w:t>Other long-term assets, net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78"/>
        </w:trPr>
        <w:tc>
          <w:tcPr>
            <w:tcW w:w="2360" w:type="dxa"/>
            <w:vAlign w:val="bottom"/>
          </w:tcPr>
          <w:p>
            <w:pPr>
              <w:spacing w:after="0"/>
              <w:rPr>
                <w:sz w:val="20"/>
                <w:szCs w:val="20"/>
                <w:color w:val="auto"/>
              </w:rPr>
            </w:pPr>
            <w:r>
              <w:rPr>
                <w:rFonts w:ascii="Arial" w:cs="Arial" w:eastAsia="Arial" w:hAnsi="Arial"/>
                <w:sz w:val="20"/>
                <w:szCs w:val="20"/>
                <w:b w:val="1"/>
                <w:bCs w:val="1"/>
                <w:color w:val="auto"/>
              </w:rPr>
              <w:t>Derivative Liabilities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360" w:type="dxa"/>
            <w:vAlign w:val="bottom"/>
          </w:tcPr>
          <w:p>
            <w:pPr>
              <w:spacing w:after="0"/>
              <w:rPr>
                <w:sz w:val="20"/>
                <w:szCs w:val="20"/>
                <w:color w:val="auto"/>
              </w:rPr>
            </w:pPr>
            <w:r>
              <w:rPr>
                <w:rFonts w:ascii="Arial" w:cs="Arial" w:eastAsia="Arial" w:hAnsi="Arial"/>
                <w:sz w:val="20"/>
                <w:szCs w:val="20"/>
                <w:color w:val="auto"/>
              </w:rPr>
              <w:t>Other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21"/>
        </w:trPr>
        <w:tc>
          <w:tcPr>
            <w:tcW w:w="2360" w:type="dxa"/>
            <w:vAlign w:val="bottom"/>
          </w:tcPr>
          <w:p>
            <w:pPr>
              <w:spacing w:after="0" w:line="221" w:lineRule="exact"/>
              <w:rPr>
                <w:sz w:val="20"/>
                <w:szCs w:val="20"/>
                <w:color w:val="auto"/>
              </w:rPr>
            </w:pPr>
            <w:r>
              <w:rPr>
                <w:rFonts w:ascii="Arial" w:cs="Arial" w:eastAsia="Arial" w:hAnsi="Arial"/>
                <w:sz w:val="20"/>
                <w:szCs w:val="20"/>
                <w:color w:val="auto"/>
              </w:rPr>
              <w:t>Other long-term liabilities</w:t>
            </w:r>
          </w:p>
        </w:tc>
        <w:tc>
          <w:tcPr>
            <w:tcW w:w="2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r>
              <w:rPr>
                <w:rFonts w:ascii="Arial" w:cs="Arial" w:eastAsia="Arial" w:hAnsi="Arial"/>
                <w:sz w:val="20"/>
                <w:szCs w:val="20"/>
                <w:color w:val="auto"/>
              </w:rPr>
              <w:t>and deferred credits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360" w:type="dxa"/>
            <w:vAlign w:val="bottom"/>
          </w:tcPr>
          <w:p>
            <w:pPr>
              <w:ind w:left="120"/>
              <w:spacing w:after="0"/>
              <w:rPr>
                <w:sz w:val="20"/>
                <w:szCs w:val="20"/>
                <w:color w:val="auto"/>
              </w:rPr>
            </w:pPr>
            <w:r>
              <w:rPr>
                <w:rFonts w:ascii="Arial" w:cs="Arial" w:eastAsia="Arial" w:hAnsi="Arial"/>
                <w:sz w:val="20"/>
                <w:szCs w:val="20"/>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w:t>
            </w:r>
          </w:p>
        </w:tc>
        <w:tc>
          <w:tcPr>
            <w:tcW w:w="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6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3952875</wp:posOffset>
                </wp:positionH>
                <wp:positionV relativeFrom="paragraph">
                  <wp:posOffset>-1372235</wp:posOffset>
                </wp:positionV>
                <wp:extent cx="0" cy="135382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53820"/>
                        </a:xfrm>
                        <a:prstGeom prst="line">
                          <a:avLst/>
                        </a:prstGeom>
                        <a:solidFill>
                          <a:srgbClr val="FFFFFF"/>
                        </a:solidFill>
                        <a:ln w="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25pt,-108.0499pt" to="311.25pt,-1.449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-1384300</wp:posOffset>
            </wp:positionV>
            <wp:extent cx="6410325" cy="13912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1">
                      <a:extLst>
                        <a:ext uri="{28A0092B-C50C-407E-A947-70E740481C1C}"/>
                      </a:extLst>
                    </a:blip>
                    <a:srcRect/>
                    <a:stretch>
                      <a:fillRect/>
                    </a:stretch>
                  </pic:blipFill>
                  <pic:spPr bwMode="auto">
                    <a:xfrm>
                      <a:off x="0" y="0"/>
                      <a:ext cx="6410325" cy="139128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 Hedging</w:t>
      </w:r>
    </w:p>
    <w:p>
      <w:pPr>
        <w:spacing w:after="0" w:line="248" w:lineRule="exact"/>
        <w:rPr>
          <w:sz w:val="20"/>
          <w:szCs w:val="20"/>
          <w:color w:val="auto"/>
        </w:rPr>
      </w:pPr>
    </w:p>
    <w:p>
      <w:pPr>
        <w:ind w:right="160" w:firstLine="706"/>
        <w:spacing w:after="0" w:line="312" w:lineRule="auto"/>
        <w:rPr>
          <w:sz w:val="20"/>
          <w:szCs w:val="20"/>
          <w:color w:val="auto"/>
        </w:rPr>
      </w:pPr>
      <w:r>
        <w:rPr>
          <w:rFonts w:ascii="Arial" w:cs="Arial" w:eastAsia="Arial" w:hAnsi="Arial"/>
          <w:sz w:val="17"/>
          <w:szCs w:val="17"/>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60" w:lineRule="exact"/>
        <w:rPr>
          <w:sz w:val="20"/>
          <w:szCs w:val="20"/>
          <w:color w:val="auto"/>
        </w:rPr>
      </w:pPr>
    </w:p>
    <w:p>
      <w:pPr>
        <w:ind w:right="660" w:firstLine="706"/>
        <w:spacing w:after="0" w:line="271" w:lineRule="auto"/>
        <w:rPr>
          <w:sz w:val="20"/>
          <w:szCs w:val="20"/>
          <w:color w:val="auto"/>
        </w:rPr>
      </w:pPr>
      <w:r>
        <w:rPr>
          <w:rFonts w:ascii="Arial" w:cs="Arial" w:eastAsia="Arial" w:hAnsi="Arial"/>
          <w:sz w:val="20"/>
          <w:szCs w:val="20"/>
          <w:color w:val="auto"/>
        </w:rPr>
        <w:t>The following table summarizes the terms of our outstanding interest rate derivatives as of December 31, 2024 (notional amounts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Hedged Transaction</w:t>
            </w:r>
          </w:p>
        </w:tc>
        <w:tc>
          <w:tcPr>
            <w:tcW w:w="6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89"/>
              </w:rPr>
              <w:t>Number and Types of</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6"/>
                <w:szCs w:val="16"/>
                <w:b w:val="1"/>
                <w:bCs w:val="1"/>
                <w:color w:val="auto"/>
              </w:rPr>
              <w:t>Notional</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7"/>
              </w:rPr>
              <w:t>Expected</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Rate</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6"/>
              </w:rPr>
              <w:t>Accounting</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Derivatives Employed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Termination Date</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Locked</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Treatment</w:t>
            </w:r>
          </w:p>
        </w:tc>
        <w:tc>
          <w:tcPr>
            <w:tcW w:w="0" w:type="dxa"/>
            <w:vAlign w:val="bottom"/>
          </w:tcPr>
          <w:p>
            <w:pPr>
              <w:spacing w:after="0"/>
              <w:rPr>
                <w:sz w:val="1"/>
                <w:szCs w:val="1"/>
                <w:color w:val="auto"/>
              </w:rPr>
            </w:pPr>
          </w:p>
        </w:tc>
      </w:tr>
      <w:tr>
        <w:trPr>
          <w:trHeight w:val="208"/>
        </w:trPr>
        <w:tc>
          <w:tcPr>
            <w:tcW w:w="2500" w:type="dxa"/>
            <w:vAlign w:val="bottom"/>
          </w:tcPr>
          <w:p>
            <w:pPr>
              <w:ind w:left="60"/>
              <w:spacing w:after="0" w:line="207" w:lineRule="exact"/>
              <w:rPr>
                <w:sz w:val="20"/>
                <w:szCs w:val="20"/>
                <w:color w:val="auto"/>
              </w:rPr>
            </w:pPr>
            <w:r>
              <w:rPr>
                <w:rFonts w:ascii="Arial" w:cs="Arial" w:eastAsia="Arial" w:hAnsi="Arial"/>
                <w:sz w:val="20"/>
                <w:szCs w:val="20"/>
                <w:color w:val="auto"/>
                <w:w w:val="92"/>
              </w:rPr>
              <w:t>Anticipated interest payments</w:t>
            </w:r>
          </w:p>
        </w:tc>
        <w:tc>
          <w:tcPr>
            <w:tcW w:w="60" w:type="dxa"/>
            <w:vAlign w:val="bottom"/>
          </w:tcPr>
          <w:p>
            <w:pPr>
              <w:spacing w:after="0"/>
              <w:rPr>
                <w:sz w:val="18"/>
                <w:szCs w:val="18"/>
                <w:color w:val="auto"/>
              </w:rPr>
            </w:pPr>
          </w:p>
        </w:tc>
        <w:tc>
          <w:tcPr>
            <w:tcW w:w="2380" w:type="dxa"/>
            <w:vAlign w:val="bottom"/>
          </w:tcPr>
          <w:p>
            <w:pPr>
              <w:jc w:val="center"/>
              <w:spacing w:after="0" w:line="207" w:lineRule="exact"/>
              <w:rPr>
                <w:sz w:val="20"/>
                <w:szCs w:val="20"/>
                <w:color w:val="auto"/>
              </w:rPr>
            </w:pPr>
            <w:r>
              <w:rPr>
                <w:rFonts w:ascii="Arial" w:cs="Arial" w:eastAsia="Arial" w:hAnsi="Arial"/>
                <w:sz w:val="20"/>
                <w:szCs w:val="20"/>
                <w:color w:val="auto"/>
                <w:w w:val="89"/>
              </w:rPr>
              <w:t>8 forward starting swaps</w:t>
            </w:r>
          </w:p>
        </w:tc>
        <w:tc>
          <w:tcPr>
            <w:tcW w:w="240" w:type="dxa"/>
            <w:vAlign w:val="bottom"/>
            <w:gridSpan w:val="2"/>
          </w:tcPr>
          <w:p>
            <w:pPr>
              <w:jc w:val="right"/>
              <w:ind w:right="20"/>
              <w:spacing w:after="0" w:line="207" w:lineRule="exact"/>
              <w:rPr>
                <w:sz w:val="20"/>
                <w:szCs w:val="20"/>
                <w:color w:val="auto"/>
              </w:rPr>
            </w:pPr>
            <w:r>
              <w:rPr>
                <w:rFonts w:ascii="Arial" w:cs="Arial" w:eastAsia="Arial" w:hAnsi="Arial"/>
                <w:sz w:val="20"/>
                <w:szCs w:val="20"/>
                <w:color w:val="auto"/>
              </w:rPr>
              <w:t>$</w:t>
            </w:r>
          </w:p>
        </w:tc>
        <w:tc>
          <w:tcPr>
            <w:tcW w:w="820" w:type="dxa"/>
            <w:vAlign w:val="bottom"/>
          </w:tcPr>
          <w:p>
            <w:pPr>
              <w:jc w:val="right"/>
              <w:spacing w:after="0" w:line="207" w:lineRule="exact"/>
              <w:rPr>
                <w:sz w:val="20"/>
                <w:szCs w:val="20"/>
                <w:color w:val="auto"/>
              </w:rPr>
            </w:pPr>
            <w:r>
              <w:rPr>
                <w:rFonts w:ascii="Arial" w:cs="Arial" w:eastAsia="Arial" w:hAnsi="Arial"/>
                <w:sz w:val="20"/>
                <w:szCs w:val="20"/>
                <w:color w:val="auto"/>
              </w:rPr>
              <w:t>200</w:t>
            </w:r>
          </w:p>
        </w:tc>
        <w:tc>
          <w:tcPr>
            <w:tcW w:w="1380" w:type="dxa"/>
            <w:vAlign w:val="bottom"/>
            <w:gridSpan w:val="2"/>
          </w:tcPr>
          <w:p>
            <w:pPr>
              <w:jc w:val="center"/>
              <w:spacing w:after="0" w:line="207" w:lineRule="exact"/>
              <w:rPr>
                <w:sz w:val="20"/>
                <w:szCs w:val="20"/>
                <w:color w:val="auto"/>
              </w:rPr>
            </w:pPr>
            <w:r>
              <w:rPr>
                <w:rFonts w:ascii="Arial" w:cs="Arial" w:eastAsia="Arial" w:hAnsi="Arial"/>
                <w:sz w:val="20"/>
                <w:szCs w:val="20"/>
                <w:color w:val="auto"/>
                <w:w w:val="87"/>
              </w:rPr>
              <w:t>6/15/2026</w:t>
            </w:r>
          </w:p>
        </w:tc>
        <w:tc>
          <w:tcPr>
            <w:tcW w:w="1120" w:type="dxa"/>
            <w:vAlign w:val="bottom"/>
            <w:gridSpan w:val="2"/>
          </w:tcPr>
          <w:p>
            <w:pPr>
              <w:jc w:val="right"/>
              <w:spacing w:after="0" w:line="207" w:lineRule="exact"/>
              <w:rPr>
                <w:sz w:val="20"/>
                <w:szCs w:val="20"/>
                <w:color w:val="auto"/>
              </w:rPr>
            </w:pPr>
            <w:r>
              <w:rPr>
                <w:rFonts w:ascii="Arial" w:cs="Arial" w:eastAsia="Arial" w:hAnsi="Arial"/>
                <w:sz w:val="20"/>
                <w:szCs w:val="20"/>
                <w:color w:val="auto"/>
              </w:rPr>
              <w:t>3.09 %</w:t>
            </w:r>
          </w:p>
        </w:tc>
        <w:tc>
          <w:tcPr>
            <w:tcW w:w="80" w:type="dxa"/>
            <w:vAlign w:val="bottom"/>
          </w:tcPr>
          <w:p>
            <w:pPr>
              <w:spacing w:after="0"/>
              <w:rPr>
                <w:sz w:val="18"/>
                <w:szCs w:val="18"/>
                <w:color w:val="auto"/>
              </w:rPr>
            </w:pPr>
          </w:p>
        </w:tc>
        <w:tc>
          <w:tcPr>
            <w:tcW w:w="1460" w:type="dxa"/>
            <w:vAlign w:val="bottom"/>
          </w:tcPr>
          <w:p>
            <w:pPr>
              <w:jc w:val="center"/>
              <w:spacing w:after="0" w:line="207" w:lineRule="exact"/>
              <w:rPr>
                <w:sz w:val="20"/>
                <w:szCs w:val="20"/>
                <w:color w:val="auto"/>
              </w:rPr>
            </w:pPr>
            <w:r>
              <w:rPr>
                <w:rFonts w:ascii="Arial" w:cs="Arial" w:eastAsia="Arial" w:hAnsi="Arial"/>
                <w:sz w:val="20"/>
                <w:szCs w:val="20"/>
                <w:color w:val="auto"/>
                <w:w w:val="88"/>
              </w:rPr>
              <w:t>Cash flow hedge</w:t>
            </w:r>
          </w:p>
        </w:tc>
        <w:tc>
          <w:tcPr>
            <w:tcW w:w="0" w:type="dxa"/>
            <w:vAlign w:val="bottom"/>
          </w:tcPr>
          <w:p>
            <w:pPr>
              <w:spacing w:after="0"/>
              <w:rPr>
                <w:sz w:val="1"/>
                <w:szCs w:val="1"/>
                <w:color w:val="auto"/>
              </w:rPr>
            </w:pPr>
          </w:p>
        </w:tc>
      </w:tr>
      <w:tr>
        <w:trPr>
          <w:trHeight w:val="255"/>
        </w:trPr>
        <w:tc>
          <w:tcPr>
            <w:tcW w:w="2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380" w:type="dxa"/>
            <w:vAlign w:val="bottom"/>
          </w:tcPr>
          <w:p>
            <w:pPr>
              <w:jc w:val="center"/>
              <w:spacing w:after="0"/>
              <w:rPr>
                <w:sz w:val="20"/>
                <w:szCs w:val="20"/>
                <w:color w:val="auto"/>
              </w:rPr>
            </w:pPr>
            <w:r>
              <w:rPr>
                <w:rFonts w:ascii="Arial" w:cs="Arial" w:eastAsia="Arial" w:hAnsi="Arial"/>
                <w:sz w:val="20"/>
                <w:szCs w:val="20"/>
                <w:color w:val="auto"/>
                <w:w w:val="91"/>
              </w:rPr>
              <w:t>(30-year)</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-311785</wp:posOffset>
            </wp:positionV>
            <wp:extent cx="6391275" cy="3333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2">
                      <a:extLst>
                        <a:ext uri="{28A0092B-C50C-407E-A947-70E740481C1C}"/>
                      </a:extLst>
                    </a:blip>
                    <a:srcRect/>
                    <a:stretch>
                      <a:fillRect/>
                    </a:stretch>
                  </pic:blipFill>
                  <pic:spPr bwMode="auto">
                    <a:xfrm>
                      <a:off x="0" y="0"/>
                      <a:ext cx="6391275" cy="333375"/>
                    </a:xfrm>
                    <a:prstGeom prst="rect">
                      <a:avLst/>
                    </a:prstGeom>
                    <a:noFill/>
                  </pic:spPr>
                </pic:pic>
              </a:graphicData>
            </a:graphic>
          </wp:anchor>
        </w:drawing>
      </w:r>
    </w:p>
    <w:p>
      <w:pPr>
        <w:spacing w:after="0" w:line="265" w:lineRule="exact"/>
        <w:rPr>
          <w:sz w:val="20"/>
          <w:szCs w:val="20"/>
          <w:color w:val="auto"/>
        </w:rPr>
      </w:pPr>
    </w:p>
    <w:p>
      <w:pPr>
        <w:ind w:right="180" w:firstLine="706"/>
        <w:spacing w:after="0" w:line="299" w:lineRule="auto"/>
        <w:rPr>
          <w:sz w:val="20"/>
          <w:szCs w:val="20"/>
          <w:color w:val="auto"/>
        </w:rPr>
      </w:pPr>
      <w:r>
        <w:rPr>
          <w:rFonts w:ascii="Arial" w:cs="Arial" w:eastAsia="Arial" w:hAnsi="Arial"/>
          <w:sz w:val="17"/>
          <w:szCs w:val="17"/>
          <w:color w:val="auto"/>
        </w:rPr>
        <w:t>During the year ended December 31, 2024, we terminated $100 million of notional interest hedging instruments previously expected to terminate in June 2024 for proceeds of $57 million, which was recorded in AOCI. As of December 31, 2024, there was a net loss of $44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2024; thus, actual amounts to be reclassified will differ and could vary materially as a result of changes in market conditions.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following table summarizes the net unrealized gain/(loss) recognized in AOCI for derivatives (in millions):</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96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270"/>
        </w:trPr>
        <w:tc>
          <w:tcPr>
            <w:tcW w:w="6000" w:type="dxa"/>
            <w:vAlign w:val="bottom"/>
          </w:tcPr>
          <w:p>
            <w:pPr>
              <w:spacing w:after="0"/>
              <w:rPr>
                <w:sz w:val="20"/>
                <w:szCs w:val="20"/>
                <w:color w:val="auto"/>
              </w:rPr>
            </w:pPr>
            <w:r>
              <w:rPr>
                <w:rFonts w:ascii="Arial" w:cs="Arial" w:eastAsia="Arial" w:hAnsi="Arial"/>
                <w:sz w:val="20"/>
                <w:szCs w:val="20"/>
                <w:color w:val="auto"/>
              </w:rPr>
              <w:t>Interest rate derivatives, net</w:t>
            </w:r>
          </w:p>
        </w:tc>
        <w:tc>
          <w:tcPr>
            <w:tcW w:w="900" w:type="dxa"/>
            <w:vAlign w:val="bottom"/>
          </w:tcPr>
          <w:p>
            <w:pPr>
              <w:jc w:val="right"/>
              <w:ind w:right="672"/>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29</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15</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-189865</wp:posOffset>
            </wp:positionV>
            <wp:extent cx="6400800" cy="2120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3">
                      <a:extLst>
                        <a:ext uri="{28A0092B-C50C-407E-A947-70E740481C1C}"/>
                      </a:extLst>
                    </a:blip>
                    <a:srcRect/>
                    <a:stretch>
                      <a:fillRect/>
                    </a:stretch>
                  </pic:blipFill>
                  <pic:spPr bwMode="auto">
                    <a:xfrm>
                      <a:off x="0" y="0"/>
                      <a:ext cx="6400800" cy="212090"/>
                    </a:xfrm>
                    <a:prstGeom prst="rect">
                      <a:avLst/>
                    </a:prstGeom>
                    <a:noFill/>
                  </pic:spPr>
                </pic:pic>
              </a:graphicData>
            </a:graphic>
          </wp:anchor>
        </w:drawing>
      </w:r>
    </w:p>
    <w:p>
      <w:pPr>
        <w:spacing w:after="0" w:line="266" w:lineRule="exact"/>
        <w:rPr>
          <w:sz w:val="20"/>
          <w:szCs w:val="20"/>
          <w:color w:val="auto"/>
        </w:rPr>
      </w:pPr>
    </w:p>
    <w:p>
      <w:pPr>
        <w:jc w:val="both"/>
        <w:ind w:right="200" w:firstLine="706"/>
        <w:spacing w:after="0" w:line="325" w:lineRule="auto"/>
        <w:rPr>
          <w:sz w:val="20"/>
          <w:szCs w:val="20"/>
          <w:color w:val="auto"/>
        </w:rPr>
      </w:pPr>
      <w:r>
        <w:rPr>
          <w:rFonts w:ascii="Arial" w:cs="Arial" w:eastAsia="Arial" w:hAnsi="Arial"/>
          <w:sz w:val="17"/>
          <w:szCs w:val="17"/>
          <w:color w:val="auto"/>
        </w:rPr>
        <w:t>At December 31, 2024, the net fair value of our interest rate hedges, which was included in “Other long-term assets, net” on our Consolidated Balance Sheet, totaled $27 million. At December 31, 2023, the net fair value of these hedges totaled $51 million and $4 million, which were included in “Other current assets” and “Other long-term assets, net”, respectively.</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880" w:h="15480" w:orient="portrait"/>
          <w:cols w:equalWidth="0" w:num="1">
            <w:col w:w="10040"/>
          </w:cols>
          <w:pgMar w:left="920" w:top="337" w:right="920" w:bottom="0" w:gutter="0" w:footer="0" w:header="0"/>
          <w:type w:val="continuous"/>
        </w:sectPr>
      </w:pPr>
    </w:p>
    <w:bookmarkStart w:id="146" w:name="page147"/>
    <w:bookmarkEnd w:id="146"/>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3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Preferred Distribution Rate Reset Option</w:t>
      </w:r>
    </w:p>
    <w:p>
      <w:pPr>
        <w:spacing w:after="0" w:line="248" w:lineRule="exact"/>
        <w:rPr>
          <w:sz w:val="20"/>
          <w:szCs w:val="20"/>
          <w:color w:val="auto"/>
        </w:rPr>
      </w:pPr>
    </w:p>
    <w:p>
      <w:pPr>
        <w:ind w:left="707"/>
        <w:spacing w:after="0"/>
        <w:rPr>
          <w:sz w:val="20"/>
          <w:szCs w:val="20"/>
          <w:color w:val="auto"/>
        </w:rPr>
      </w:pPr>
      <w:r>
        <w:rPr>
          <w:rFonts w:ascii="Arial" w:cs="Arial" w:eastAsia="Arial" w:hAnsi="Arial"/>
          <w:sz w:val="17"/>
          <w:szCs w:val="17"/>
          <w:color w:val="auto"/>
        </w:rPr>
        <w:t>In January 2023, PAA received notice that the Series A preferred unitholders elected the Preferred Distribution Rate</w:t>
      </w:r>
    </w:p>
    <w:p>
      <w:pPr>
        <w:spacing w:after="0" w:line="59" w:lineRule="exact"/>
        <w:rPr>
          <w:sz w:val="20"/>
          <w:szCs w:val="20"/>
          <w:color w:val="auto"/>
        </w:rPr>
      </w:pPr>
    </w:p>
    <w:p>
      <w:pPr>
        <w:ind w:left="7"/>
        <w:spacing w:after="0"/>
        <w:rPr>
          <w:sz w:val="20"/>
          <w:szCs w:val="20"/>
          <w:color w:val="auto"/>
        </w:rPr>
      </w:pPr>
      <w:r>
        <w:rPr>
          <w:rFonts w:ascii="Arial" w:cs="Arial" w:eastAsia="Arial" w:hAnsi="Arial"/>
          <w:sz w:val="17"/>
          <w:szCs w:val="17"/>
          <w:color w:val="auto"/>
        </w:rPr>
        <w:t>Reset Option. Prior to this election, the Preferred Distribution Rate Reset Option was accounted for as an embedded derivative.</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and accounted for separately if the economic characteristics and risks of the embedded derivative are not clearly and closely</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related to those of the host contract. The Preferred Distribution Rate Reset Option embedded derivative was required to be</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bifurcated from the related host contract, the PAA partnership agreement, and recorded at fair value on our Consolidated</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9"/>
          <w:szCs w:val="19"/>
          <w:color w:val="auto"/>
        </w:rPr>
        <w:t>Balance Sheet. The fair value of the Preferred Distribution Rate Reset Option, which was included in “Other long-term</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7"/>
          <w:szCs w:val="17"/>
          <w:color w:val="auto"/>
        </w:rPr>
        <w:t>liabilities and deferred credits” on our Consolidated Balance Sheet, totaled $189 million at December 31, 2022. The Preferred</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Distribution Rate Reset Option was settled when we received notice that the Series A preferred unitholders elected the Preferred</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Distribution Rate Reset Option. The fair value of the Preferred Distribution Rate Reset Option on the settlement date was</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$131 million. The Preferred Distribution Rate Reset Option embedded derivative was not designated in a hedging relationship</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for accounting purposes and corresponding changes in fair value were recognized in “Other income/(expense), net” in our</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Consolidated Statements of Operations. For the years ended December 31, 2023 and 2022, we recognized a gain of $58 million,</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7"/>
          <w:szCs w:val="17"/>
          <w:color w:val="auto"/>
        </w:rPr>
        <w:t>and a net loss of $189 million, respectively. See Note 11 for additional information regarding the Preferred Distribution Rate</w:t>
      </w:r>
    </w:p>
    <w:p>
      <w:pPr>
        <w:spacing w:after="0" w:line="40" w:lineRule="exact"/>
        <w:rPr>
          <w:sz w:val="20"/>
          <w:szCs w:val="20"/>
          <w:color w:val="auto"/>
        </w:rPr>
      </w:pPr>
    </w:p>
    <w:p>
      <w:pPr>
        <w:ind w:left="7"/>
        <w:spacing w:after="0"/>
        <w:rPr>
          <w:sz w:val="20"/>
          <w:szCs w:val="20"/>
          <w:color w:val="auto"/>
        </w:rPr>
      </w:pPr>
      <w:r>
        <w:rPr>
          <w:rFonts w:ascii="Arial" w:cs="Arial" w:eastAsia="Arial" w:hAnsi="Arial"/>
          <w:sz w:val="20"/>
          <w:szCs w:val="20"/>
          <w:color w:val="auto"/>
        </w:rPr>
        <w:t>Reset Option.</w:t>
      </w:r>
    </w:p>
    <w:p>
      <w:pPr>
        <w:spacing w:after="0" w:line="214"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Recurring Fair Value Measurements</w:t>
      </w:r>
    </w:p>
    <w:p>
      <w:pPr>
        <w:spacing w:after="0" w:line="240" w:lineRule="exact"/>
        <w:rPr>
          <w:sz w:val="20"/>
          <w:szCs w:val="20"/>
          <w:color w:val="auto"/>
        </w:rPr>
      </w:pPr>
    </w:p>
    <w:p>
      <w:pPr>
        <w:ind w:left="707"/>
        <w:spacing w:after="0"/>
        <w:rPr>
          <w:sz w:val="20"/>
          <w:szCs w:val="20"/>
          <w:color w:val="auto"/>
        </w:rPr>
      </w:pPr>
      <w:r>
        <w:rPr>
          <w:rFonts w:ascii="Arial" w:cs="Arial" w:eastAsia="Arial" w:hAnsi="Arial"/>
          <w:sz w:val="20"/>
          <w:szCs w:val="20"/>
          <w:b w:val="1"/>
          <w:bCs w:val="1"/>
          <w:color w:val="auto"/>
        </w:rPr>
        <w:t>Derivative Financial Assets and Liabilities</w:t>
      </w:r>
    </w:p>
    <w:p>
      <w:pPr>
        <w:spacing w:after="0" w:line="248" w:lineRule="exact"/>
        <w:rPr>
          <w:sz w:val="20"/>
          <w:szCs w:val="20"/>
          <w:color w:val="auto"/>
        </w:rPr>
      </w:pPr>
    </w:p>
    <w:p>
      <w:pPr>
        <w:ind w:left="7" w:right="500" w:firstLine="706"/>
        <w:spacing w:after="0" w:line="271" w:lineRule="auto"/>
        <w:rPr>
          <w:sz w:val="20"/>
          <w:szCs w:val="20"/>
          <w:color w:val="auto"/>
        </w:rPr>
      </w:pPr>
      <w:r>
        <w:rPr>
          <w:rFonts w:ascii="Arial" w:cs="Arial" w:eastAsia="Arial" w:hAnsi="Arial"/>
          <w:sz w:val="20"/>
          <w:szCs w:val="20"/>
          <w:color w:val="auto"/>
        </w:rPr>
        <w:t>The following table sets forth by level within the fair value hierarchy our financial assets and liabilities that were accounted for at fair value on a recurring basis (in millions):</w:t>
      </w:r>
    </w:p>
    <w:p>
      <w:pPr>
        <w:spacing w:after="0" w:line="274"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6"/>
                <w:szCs w:val="16"/>
                <w:b w:val="1"/>
                <w:bCs w:val="1"/>
                <w:color w:val="auto"/>
                <w:w w:val="92"/>
              </w:rPr>
              <w:t>Fair Value as of December 31, 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w w:val="98"/>
              </w:rPr>
              <w:t>Fair Value as of December 31, 2023</w:t>
            </w:r>
          </w:p>
        </w:tc>
      </w:tr>
      <w:tr>
        <w:trPr>
          <w:trHeight w:val="230"/>
        </w:trPr>
        <w:tc>
          <w:tcPr>
            <w:tcW w:w="140" w:type="dxa"/>
            <w:vAlign w:val="bottom"/>
          </w:tcPr>
          <w:p>
            <w:pPr>
              <w:spacing w:after="0"/>
              <w:rPr>
                <w:sz w:val="19"/>
                <w:szCs w:val="19"/>
                <w:color w:val="auto"/>
              </w:rPr>
            </w:pPr>
          </w:p>
        </w:tc>
        <w:tc>
          <w:tcPr>
            <w:tcW w:w="3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 xml:space="preserve">Recurring Fair Value Measures </w:t>
            </w:r>
            <w:r>
              <w:rPr>
                <w:rFonts w:ascii="Arial" w:cs="Arial" w:eastAsia="Arial" w:hAnsi="Arial"/>
                <w:sz w:val="20"/>
                <w:szCs w:val="20"/>
                <w:b w:val="1"/>
                <w:bCs w:val="1"/>
                <w:color w:val="auto"/>
                <w:vertAlign w:val="superscript"/>
              </w:rPr>
              <w:t>(1)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7"/>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r>
      <w:tr>
        <w:trPr>
          <w:trHeight w:val="270"/>
        </w:trPr>
        <w:tc>
          <w:tcPr>
            <w:tcW w:w="140" w:type="dxa"/>
            <w:vAlign w:val="bottom"/>
          </w:tcPr>
          <w:p>
            <w:pPr>
              <w:spacing w:after="0"/>
              <w:rPr>
                <w:sz w:val="23"/>
                <w:szCs w:val="23"/>
                <w:color w:val="auto"/>
              </w:rPr>
            </w:pPr>
          </w:p>
        </w:tc>
        <w:tc>
          <w:tcPr>
            <w:tcW w:w="3760" w:type="dxa"/>
            <w:vAlign w:val="bottom"/>
            <w:gridSpan w:val="3"/>
          </w:tcPr>
          <w:p>
            <w:pPr>
              <w:ind w:left="60"/>
              <w:spacing w:after="0"/>
              <w:rPr>
                <w:sz w:val="20"/>
                <w:szCs w:val="20"/>
                <w:color w:val="auto"/>
              </w:rPr>
            </w:pPr>
            <w:r>
              <w:rPr>
                <w:rFonts w:ascii="Arial" w:cs="Arial" w:eastAsia="Arial" w:hAnsi="Arial"/>
                <w:sz w:val="20"/>
                <w:szCs w:val="20"/>
                <w:color w:val="auto"/>
              </w:rPr>
              <w:t>Commodity derivatives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14</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(90)</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(76)</w:t>
            </w:r>
          </w:p>
        </w:tc>
        <w:tc>
          <w:tcPr>
            <w:tcW w:w="100" w:type="dxa"/>
            <w:vAlign w:val="bottom"/>
            <w:tcBorders>
              <w:right w:val="single" w:sz="8" w:color="auto"/>
            </w:tcBorders>
          </w:tcPr>
          <w:p>
            <w:pPr>
              <w:spacing w:after="0"/>
              <w:rPr>
                <w:sz w:val="23"/>
                <w:szCs w:val="2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(9)</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r>
      <w:tr>
        <w:trPr>
          <w:trHeight w:val="298"/>
        </w:trPr>
        <w:tc>
          <w:tcPr>
            <w:tcW w:w="140" w:type="dxa"/>
            <w:vAlign w:val="bottom"/>
          </w:tcPr>
          <w:p>
            <w:pPr>
              <w:spacing w:after="0"/>
              <w:rPr>
                <w:sz w:val="24"/>
                <w:szCs w:val="24"/>
                <w:color w:val="auto"/>
              </w:rPr>
            </w:pPr>
          </w:p>
        </w:tc>
        <w:tc>
          <w:tcPr>
            <w:tcW w:w="3760" w:type="dxa"/>
            <w:vAlign w:val="bottom"/>
            <w:gridSpan w:val="3"/>
          </w:tcPr>
          <w:p>
            <w:pPr>
              <w:ind w:left="60"/>
              <w:spacing w:after="0"/>
              <w:rPr>
                <w:sz w:val="20"/>
                <w:szCs w:val="20"/>
                <w:color w:val="auto"/>
              </w:rPr>
            </w:pPr>
            <w:r>
              <w:rPr>
                <w:rFonts w:ascii="Arial" w:cs="Arial" w:eastAsia="Arial" w:hAnsi="Arial"/>
                <w:sz w:val="20"/>
                <w:szCs w:val="20"/>
                <w:color w:val="auto"/>
              </w:rPr>
              <w:t>Interest rate derivatives</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55</w:t>
            </w:r>
          </w:p>
        </w:tc>
      </w:tr>
      <w:tr>
        <w:trPr>
          <w:trHeight w:val="294"/>
        </w:trPr>
        <w:tc>
          <w:tcPr>
            <w:tcW w:w="140" w:type="dxa"/>
            <w:vAlign w:val="bottom"/>
          </w:tcPr>
          <w:p>
            <w:pPr>
              <w:spacing w:after="0"/>
              <w:rPr>
                <w:sz w:val="24"/>
                <w:szCs w:val="24"/>
                <w:color w:val="auto"/>
              </w:rPr>
            </w:pPr>
          </w:p>
        </w:tc>
        <w:tc>
          <w:tcPr>
            <w:tcW w:w="3760" w:type="dxa"/>
            <w:vAlign w:val="bottom"/>
            <w:gridSpan w:val="3"/>
          </w:tcPr>
          <w:p>
            <w:pPr>
              <w:ind w:left="180"/>
              <w:spacing w:after="0"/>
              <w:rPr>
                <w:sz w:val="20"/>
                <w:szCs w:val="20"/>
                <w:color w:val="auto"/>
              </w:rPr>
            </w:pPr>
            <w:r>
              <w:rPr>
                <w:rFonts w:ascii="Arial" w:cs="Arial" w:eastAsia="Arial" w:hAnsi="Arial"/>
                <w:sz w:val="20"/>
                <w:szCs w:val="20"/>
                <w:color w:val="auto"/>
              </w:rPr>
              <w:t>Total net derivative asset/(liability)</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14</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(63)</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(49)</w:t>
            </w: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46</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55</w:t>
            </w:r>
          </w:p>
        </w:tc>
      </w:tr>
      <w:tr>
        <w:trPr>
          <w:trHeight w:val="132"/>
        </w:trPr>
        <w:tc>
          <w:tcPr>
            <w:tcW w:w="14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4386580</wp:posOffset>
                </wp:positionH>
                <wp:positionV relativeFrom="paragraph">
                  <wp:posOffset>-675005</wp:posOffset>
                </wp:positionV>
                <wp:extent cx="0" cy="56007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0070"/>
                        </a:xfrm>
                        <a:prstGeom prst="line">
                          <a:avLst/>
                        </a:prstGeom>
                        <a:solidFill>
                          <a:srgbClr val="FFFFFF"/>
                        </a:solidFill>
                        <a:ln w="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4pt,-53.1499pt" to="345.4pt,-9.0499pt" o:allowincell="f" strokecolor="#000000" strokeweight="0pt"/>
            </w:pict>
          </mc:Fallback>
        </mc:AlternateContent>
        <w:drawing>
          <wp:anchor simplePos="0" relativeHeight="251657728" behindDoc="1" locked="0" layoutInCell="0" allowOverlap="1">
            <wp:simplePos x="0" y="0"/>
            <wp:positionH relativeFrom="column">
              <wp:posOffset>80645</wp:posOffset>
            </wp:positionH>
            <wp:positionV relativeFrom="paragraph">
              <wp:posOffset>-687070</wp:posOffset>
            </wp:positionV>
            <wp:extent cx="6223635" cy="5981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4">
                      <a:extLst>
                        <a:ext uri="{28A0092B-C50C-407E-A947-70E740481C1C}"/>
                      </a:extLst>
                    </a:blip>
                    <a:srcRect/>
                    <a:stretch>
                      <a:fillRect/>
                    </a:stretch>
                  </pic:blipFill>
                  <pic:spPr bwMode="auto">
                    <a:xfrm>
                      <a:off x="0" y="0"/>
                      <a:ext cx="6223635" cy="598170"/>
                    </a:xfrm>
                    <a:prstGeom prst="rect">
                      <a:avLst/>
                    </a:prstGeom>
                    <a:noFill/>
                  </pic:spPr>
                </pic:pic>
              </a:graphicData>
            </a:graphic>
          </wp:anchor>
        </w:drawing>
      </w:r>
    </w:p>
    <w:p>
      <w:pPr>
        <w:spacing w:after="0" w:line="56" w:lineRule="exact"/>
        <w:rPr>
          <w:sz w:val="20"/>
          <w:szCs w:val="20"/>
          <w:color w:val="auto"/>
        </w:rPr>
      </w:pPr>
    </w:p>
    <w:p>
      <w:pPr>
        <w:ind w:left="707" w:hanging="707"/>
        <w:spacing w:after="0"/>
        <w:tabs>
          <w:tab w:leader="none" w:pos="707"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8" w:lineRule="exact"/>
        <w:rPr>
          <w:rFonts w:ascii="Arial" w:cs="Arial" w:eastAsia="Arial" w:hAnsi="Arial"/>
          <w:sz w:val="23"/>
          <w:szCs w:val="23"/>
          <w:color w:val="auto"/>
          <w:vertAlign w:val="superscript"/>
        </w:rPr>
      </w:pPr>
    </w:p>
    <w:p>
      <w:pPr>
        <w:ind w:left="707"/>
        <w:spacing w:after="0"/>
        <w:rPr>
          <w:rFonts w:ascii="Arial" w:cs="Arial" w:eastAsia="Arial" w:hAnsi="Arial"/>
          <w:sz w:val="23"/>
          <w:szCs w:val="23"/>
          <w:color w:val="auto"/>
          <w:vertAlign w:val="superscript"/>
        </w:rPr>
      </w:pPr>
      <w:r>
        <w:rPr>
          <w:rFonts w:ascii="Arial" w:cs="Arial" w:eastAsia="Arial" w:hAnsi="Arial"/>
          <w:sz w:val="20"/>
          <w:szCs w:val="20"/>
          <w:b w:val="1"/>
          <w:bCs w:val="1"/>
          <w:i w:val="1"/>
          <w:iCs w:val="1"/>
          <w:color w:val="auto"/>
        </w:rPr>
        <w:t>Level 1</w:t>
      </w:r>
    </w:p>
    <w:p>
      <w:pPr>
        <w:spacing w:after="0" w:line="247" w:lineRule="exact"/>
        <w:rPr>
          <w:rFonts w:ascii="Arial" w:cs="Arial" w:eastAsia="Arial" w:hAnsi="Arial"/>
          <w:sz w:val="23"/>
          <w:szCs w:val="23"/>
          <w:color w:val="auto"/>
          <w:vertAlign w:val="superscript"/>
        </w:rPr>
      </w:pPr>
    </w:p>
    <w:p>
      <w:pPr>
        <w:ind w:left="707" w:right="140"/>
        <w:spacing w:after="0" w:line="278" w:lineRule="auto"/>
        <w:rPr>
          <w:rFonts w:ascii="Arial" w:cs="Arial" w:eastAsia="Arial" w:hAnsi="Arial"/>
          <w:sz w:val="23"/>
          <w:szCs w:val="23"/>
          <w:color w:val="auto"/>
          <w:vertAlign w:val="superscript"/>
        </w:rPr>
      </w:pPr>
      <w:r>
        <w:rPr>
          <w:rFonts w:ascii="Arial" w:cs="Arial" w:eastAsia="Arial" w:hAnsi="Arial"/>
          <w:sz w:val="19"/>
          <w:szCs w:val="19"/>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4" w:lineRule="exact"/>
        <w:rPr>
          <w:rFonts w:ascii="Arial" w:cs="Arial" w:eastAsia="Arial" w:hAnsi="Arial"/>
          <w:sz w:val="23"/>
          <w:szCs w:val="23"/>
          <w:color w:val="auto"/>
          <w:vertAlign w:val="superscript"/>
        </w:rPr>
      </w:pPr>
    </w:p>
    <w:p>
      <w:pPr>
        <w:ind w:left="707"/>
        <w:spacing w:after="0"/>
        <w:rPr>
          <w:rFonts w:ascii="Arial" w:cs="Arial" w:eastAsia="Arial" w:hAnsi="Arial"/>
          <w:sz w:val="23"/>
          <w:szCs w:val="23"/>
          <w:color w:val="auto"/>
          <w:vertAlign w:val="superscript"/>
        </w:rPr>
      </w:pPr>
      <w:r>
        <w:rPr>
          <w:rFonts w:ascii="Arial" w:cs="Arial" w:eastAsia="Arial" w:hAnsi="Arial"/>
          <w:sz w:val="20"/>
          <w:szCs w:val="20"/>
          <w:b w:val="1"/>
          <w:bCs w:val="1"/>
          <w:i w:val="1"/>
          <w:iCs w:val="1"/>
          <w:color w:val="auto"/>
        </w:rPr>
        <w:t>Level 2</w:t>
      </w:r>
    </w:p>
    <w:p>
      <w:pPr>
        <w:spacing w:after="0" w:line="247" w:lineRule="exact"/>
        <w:rPr>
          <w:rFonts w:ascii="Arial" w:cs="Arial" w:eastAsia="Arial" w:hAnsi="Arial"/>
          <w:sz w:val="23"/>
          <w:szCs w:val="23"/>
          <w:color w:val="auto"/>
          <w:vertAlign w:val="superscript"/>
        </w:rPr>
      </w:pPr>
    </w:p>
    <w:p>
      <w:pPr>
        <w:ind w:left="707" w:right="80"/>
        <w:spacing w:after="0" w:line="254" w:lineRule="auto"/>
        <w:rPr>
          <w:rFonts w:ascii="Arial" w:cs="Arial" w:eastAsia="Arial" w:hAnsi="Arial"/>
          <w:sz w:val="23"/>
          <w:szCs w:val="23"/>
          <w:color w:val="auto"/>
          <w:vertAlign w:val="superscript"/>
        </w:rPr>
      </w:pPr>
      <w:r>
        <w:rPr>
          <w:rFonts w:ascii="Arial" w:cs="Arial" w:eastAsia="Arial" w:hAnsi="Arial"/>
          <w:sz w:val="20"/>
          <w:szCs w:val="20"/>
          <w:color w:val="auto"/>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5" w:lineRule="exact"/>
        <w:rPr>
          <w:rFonts w:ascii="Arial" w:cs="Arial" w:eastAsia="Arial" w:hAnsi="Arial"/>
          <w:sz w:val="23"/>
          <w:szCs w:val="23"/>
          <w:color w:val="auto"/>
          <w:vertAlign w:val="superscript"/>
        </w:rPr>
      </w:pPr>
    </w:p>
    <w:p>
      <w:pPr>
        <w:ind w:left="707"/>
        <w:spacing w:after="0"/>
        <w:rPr>
          <w:rFonts w:ascii="Arial" w:cs="Arial" w:eastAsia="Arial" w:hAnsi="Arial"/>
          <w:sz w:val="23"/>
          <w:szCs w:val="23"/>
          <w:color w:val="auto"/>
          <w:vertAlign w:val="superscript"/>
        </w:rPr>
      </w:pPr>
      <w:r>
        <w:rPr>
          <w:rFonts w:ascii="Arial" w:cs="Arial" w:eastAsia="Arial" w:hAnsi="Arial"/>
          <w:sz w:val="20"/>
          <w:szCs w:val="20"/>
          <w:b w:val="1"/>
          <w:bCs w:val="1"/>
          <w:i w:val="1"/>
          <w:iCs w:val="1"/>
          <w:color w:val="auto"/>
        </w:rPr>
        <w:t>Level 3</w:t>
      </w:r>
    </w:p>
    <w:p>
      <w:pPr>
        <w:spacing w:after="0" w:line="247" w:lineRule="exact"/>
        <w:rPr>
          <w:rFonts w:ascii="Arial" w:cs="Arial" w:eastAsia="Arial" w:hAnsi="Arial"/>
          <w:sz w:val="23"/>
          <w:szCs w:val="23"/>
          <w:color w:val="auto"/>
          <w:vertAlign w:val="superscript"/>
        </w:rPr>
      </w:pPr>
    </w:p>
    <w:p>
      <w:pPr>
        <w:ind w:left="707" w:right="60"/>
        <w:spacing w:after="0" w:line="264" w:lineRule="auto"/>
        <w:rPr>
          <w:rFonts w:ascii="Arial" w:cs="Arial" w:eastAsia="Arial" w:hAnsi="Arial"/>
          <w:sz w:val="23"/>
          <w:szCs w:val="23"/>
          <w:color w:val="auto"/>
          <w:vertAlign w:val="superscript"/>
        </w:rPr>
      </w:pPr>
      <w:r>
        <w:rPr>
          <w:rFonts w:ascii="Arial" w:cs="Arial" w:eastAsia="Arial" w:hAnsi="Arial"/>
          <w:sz w:val="19"/>
          <w:szCs w:val="19"/>
          <w:color w:val="auto"/>
        </w:rPr>
        <w:t>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PAA’s common unit price, and default probabilities which impacted timing estimates as to when the option would be exercised.</w:t>
      </w:r>
    </w:p>
    <w:p>
      <w:pPr>
        <w:sectPr>
          <w:pgSz w:w="11880" w:h="15480" w:orient="portrait"/>
          <w:cols w:equalWidth="0" w:num="1">
            <w:col w:w="10047"/>
          </w:cols>
          <w:pgMar w:left="913" w:top="337" w:right="920" w:bottom="0" w:gutter="0" w:footer="0" w:header="0"/>
        </w:sectPr>
      </w:pPr>
    </w:p>
    <w:p>
      <w:pPr>
        <w:spacing w:after="0" w:line="38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F-41</w:t>
      </w:r>
    </w:p>
    <w:p>
      <w:pPr>
        <w:sectPr>
          <w:pgSz w:w="11880" w:h="15480" w:orient="portrait"/>
          <w:cols w:equalWidth="0" w:num="1">
            <w:col w:w="10047"/>
          </w:cols>
          <w:pgMar w:left="913" w:top="337" w:right="920" w:bottom="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Rollforward of Level 3 Net Asset/(Liability)</w:t>
      </w:r>
    </w:p>
    <w:p>
      <w:pPr>
        <w:spacing w:after="0" w:line="248" w:lineRule="exact"/>
        <w:rPr>
          <w:sz w:val="20"/>
          <w:szCs w:val="20"/>
          <w:color w:val="auto"/>
        </w:rPr>
      </w:pPr>
    </w:p>
    <w:p>
      <w:pPr>
        <w:ind w:right="240" w:firstLine="706"/>
        <w:spacing w:after="0" w:line="257" w:lineRule="auto"/>
        <w:rPr>
          <w:sz w:val="20"/>
          <w:szCs w:val="20"/>
          <w:color w:val="auto"/>
        </w:rPr>
      </w:pPr>
      <w:r>
        <w:rPr>
          <w:rFonts w:ascii="Arial" w:cs="Arial" w:eastAsia="Arial" w:hAnsi="Arial"/>
          <w:sz w:val="20"/>
          <w:szCs w:val="20"/>
          <w:color w:val="auto"/>
        </w:rPr>
        <w:t>The following table provides a reconciliation of changes in fair value of the beginning and ending balances for the Preferred Distribution Rate Reset Option embedded derivative, which was classified as Level 3 in the fair value hierarchy (in millions):</w:t>
      </w:r>
    </w:p>
    <w:tbl>
      <w:tblPr>
        <w:tblLayout w:type="fixed"/>
        <w:tblInd w:w="40" w:type="dxa"/>
        <w:tblCellMar>
          <w:top w:w="0" w:type="dxa"/>
          <w:left w:w="0" w:type="dxa"/>
          <w:bottom w:w="0" w:type="dxa"/>
          <w:right w:w="0" w:type="dxa"/>
        </w:tblCellMar>
      </w:tblPr>
      <w:tr>
        <w:trPr>
          <w:trHeight w:val="160"/>
        </w:trPr>
        <w:tc>
          <w:tcPr>
            <w:tcW w:w="8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329"/>
              <w:spacing w:after="0" w:line="161" w:lineRule="exact"/>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4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20"/>
                <w:szCs w:val="20"/>
                <w:color w:val="auto"/>
              </w:rPr>
              <w:t>Beginning Balance</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(189)</w:t>
            </w:r>
          </w:p>
        </w:tc>
        <w:tc>
          <w:tcPr>
            <w:tcW w:w="0" w:type="dxa"/>
            <w:vAlign w:val="bottom"/>
          </w:tcPr>
          <w:p>
            <w:pPr>
              <w:spacing w:after="0"/>
              <w:rPr>
                <w:sz w:val="1"/>
                <w:szCs w:val="1"/>
                <w:color w:val="auto"/>
              </w:rPr>
            </w:pPr>
          </w:p>
        </w:tc>
      </w:tr>
      <w:tr>
        <w:trPr>
          <w:trHeight w:val="294"/>
        </w:trPr>
        <w:tc>
          <w:tcPr>
            <w:tcW w:w="8400" w:type="dxa"/>
            <w:vAlign w:val="bottom"/>
          </w:tcPr>
          <w:p>
            <w:pPr>
              <w:ind w:left="140"/>
              <w:spacing w:after="0"/>
              <w:rPr>
                <w:sz w:val="20"/>
                <w:szCs w:val="20"/>
                <w:color w:val="auto"/>
              </w:rPr>
            </w:pPr>
            <w:r>
              <w:rPr>
                <w:rFonts w:ascii="Arial" w:cs="Arial" w:eastAsia="Arial" w:hAnsi="Arial"/>
                <w:sz w:val="20"/>
                <w:szCs w:val="20"/>
                <w:color w:val="auto"/>
              </w:rPr>
              <w:t>Gain for the period included in earnings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98"/>
        </w:trPr>
        <w:tc>
          <w:tcPr>
            <w:tcW w:w="8400" w:type="dxa"/>
            <w:vAlign w:val="bottom"/>
          </w:tcPr>
          <w:p>
            <w:pPr>
              <w:ind w:left="140"/>
              <w:spacing w:after="0"/>
              <w:rPr>
                <w:sz w:val="20"/>
                <w:szCs w:val="20"/>
                <w:color w:val="auto"/>
              </w:rPr>
            </w:pPr>
            <w:r>
              <w:rPr>
                <w:rFonts w:ascii="Arial" w:cs="Arial" w:eastAsia="Arial" w:hAnsi="Arial"/>
                <w:sz w:val="20"/>
                <w:szCs w:val="20"/>
                <w:color w:val="auto"/>
              </w:rPr>
              <w:t>Settlements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w:t>
            </w:r>
          </w:p>
        </w:tc>
        <w:tc>
          <w:tcPr>
            <w:tcW w:w="0" w:type="dxa"/>
            <w:vAlign w:val="bottom"/>
          </w:tcPr>
          <w:p>
            <w:pPr>
              <w:spacing w:after="0"/>
              <w:rPr>
                <w:sz w:val="1"/>
                <w:szCs w:val="1"/>
                <w:color w:val="auto"/>
              </w:rPr>
            </w:pPr>
          </w:p>
        </w:tc>
      </w:tr>
      <w:tr>
        <w:trPr>
          <w:trHeight w:val="254"/>
        </w:trPr>
        <w:tc>
          <w:tcPr>
            <w:tcW w:w="8400" w:type="dxa"/>
            <w:vAlign w:val="bottom"/>
          </w:tcPr>
          <w:p>
            <w:pPr>
              <w:spacing w:after="0"/>
              <w:rPr>
                <w:sz w:val="20"/>
                <w:szCs w:val="20"/>
                <w:color w:val="auto"/>
              </w:rPr>
            </w:pPr>
            <w:r>
              <w:rPr>
                <w:rFonts w:ascii="Arial" w:cs="Arial" w:eastAsia="Arial" w:hAnsi="Arial"/>
                <w:sz w:val="20"/>
                <w:szCs w:val="20"/>
                <w:color w:val="auto"/>
              </w:rPr>
              <w:t>Ending Balance</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20"/>
                <w:szCs w:val="20"/>
                <w:color w:val="auto"/>
                <w:w w:val="93"/>
              </w:rPr>
              <w:t>Change in unrealized gains/(losses) included in earnings relating to Level 3 derivatives still held at the</w:t>
            </w: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8400" w:type="dxa"/>
            <w:vAlign w:val="bottom"/>
            <w:vMerge w:val="continue"/>
          </w:tcPr>
          <w:p>
            <w:pPr>
              <w:spacing w:after="0"/>
              <w:rPr>
                <w:sz w:val="24"/>
                <w:szCs w:val="24"/>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w:t>
            </w: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8400" w:type="dxa"/>
            <w:vAlign w:val="bottom"/>
          </w:tcPr>
          <w:p>
            <w:pPr>
              <w:spacing w:after="0"/>
              <w:rPr>
                <w:sz w:val="20"/>
                <w:szCs w:val="20"/>
                <w:color w:val="auto"/>
              </w:rPr>
            </w:pPr>
            <w:r>
              <w:rPr>
                <w:rFonts w:ascii="Arial" w:cs="Arial" w:eastAsia="Arial" w:hAnsi="Arial"/>
                <w:sz w:val="20"/>
                <w:szCs w:val="20"/>
                <w:color w:val="auto"/>
              </w:rPr>
              <w:t>end of the period</w:t>
            </w:r>
          </w:p>
        </w:tc>
        <w:tc>
          <w:tcPr>
            <w:tcW w:w="280" w:type="dxa"/>
            <w:vAlign w:val="bottom"/>
            <w:gridSpan w:val="2"/>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-1245235</wp:posOffset>
            </wp:positionV>
            <wp:extent cx="6410325" cy="12668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5">
                      <a:extLst>
                        <a:ext uri="{28A0092B-C50C-407E-A947-70E740481C1C}"/>
                      </a:extLst>
                    </a:blip>
                    <a:srcRect/>
                    <a:stretch>
                      <a:fillRect/>
                    </a:stretch>
                  </pic:blipFill>
                  <pic:spPr bwMode="auto">
                    <a:xfrm>
                      <a:off x="0" y="0"/>
                      <a:ext cx="6410325" cy="126682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13—Leases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Lessee</w:t>
      </w:r>
    </w:p>
    <w:p>
      <w:pPr>
        <w:spacing w:after="0" w:line="248" w:lineRule="exact"/>
        <w:rPr>
          <w:sz w:val="20"/>
          <w:szCs w:val="20"/>
          <w:color w:val="auto"/>
        </w:rPr>
      </w:pPr>
    </w:p>
    <w:p>
      <w:pPr>
        <w:ind w:right="40" w:firstLine="706"/>
        <w:spacing w:after="0" w:line="294" w:lineRule="auto"/>
        <w:rPr>
          <w:sz w:val="20"/>
          <w:szCs w:val="20"/>
          <w:color w:val="auto"/>
        </w:rPr>
      </w:pPr>
      <w:r>
        <w:rPr>
          <w:rFonts w:ascii="Arial" w:cs="Arial" w:eastAsia="Arial" w:hAnsi="Arial"/>
          <w:sz w:val="17"/>
          <w:szCs w:val="17"/>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storage tanks, land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56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200" w:lineRule="exact"/>
        <w:rPr>
          <w:sz w:val="20"/>
          <w:szCs w:val="20"/>
          <w:color w:val="auto"/>
        </w:rPr>
      </w:pPr>
    </w:p>
    <w:p>
      <w:pPr>
        <w:spacing w:after="0" w:line="215" w:lineRule="exact"/>
        <w:rPr>
          <w:sz w:val="20"/>
          <w:szCs w:val="20"/>
          <w:color w:val="auto"/>
        </w:rPr>
      </w:pPr>
    </w:p>
    <w:p>
      <w:pPr>
        <w:ind w:right="20" w:firstLine="706"/>
        <w:spacing w:after="0" w:line="312" w:lineRule="auto"/>
        <w:rPr>
          <w:sz w:val="20"/>
          <w:szCs w:val="20"/>
          <w:color w:val="auto"/>
        </w:rPr>
      </w:pPr>
      <w:r>
        <w:rPr>
          <w:rFonts w:ascii="Arial" w:cs="Arial" w:eastAsia="Arial" w:hAnsi="Arial"/>
          <w:sz w:val="17"/>
          <w:szCs w:val="17"/>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60" w:lineRule="exact"/>
        <w:rPr>
          <w:sz w:val="20"/>
          <w:szCs w:val="20"/>
          <w:color w:val="auto"/>
        </w:rPr>
      </w:pPr>
    </w:p>
    <w:p>
      <w:pPr>
        <w:ind w:right="60" w:firstLine="706"/>
        <w:spacing w:after="0" w:line="251" w:lineRule="auto"/>
        <w:rPr>
          <w:sz w:val="20"/>
          <w:szCs w:val="20"/>
          <w:color w:val="auto"/>
        </w:rPr>
      </w:pPr>
      <w:r>
        <w:rPr>
          <w:rFonts w:ascii="Arial" w:cs="Arial" w:eastAsia="Arial" w:hAnsi="Arial"/>
          <w:sz w:val="20"/>
          <w:szCs w:val="20"/>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880" w:h="15480" w:orient="portrait"/>
          <w:cols w:equalWidth="0" w:num="1">
            <w:col w:w="10040"/>
          </w:cols>
          <w:pgMar w:left="920" w:top="337" w:right="920" w:bottom="0" w:gutter="0" w:footer="0" w:header="0"/>
          <w:type w:val="continuous"/>
        </w:sectPr>
      </w:pPr>
    </w:p>
    <w:bookmarkStart w:id="148" w:name="page149"/>
    <w:bookmarkEnd w:id="148"/>
    <w:p>
      <w:pPr>
        <w:jc w:val="center"/>
        <w:ind w:right="13"/>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 w:right="380" w:firstLine="706"/>
        <w:spacing w:after="0" w:line="271" w:lineRule="auto"/>
        <w:rPr>
          <w:sz w:val="20"/>
          <w:szCs w:val="20"/>
          <w:color w:val="auto"/>
        </w:rPr>
      </w:pPr>
      <w:r>
        <w:rPr>
          <w:rFonts w:ascii="Arial" w:cs="Arial" w:eastAsia="Arial" w:hAnsi="Arial"/>
          <w:sz w:val="20"/>
          <w:szCs w:val="20"/>
          <w:color w:val="auto"/>
        </w:rPr>
        <w:t>The following table presents components of lease cost, including both amounts recognized in income and amounts capitalized (in millions):</w:t>
      </w:r>
    </w:p>
    <w:p>
      <w:pPr>
        <w:spacing w:after="0" w:line="274"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30"/>
        </w:trPr>
        <w:tc>
          <w:tcPr>
            <w:tcW w:w="6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Lease Cost</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2022</w:t>
            </w:r>
          </w:p>
        </w:tc>
      </w:tr>
      <w:tr>
        <w:trPr>
          <w:trHeight w:val="270"/>
        </w:trPr>
        <w:tc>
          <w:tcPr>
            <w:tcW w:w="6100" w:type="dxa"/>
            <w:vAlign w:val="bottom"/>
            <w:gridSpan w:val="3"/>
          </w:tcPr>
          <w:p>
            <w:pPr>
              <w:ind w:left="40"/>
              <w:spacing w:after="0"/>
              <w:rPr>
                <w:sz w:val="20"/>
                <w:szCs w:val="20"/>
                <w:color w:val="auto"/>
              </w:rPr>
            </w:pPr>
            <w:r>
              <w:rPr>
                <w:rFonts w:ascii="Arial" w:cs="Arial" w:eastAsia="Arial" w:hAnsi="Arial"/>
                <w:sz w:val="20"/>
                <w:szCs w:val="20"/>
                <w:color w:val="auto"/>
              </w:rPr>
              <w:t>Operating lease cost</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80</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94"/>
        </w:trPr>
        <w:tc>
          <w:tcPr>
            <w:tcW w:w="6100" w:type="dxa"/>
            <w:vAlign w:val="bottom"/>
            <w:gridSpan w:val="3"/>
          </w:tcPr>
          <w:p>
            <w:pPr>
              <w:ind w:left="40"/>
              <w:spacing w:after="0"/>
              <w:rPr>
                <w:sz w:val="20"/>
                <w:szCs w:val="20"/>
                <w:color w:val="auto"/>
              </w:rPr>
            </w:pPr>
            <w:r>
              <w:rPr>
                <w:rFonts w:ascii="Arial" w:cs="Arial" w:eastAsia="Arial" w:hAnsi="Arial"/>
                <w:sz w:val="20"/>
                <w:szCs w:val="20"/>
                <w:color w:val="auto"/>
              </w:rPr>
              <w:t>Short-term lease cost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8"/>
        </w:trPr>
        <w:tc>
          <w:tcPr>
            <w:tcW w:w="6100" w:type="dxa"/>
            <w:vAlign w:val="bottom"/>
            <w:gridSpan w:val="3"/>
          </w:tcPr>
          <w:p>
            <w:pPr>
              <w:ind w:left="40"/>
              <w:spacing w:after="0"/>
              <w:rPr>
                <w:sz w:val="20"/>
                <w:szCs w:val="20"/>
                <w:color w:val="auto"/>
              </w:rPr>
            </w:pPr>
            <w:r>
              <w:rPr>
                <w:rFonts w:ascii="Arial" w:cs="Arial" w:eastAsia="Arial" w:hAnsi="Arial"/>
                <w:sz w:val="20"/>
                <w:szCs w:val="20"/>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r>
      <w:tr>
        <w:trPr>
          <w:trHeight w:val="254"/>
        </w:trPr>
        <w:tc>
          <w:tcPr>
            <w:tcW w:w="6100" w:type="dxa"/>
            <w:vAlign w:val="bottom"/>
            <w:gridSpan w:val="3"/>
          </w:tcPr>
          <w:p>
            <w:pPr>
              <w:ind w:left="160"/>
              <w:spacing w:after="0"/>
              <w:rPr>
                <w:sz w:val="20"/>
                <w:szCs w:val="20"/>
                <w:color w:val="auto"/>
              </w:rPr>
            </w:pPr>
            <w:r>
              <w:rPr>
                <w:rFonts w:ascii="Arial" w:cs="Arial" w:eastAsia="Arial" w:hAnsi="Arial"/>
                <w:sz w:val="20"/>
                <w:szCs w:val="20"/>
                <w:color w:val="auto"/>
              </w:rPr>
              <w:t>Total lease cost</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113</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109</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0"/>
        </w:trPr>
        <w:tc>
          <w:tcPr>
            <w:tcW w:w="3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-874395</wp:posOffset>
            </wp:positionV>
            <wp:extent cx="6410325" cy="784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6">
                      <a:extLst>
                        <a:ext uri="{28A0092B-C50C-407E-A947-70E740481C1C}"/>
                      </a:extLst>
                    </a:blip>
                    <a:srcRect/>
                    <a:stretch>
                      <a:fillRect/>
                    </a:stretch>
                  </pic:blipFill>
                  <pic:spPr bwMode="auto">
                    <a:xfrm>
                      <a:off x="0" y="0"/>
                      <a:ext cx="6410325" cy="784860"/>
                    </a:xfrm>
                    <a:prstGeom prst="rect">
                      <a:avLst/>
                    </a:prstGeom>
                    <a:noFill/>
                  </pic:spPr>
                </pic:pic>
              </a:graphicData>
            </a:graphic>
          </wp:anchor>
        </w:drawing>
      </w:r>
    </w:p>
    <w:p>
      <w:pPr>
        <w:spacing w:after="0" w:line="33" w:lineRule="exact"/>
        <w:rPr>
          <w:sz w:val="20"/>
          <w:szCs w:val="20"/>
          <w:color w:val="auto"/>
        </w:rPr>
      </w:pPr>
    </w:p>
    <w:p>
      <w:pPr>
        <w:ind w:left="707" w:hanging="707"/>
        <w:spacing w:after="0"/>
        <w:tabs>
          <w:tab w:leader="none" w:pos="707" w:val="left"/>
        </w:tabs>
        <w:numPr>
          <w:ilvl w:val="0"/>
          <w:numId w:val="97"/>
        </w:numPr>
        <w:rPr>
          <w:rFonts w:ascii="Arial" w:cs="Arial" w:eastAsia="Arial" w:hAnsi="Arial"/>
          <w:sz w:val="25"/>
          <w:szCs w:val="25"/>
          <w:color w:val="auto"/>
          <w:vertAlign w:val="superscript"/>
        </w:rPr>
      </w:pPr>
      <w:r>
        <w:rPr>
          <w:rFonts w:ascii="Arial" w:cs="Arial" w:eastAsia="Arial" w:hAnsi="Arial"/>
          <w:sz w:val="20"/>
          <w:szCs w:val="20"/>
          <w:color w:val="auto"/>
        </w:rPr>
        <w:t>Includes finance lease costs, variable lease costs and sublease income.</w:t>
      </w:r>
    </w:p>
    <w:p>
      <w:pPr>
        <w:spacing w:after="0" w:line="333" w:lineRule="exact"/>
        <w:rPr>
          <w:rFonts w:ascii="Arial" w:cs="Arial" w:eastAsia="Arial" w:hAnsi="Arial"/>
          <w:sz w:val="25"/>
          <w:szCs w:val="25"/>
          <w:color w:val="auto"/>
          <w:vertAlign w:val="superscript"/>
        </w:rPr>
      </w:pPr>
    </w:p>
    <w:p>
      <w:pPr>
        <w:ind w:left="707"/>
        <w:spacing w:after="0"/>
        <w:rPr>
          <w:rFonts w:ascii="Arial" w:cs="Arial" w:eastAsia="Arial" w:hAnsi="Arial"/>
          <w:sz w:val="25"/>
          <w:szCs w:val="25"/>
          <w:color w:val="auto"/>
          <w:vertAlign w:val="superscript"/>
        </w:rPr>
      </w:pPr>
      <w:r>
        <w:rPr>
          <w:rFonts w:ascii="Arial" w:cs="Arial" w:eastAsia="Arial" w:hAnsi="Arial"/>
          <w:sz w:val="20"/>
          <w:szCs w:val="20"/>
          <w:color w:val="auto"/>
        </w:rPr>
        <w:t>The following table presents information related to cash flows arising from lease transactions (in millions):</w:t>
      </w:r>
    </w:p>
    <w:p>
      <w:pPr>
        <w:spacing w:after="0" w:line="328"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w w:val="98"/>
              </w:rPr>
              <w:t>Year Ended December 31,</w:t>
            </w:r>
          </w:p>
        </w:tc>
        <w:tc>
          <w:tcPr>
            <w:tcW w:w="960" w:type="dxa"/>
            <w:vAlign w:val="bottom"/>
            <w:tcBorders>
              <w:bottom w:val="single" w:sz="8" w:color="auto"/>
            </w:tcBorders>
          </w:tcPr>
          <w:p>
            <w:pPr>
              <w:spacing w:after="0"/>
              <w:rPr>
                <w:sz w:val="18"/>
                <w:szCs w:val="18"/>
                <w:color w:val="auto"/>
              </w:rPr>
            </w:pPr>
          </w:p>
        </w:tc>
      </w:tr>
      <w:tr>
        <w:trPr>
          <w:trHeight w:val="230"/>
        </w:trPr>
        <w:tc>
          <w:tcPr>
            <w:tcW w:w="6060" w:type="dxa"/>
            <w:vAlign w:val="bottom"/>
          </w:tcPr>
          <w:p>
            <w:pPr>
              <w:spacing w:after="0"/>
              <w:rPr>
                <w:sz w:val="19"/>
                <w:szCs w:val="19"/>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b w:val="1"/>
                <w:bCs w:val="1"/>
                <w:color w:val="auto"/>
              </w:rPr>
              <w:t>2022</w:t>
            </w:r>
          </w:p>
        </w:tc>
      </w:tr>
      <w:tr>
        <w:trPr>
          <w:trHeight w:val="270"/>
        </w:trPr>
        <w:tc>
          <w:tcPr>
            <w:tcW w:w="6060" w:type="dxa"/>
            <w:vAlign w:val="bottom"/>
          </w:tcPr>
          <w:p>
            <w:pPr>
              <w:spacing w:after="0"/>
              <w:rPr>
                <w:sz w:val="20"/>
                <w:szCs w:val="20"/>
                <w:color w:val="auto"/>
              </w:rPr>
            </w:pPr>
            <w:r>
              <w:rPr>
                <w:rFonts w:ascii="Arial" w:cs="Arial" w:eastAsia="Arial" w:hAnsi="Arial"/>
                <w:sz w:val="20"/>
                <w:szCs w:val="20"/>
                <w:color w:val="auto"/>
                <w:w w:val="96"/>
              </w:rPr>
              <w:t>Cash paid for amounts included in the measurement of lease liabilities:</w:t>
            </w: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94"/>
        </w:trPr>
        <w:tc>
          <w:tcPr>
            <w:tcW w:w="6060" w:type="dxa"/>
            <w:vAlign w:val="bottom"/>
          </w:tcPr>
          <w:p>
            <w:pPr>
              <w:ind w:left="120"/>
              <w:spacing w:after="0"/>
              <w:rPr>
                <w:sz w:val="20"/>
                <w:szCs w:val="20"/>
                <w:color w:val="auto"/>
              </w:rPr>
            </w:pPr>
            <w:r>
              <w:rPr>
                <w:rFonts w:ascii="Arial" w:cs="Arial" w:eastAsia="Arial" w:hAnsi="Arial"/>
                <w:sz w:val="20"/>
                <w:szCs w:val="20"/>
                <w:color w:val="auto"/>
              </w:rPr>
              <w:t>Operating cash flows for operating leases</w:t>
            </w:r>
          </w:p>
        </w:tc>
        <w:tc>
          <w:tcPr>
            <w:tcW w:w="900" w:type="dxa"/>
            <w:vAlign w:val="bottom"/>
          </w:tcPr>
          <w:p>
            <w:pPr>
              <w:jc w:val="right"/>
              <w:ind w:right="645"/>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78</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81</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94"/>
        </w:trPr>
        <w:tc>
          <w:tcPr>
            <w:tcW w:w="6060" w:type="dxa"/>
            <w:vAlign w:val="bottom"/>
          </w:tcPr>
          <w:p>
            <w:pPr>
              <w:ind w:left="120"/>
              <w:spacing w:after="0"/>
              <w:rPr>
                <w:sz w:val="20"/>
                <w:szCs w:val="20"/>
                <w:color w:val="auto"/>
              </w:rPr>
            </w:pPr>
            <w:r>
              <w:rPr>
                <w:rFonts w:ascii="Arial" w:cs="Arial" w:eastAsia="Arial" w:hAnsi="Arial"/>
                <w:sz w:val="20"/>
                <w:szCs w:val="20"/>
                <w:color w:val="auto"/>
              </w:rPr>
              <w:t>Operating cash flows for finance leases</w:t>
            </w:r>
          </w:p>
        </w:tc>
        <w:tc>
          <w:tcPr>
            <w:tcW w:w="900" w:type="dxa"/>
            <w:vAlign w:val="bottom"/>
          </w:tcPr>
          <w:p>
            <w:pPr>
              <w:jc w:val="right"/>
              <w:ind w:right="645"/>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8</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4"/>
        </w:trPr>
        <w:tc>
          <w:tcPr>
            <w:tcW w:w="6060" w:type="dxa"/>
            <w:vAlign w:val="bottom"/>
          </w:tcPr>
          <w:p>
            <w:pPr>
              <w:ind w:left="120"/>
              <w:spacing w:after="0"/>
              <w:rPr>
                <w:sz w:val="20"/>
                <w:szCs w:val="20"/>
                <w:color w:val="auto"/>
              </w:rPr>
            </w:pPr>
            <w:r>
              <w:rPr>
                <w:rFonts w:ascii="Arial" w:cs="Arial" w:eastAsia="Arial" w:hAnsi="Arial"/>
                <w:sz w:val="20"/>
                <w:szCs w:val="20"/>
                <w:color w:val="auto"/>
              </w:rPr>
              <w:t>Financing cash flows for finance leases</w:t>
            </w:r>
          </w:p>
        </w:tc>
        <w:tc>
          <w:tcPr>
            <w:tcW w:w="900" w:type="dxa"/>
            <w:vAlign w:val="bottom"/>
          </w:tcPr>
          <w:p>
            <w:pPr>
              <w:jc w:val="right"/>
              <w:ind w:right="645"/>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15</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11</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525"/>
        </w:trPr>
        <w:tc>
          <w:tcPr>
            <w:tcW w:w="6060" w:type="dxa"/>
            <w:vAlign w:val="bottom"/>
          </w:tcPr>
          <w:p>
            <w:pPr>
              <w:spacing w:after="0"/>
              <w:rPr>
                <w:sz w:val="20"/>
                <w:szCs w:val="20"/>
                <w:color w:val="auto"/>
              </w:rPr>
            </w:pPr>
            <w:r>
              <w:rPr>
                <w:rFonts w:ascii="Arial" w:cs="Arial" w:eastAsia="Arial" w:hAnsi="Arial"/>
                <w:sz w:val="20"/>
                <w:szCs w:val="20"/>
                <w:color w:val="auto"/>
                <w:w w:val="91"/>
              </w:rPr>
              <w:t>Non-cash change in lease liabilities arising from obtaining new right-of-use</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5"/>
        </w:trPr>
        <w:tc>
          <w:tcPr>
            <w:tcW w:w="6060" w:type="dxa"/>
            <w:vAlign w:val="bottom"/>
          </w:tcPr>
          <w:p>
            <w:pPr>
              <w:spacing w:after="0"/>
              <w:rPr>
                <w:sz w:val="20"/>
                <w:szCs w:val="20"/>
                <w:color w:val="auto"/>
              </w:rPr>
            </w:pPr>
            <w:r>
              <w:rPr>
                <w:rFonts w:ascii="Arial" w:cs="Arial" w:eastAsia="Arial" w:hAnsi="Arial"/>
                <w:sz w:val="20"/>
                <w:szCs w:val="20"/>
                <w:color w:val="auto"/>
              </w:rPr>
              <w:t>assets or modifications:</w:t>
            </w: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93"/>
        </w:trPr>
        <w:tc>
          <w:tcPr>
            <w:tcW w:w="6060" w:type="dxa"/>
            <w:vAlign w:val="bottom"/>
          </w:tcPr>
          <w:p>
            <w:pPr>
              <w:ind w:left="120"/>
              <w:spacing w:after="0"/>
              <w:rPr>
                <w:sz w:val="20"/>
                <w:szCs w:val="20"/>
                <w:color w:val="auto"/>
              </w:rPr>
            </w:pPr>
            <w:r>
              <w:rPr>
                <w:rFonts w:ascii="Arial" w:cs="Arial" w:eastAsia="Arial" w:hAnsi="Arial"/>
                <w:sz w:val="20"/>
                <w:szCs w:val="20"/>
                <w:color w:val="auto"/>
              </w:rPr>
              <w:t>Operating leases</w:t>
            </w:r>
          </w:p>
        </w:tc>
        <w:tc>
          <w:tcPr>
            <w:tcW w:w="900" w:type="dxa"/>
            <w:vAlign w:val="bottom"/>
          </w:tcPr>
          <w:p>
            <w:pPr>
              <w:jc w:val="right"/>
              <w:ind w:right="645"/>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98</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32</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94"/>
        </w:trPr>
        <w:tc>
          <w:tcPr>
            <w:tcW w:w="6060" w:type="dxa"/>
            <w:vAlign w:val="bottom"/>
          </w:tcPr>
          <w:p>
            <w:pPr>
              <w:ind w:left="120"/>
              <w:spacing w:after="0"/>
              <w:rPr>
                <w:sz w:val="20"/>
                <w:szCs w:val="20"/>
                <w:color w:val="auto"/>
              </w:rPr>
            </w:pPr>
            <w:r>
              <w:rPr>
                <w:rFonts w:ascii="Arial" w:cs="Arial" w:eastAsia="Arial" w:hAnsi="Arial"/>
                <w:sz w:val="20"/>
                <w:szCs w:val="20"/>
                <w:color w:val="auto"/>
              </w:rPr>
              <w:t>Finance leases</w:t>
            </w:r>
          </w:p>
        </w:tc>
        <w:tc>
          <w:tcPr>
            <w:tcW w:w="900" w:type="dxa"/>
            <w:vAlign w:val="bottom"/>
          </w:tcPr>
          <w:p>
            <w:pPr>
              <w:jc w:val="right"/>
              <w:ind w:right="645"/>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25</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27</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-1618615</wp:posOffset>
            </wp:positionV>
            <wp:extent cx="6419215" cy="16402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7">
                      <a:extLst>
                        <a:ext uri="{28A0092B-C50C-407E-A947-70E740481C1C}"/>
                      </a:extLst>
                    </a:blip>
                    <a:srcRect/>
                    <a:stretch>
                      <a:fillRect/>
                    </a:stretch>
                  </pic:blipFill>
                  <pic:spPr bwMode="auto">
                    <a:xfrm>
                      <a:off x="0" y="0"/>
                      <a:ext cx="6419215" cy="1640205"/>
                    </a:xfrm>
                    <a:prstGeom prst="rect">
                      <a:avLst/>
                    </a:prstGeom>
                    <a:noFill/>
                  </pic:spPr>
                </pic:pic>
              </a:graphicData>
            </a:graphic>
          </wp:anchor>
        </w:drawing>
      </w:r>
    </w:p>
    <w:p>
      <w:pPr>
        <w:spacing w:after="0" w:line="266" w:lineRule="exact"/>
        <w:rPr>
          <w:sz w:val="20"/>
          <w:szCs w:val="20"/>
          <w:color w:val="auto"/>
        </w:rPr>
      </w:pPr>
    </w:p>
    <w:p>
      <w:pPr>
        <w:ind w:left="707"/>
        <w:spacing w:after="0"/>
        <w:rPr>
          <w:sz w:val="20"/>
          <w:szCs w:val="20"/>
          <w:color w:val="auto"/>
        </w:rPr>
      </w:pPr>
      <w:r>
        <w:rPr>
          <w:rFonts w:ascii="Arial" w:cs="Arial" w:eastAsia="Arial" w:hAnsi="Arial"/>
          <w:sz w:val="17"/>
          <w:szCs w:val="17"/>
          <w:color w:val="auto"/>
        </w:rPr>
        <w:t>Information related to the weighted-average remaining lease term and discount rate is presented in the table below:</w:t>
      </w:r>
    </w:p>
    <w:p>
      <w:pPr>
        <w:spacing w:after="0" w:line="363"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30"/>
        </w:trPr>
        <w:tc>
          <w:tcPr>
            <w:tcW w:w="7400" w:type="dxa"/>
            <w:vAlign w:val="bottom"/>
          </w:tcPr>
          <w:p>
            <w:pPr>
              <w:spacing w:after="0"/>
              <w:rPr>
                <w:sz w:val="19"/>
                <w:szCs w:val="19"/>
                <w:color w:val="auto"/>
              </w:rPr>
            </w:pPr>
          </w:p>
        </w:tc>
        <w:tc>
          <w:tcPr>
            <w:tcW w:w="12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6"/>
                <w:szCs w:val="16"/>
                <w:b w:val="1"/>
                <w:bCs w:val="1"/>
                <w:color w:val="auto"/>
                <w:w w:val="89"/>
              </w:rPr>
              <w:t>2023</w:t>
            </w:r>
          </w:p>
        </w:tc>
      </w:tr>
      <w:tr>
        <w:trPr>
          <w:trHeight w:val="270"/>
        </w:trPr>
        <w:tc>
          <w:tcPr>
            <w:tcW w:w="7400" w:type="dxa"/>
            <w:vAlign w:val="bottom"/>
          </w:tcPr>
          <w:p>
            <w:pPr>
              <w:spacing w:after="0"/>
              <w:rPr>
                <w:sz w:val="20"/>
                <w:szCs w:val="20"/>
                <w:color w:val="auto"/>
              </w:rPr>
            </w:pPr>
            <w:r>
              <w:rPr>
                <w:rFonts w:ascii="Arial" w:cs="Arial" w:eastAsia="Arial" w:hAnsi="Arial"/>
                <w:sz w:val="20"/>
                <w:szCs w:val="20"/>
                <w:color w:val="auto"/>
              </w:rPr>
              <w:t>Weighted-average remaining lease term (in years):</w:t>
            </w: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94"/>
        </w:trPr>
        <w:tc>
          <w:tcPr>
            <w:tcW w:w="7400" w:type="dxa"/>
            <w:vAlign w:val="bottom"/>
          </w:tcPr>
          <w:p>
            <w:pPr>
              <w:ind w:left="120"/>
              <w:spacing w:after="0"/>
              <w:rPr>
                <w:sz w:val="20"/>
                <w:szCs w:val="20"/>
                <w:color w:val="auto"/>
              </w:rPr>
            </w:pPr>
            <w:r>
              <w:rPr>
                <w:rFonts w:ascii="Arial" w:cs="Arial" w:eastAsia="Arial" w:hAnsi="Arial"/>
                <w:sz w:val="20"/>
                <w:szCs w:val="20"/>
                <w:color w:val="auto"/>
              </w:rPr>
              <w:t>Operating leases</w:t>
            </w:r>
          </w:p>
        </w:tc>
        <w:tc>
          <w:tcPr>
            <w:tcW w:w="126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4"/>
        </w:trPr>
        <w:tc>
          <w:tcPr>
            <w:tcW w:w="7400" w:type="dxa"/>
            <w:vAlign w:val="bottom"/>
          </w:tcPr>
          <w:p>
            <w:pPr>
              <w:ind w:left="120"/>
              <w:spacing w:after="0"/>
              <w:rPr>
                <w:sz w:val="20"/>
                <w:szCs w:val="20"/>
                <w:color w:val="auto"/>
              </w:rPr>
            </w:pPr>
            <w:r>
              <w:rPr>
                <w:rFonts w:ascii="Arial" w:cs="Arial" w:eastAsia="Arial" w:hAnsi="Arial"/>
                <w:sz w:val="20"/>
                <w:szCs w:val="20"/>
                <w:color w:val="auto"/>
              </w:rPr>
              <w:t>Finance leases</w:t>
            </w:r>
          </w:p>
        </w:tc>
        <w:tc>
          <w:tcPr>
            <w:tcW w:w="1260" w:type="dxa"/>
            <w:vAlign w:val="bottom"/>
          </w:tcPr>
          <w:p>
            <w:pPr>
              <w:jc w:val="right"/>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588"/>
        </w:trPr>
        <w:tc>
          <w:tcPr>
            <w:tcW w:w="7400" w:type="dxa"/>
            <w:vAlign w:val="bottom"/>
          </w:tcPr>
          <w:p>
            <w:pPr>
              <w:spacing w:after="0"/>
              <w:rPr>
                <w:sz w:val="20"/>
                <w:szCs w:val="20"/>
                <w:color w:val="auto"/>
              </w:rPr>
            </w:pPr>
            <w:r>
              <w:rPr>
                <w:rFonts w:ascii="Arial" w:cs="Arial" w:eastAsia="Arial" w:hAnsi="Arial"/>
                <w:sz w:val="20"/>
                <w:szCs w:val="20"/>
                <w:color w:val="auto"/>
              </w:rPr>
              <w:t>Weighted-average discount rate:</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4"/>
        </w:trPr>
        <w:tc>
          <w:tcPr>
            <w:tcW w:w="7400" w:type="dxa"/>
            <w:vAlign w:val="bottom"/>
          </w:tcPr>
          <w:p>
            <w:pPr>
              <w:ind w:left="120"/>
              <w:spacing w:after="0"/>
              <w:rPr>
                <w:sz w:val="20"/>
                <w:szCs w:val="20"/>
                <w:color w:val="auto"/>
              </w:rPr>
            </w:pPr>
            <w:r>
              <w:rPr>
                <w:rFonts w:ascii="Arial" w:cs="Arial" w:eastAsia="Arial" w:hAnsi="Arial"/>
                <w:sz w:val="20"/>
                <w:szCs w:val="20"/>
                <w:color w:val="auto"/>
              </w:rPr>
              <w:t>Operating leases</w:t>
            </w:r>
          </w:p>
        </w:tc>
        <w:tc>
          <w:tcPr>
            <w:tcW w:w="1260" w:type="dxa"/>
            <w:vAlign w:val="bottom"/>
          </w:tcPr>
          <w:p>
            <w:pPr>
              <w:jc w:val="right"/>
              <w:spacing w:after="0"/>
              <w:rPr>
                <w:sz w:val="20"/>
                <w:szCs w:val="20"/>
                <w:color w:val="auto"/>
              </w:rPr>
            </w:pPr>
            <w:r>
              <w:rPr>
                <w:rFonts w:ascii="Arial" w:cs="Arial" w:eastAsia="Arial" w:hAnsi="Arial"/>
                <w:sz w:val="20"/>
                <w:szCs w:val="20"/>
                <w:color w:val="auto"/>
              </w:rPr>
              <w:t>5.1 %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4.9 %</w:t>
            </w:r>
          </w:p>
        </w:tc>
      </w:tr>
      <w:tr>
        <w:trPr>
          <w:trHeight w:val="294"/>
        </w:trPr>
        <w:tc>
          <w:tcPr>
            <w:tcW w:w="7400" w:type="dxa"/>
            <w:vAlign w:val="bottom"/>
          </w:tcPr>
          <w:p>
            <w:pPr>
              <w:ind w:left="120"/>
              <w:spacing w:after="0"/>
              <w:rPr>
                <w:sz w:val="20"/>
                <w:szCs w:val="20"/>
                <w:color w:val="auto"/>
              </w:rPr>
            </w:pPr>
            <w:r>
              <w:rPr>
                <w:rFonts w:ascii="Arial" w:cs="Arial" w:eastAsia="Arial" w:hAnsi="Arial"/>
                <w:sz w:val="20"/>
                <w:szCs w:val="20"/>
                <w:color w:val="auto"/>
              </w:rPr>
              <w:t>Finance leases</w:t>
            </w:r>
          </w:p>
        </w:tc>
        <w:tc>
          <w:tcPr>
            <w:tcW w:w="1260" w:type="dxa"/>
            <w:vAlign w:val="bottom"/>
          </w:tcPr>
          <w:p>
            <w:pPr>
              <w:jc w:val="right"/>
              <w:spacing w:after="0"/>
              <w:rPr>
                <w:sz w:val="20"/>
                <w:szCs w:val="20"/>
                <w:color w:val="auto"/>
              </w:rPr>
            </w:pPr>
            <w:r>
              <w:rPr>
                <w:rFonts w:ascii="Arial" w:cs="Arial" w:eastAsia="Arial" w:hAnsi="Arial"/>
                <w:sz w:val="20"/>
                <w:szCs w:val="20"/>
                <w:color w:val="auto"/>
              </w:rPr>
              <w:t>10.6 %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-1310005</wp:posOffset>
            </wp:positionV>
            <wp:extent cx="6410325" cy="13322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8">
                      <a:extLst>
                        <a:ext uri="{28A0092B-C50C-407E-A947-70E740481C1C}"/>
                      </a:extLst>
                    </a:blip>
                    <a:srcRect/>
                    <a:stretch>
                      <a:fillRect/>
                    </a:stretch>
                  </pic:blipFill>
                  <pic:spPr bwMode="auto">
                    <a:xfrm>
                      <a:off x="0" y="0"/>
                      <a:ext cx="6410325" cy="1332230"/>
                    </a:xfrm>
                    <a:prstGeom prst="rect">
                      <a:avLst/>
                    </a:prstGeom>
                    <a:noFill/>
                  </pic:spPr>
                </pic:pic>
              </a:graphicData>
            </a:graphic>
          </wp:anchor>
        </w:drawing>
      </w:r>
    </w:p>
    <w:p>
      <w:pPr>
        <w:sectPr>
          <w:pgSz w:w="11880" w:h="15480" w:orient="portrait"/>
          <w:cols w:equalWidth="0" w:num="1">
            <w:col w:w="10067"/>
          </w:cols>
          <w:pgMar w:left="913" w:top="33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F-43</w:t>
      </w:r>
    </w:p>
    <w:p>
      <w:pPr>
        <w:sectPr>
          <w:pgSz w:w="11880" w:h="15480" w:orient="portrait"/>
          <w:cols w:equalWidth="0" w:num="1">
            <w:col w:w="10067"/>
          </w:cols>
          <w:pgMar w:left="913" w:top="337" w:right="900" w:bottom="0" w:gutter="0" w:footer="0" w:header="0"/>
          <w:type w:val="continuous"/>
        </w:sectPr>
      </w:pPr>
    </w:p>
    <w:bookmarkStart w:id="149" w:name="page150"/>
    <w:bookmarkEnd w:id="149"/>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 w:right="660" w:firstLine="706"/>
        <w:spacing w:after="0" w:line="271" w:lineRule="auto"/>
        <w:rPr>
          <w:sz w:val="20"/>
          <w:szCs w:val="20"/>
          <w:color w:val="auto"/>
        </w:rPr>
      </w:pPr>
      <w:r>
        <w:rPr>
          <w:rFonts w:ascii="Arial" w:cs="Arial" w:eastAsia="Arial" w:hAnsi="Arial"/>
          <w:sz w:val="20"/>
          <w:szCs w:val="20"/>
          <w:color w:val="auto"/>
        </w:rPr>
        <w:t>The following table presents the amount and location of our operating and finance lease right-of-use assets and liabilities on our Consolidated Balance Sheets (in millions):</w:t>
      </w:r>
    </w:p>
    <w:p>
      <w:pPr>
        <w:spacing w:after="0" w:line="274"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6"/>
                <w:szCs w:val="16"/>
                <w:b w:val="1"/>
                <w:bCs w:val="1"/>
                <w:color w:val="auto"/>
              </w:rPr>
              <w:t>Leases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Balance Sheet Location</w:t>
            </w:r>
          </w:p>
        </w:tc>
        <w:tc>
          <w:tcPr>
            <w:tcW w:w="300" w:type="dxa"/>
            <w:vAlign w:val="bottom"/>
          </w:tcPr>
          <w:p>
            <w:pPr>
              <w:spacing w:after="0"/>
              <w:rPr>
                <w:sz w:val="19"/>
                <w:szCs w:val="19"/>
                <w:color w:val="auto"/>
              </w:rPr>
            </w:pPr>
          </w:p>
        </w:tc>
        <w:tc>
          <w:tcPr>
            <w:tcW w:w="960" w:type="dxa"/>
            <w:vAlign w:val="bottom"/>
          </w:tcPr>
          <w:p>
            <w:pPr>
              <w:jc w:val="right"/>
              <w:ind w:right="38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84"/>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70"/>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20"/>
                <w:szCs w:val="20"/>
                <w:b w:val="1"/>
                <w:bCs w:val="1"/>
                <w:color w:val="auto"/>
              </w:rPr>
              <w:t>Assets</w:t>
            </w: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9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3220" w:type="dxa"/>
            <w:vAlign w:val="bottom"/>
          </w:tcPr>
          <w:p>
            <w:pPr>
              <w:ind w:left="160"/>
              <w:spacing w:after="0"/>
              <w:rPr>
                <w:sz w:val="20"/>
                <w:szCs w:val="20"/>
                <w:color w:val="auto"/>
              </w:rPr>
            </w:pPr>
            <w:r>
              <w:rPr>
                <w:rFonts w:ascii="Arial" w:cs="Arial" w:eastAsia="Arial" w:hAnsi="Arial"/>
                <w:sz w:val="20"/>
                <w:szCs w:val="20"/>
                <w:color w:val="auto"/>
                <w:w w:val="97"/>
              </w:rPr>
              <w:t>Operating lease right-of-use assets</w:t>
            </w:r>
          </w:p>
        </w:tc>
        <w:tc>
          <w:tcPr>
            <w:tcW w:w="60" w:type="dxa"/>
            <w:vAlign w:val="bottom"/>
          </w:tcPr>
          <w:p>
            <w:pPr>
              <w:spacing w:after="0"/>
              <w:rPr>
                <w:sz w:val="24"/>
                <w:szCs w:val="24"/>
                <w:color w:val="auto"/>
              </w:rPr>
            </w:pPr>
          </w:p>
        </w:tc>
        <w:tc>
          <w:tcPr>
            <w:tcW w:w="4160" w:type="dxa"/>
            <w:vAlign w:val="bottom"/>
            <w:gridSpan w:val="3"/>
          </w:tcPr>
          <w:p>
            <w:pPr>
              <w:jc w:val="center"/>
              <w:ind w:right="80"/>
              <w:spacing w:after="0"/>
              <w:rPr>
                <w:sz w:val="20"/>
                <w:szCs w:val="20"/>
                <w:color w:val="auto"/>
              </w:rPr>
            </w:pPr>
            <w:r>
              <w:rPr>
                <w:rFonts w:ascii="Arial" w:cs="Arial" w:eastAsia="Arial" w:hAnsi="Arial"/>
                <w:sz w:val="20"/>
                <w:szCs w:val="20"/>
                <w:color w:val="auto"/>
                <w:w w:val="87"/>
              </w:rPr>
              <w:t>Long-term operating lease right-of-use assets, net</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332</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313</w:t>
            </w:r>
          </w:p>
        </w:tc>
        <w:tc>
          <w:tcPr>
            <w:tcW w:w="0" w:type="dxa"/>
            <w:vAlign w:val="bottom"/>
          </w:tcPr>
          <w:p>
            <w:pPr>
              <w:spacing w:after="0"/>
              <w:rPr>
                <w:sz w:val="1"/>
                <w:szCs w:val="1"/>
                <w:color w:val="auto"/>
              </w:rPr>
            </w:pPr>
          </w:p>
        </w:tc>
      </w:tr>
      <w:tr>
        <w:trPr>
          <w:trHeight w:val="627"/>
        </w:trPr>
        <w:tc>
          <w:tcPr>
            <w:tcW w:w="3220" w:type="dxa"/>
            <w:vAlign w:val="bottom"/>
          </w:tcPr>
          <w:p>
            <w:pPr>
              <w:ind w:left="160"/>
              <w:spacing w:after="0"/>
              <w:rPr>
                <w:sz w:val="20"/>
                <w:szCs w:val="20"/>
                <w:color w:val="auto"/>
              </w:rPr>
            </w:pPr>
            <w:r>
              <w:rPr>
                <w:rFonts w:ascii="Arial" w:cs="Arial" w:eastAsia="Arial" w:hAnsi="Arial"/>
                <w:sz w:val="20"/>
                <w:szCs w:val="20"/>
                <w:color w:val="auto"/>
                <w:w w:val="94"/>
              </w:rPr>
              <w:t xml:space="preserve">Finance lease right-of-use assets </w:t>
            </w:r>
            <w:r>
              <w:rPr>
                <w:rFonts w:ascii="Arial" w:cs="Arial" w:eastAsia="Arial" w:hAnsi="Arial"/>
                <w:sz w:val="25"/>
                <w:szCs w:val="25"/>
                <w:color w:val="auto"/>
                <w:w w:val="94"/>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Property and equipment</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147</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58"/>
        </w:trPr>
        <w:tc>
          <w:tcPr>
            <w:tcW w:w="3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Accumulated depreciation</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Property and equipment, net</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101</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298"/>
        </w:trPr>
        <w:tc>
          <w:tcPr>
            <w:tcW w:w="322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Total lease right-of-use assets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433</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411</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Liabilities</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20" w:type="dxa"/>
            <w:vAlign w:val="bottom"/>
          </w:tcPr>
          <w:p>
            <w:pPr>
              <w:ind w:left="160"/>
              <w:spacing w:after="0"/>
              <w:rPr>
                <w:sz w:val="20"/>
                <w:szCs w:val="20"/>
                <w:color w:val="auto"/>
              </w:rPr>
            </w:pPr>
            <w:r>
              <w:rPr>
                <w:rFonts w:ascii="Arial" w:cs="Arial" w:eastAsia="Arial" w:hAnsi="Arial"/>
                <w:sz w:val="20"/>
                <w:szCs w:val="20"/>
                <w:color w:val="auto"/>
              </w:rPr>
              <w:t>Operating lease 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20" w:type="dxa"/>
            <w:vAlign w:val="bottom"/>
          </w:tcPr>
          <w:p>
            <w:pPr>
              <w:ind w:left="280"/>
              <w:spacing w:after="0"/>
              <w:rPr>
                <w:sz w:val="20"/>
                <w:szCs w:val="20"/>
                <w:color w:val="auto"/>
              </w:rPr>
            </w:pPr>
            <w:r>
              <w:rPr>
                <w:rFonts w:ascii="Arial" w:cs="Arial" w:eastAsia="Arial" w:hAnsi="Arial"/>
                <w:sz w:val="20"/>
                <w:szCs w:val="20"/>
                <w:color w:val="auto"/>
              </w:rPr>
              <w:t>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20"/>
                <w:szCs w:val="20"/>
                <w:color w:val="auto"/>
                <w:w w:val="92"/>
              </w:rPr>
              <w:t>Other current liabilities</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63</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98"/>
        </w:trPr>
        <w:tc>
          <w:tcPr>
            <w:tcW w:w="3220" w:type="dxa"/>
            <w:vAlign w:val="bottom"/>
          </w:tcPr>
          <w:p>
            <w:pPr>
              <w:ind w:left="280"/>
              <w:spacing w:after="0"/>
              <w:rPr>
                <w:sz w:val="20"/>
                <w:szCs w:val="20"/>
                <w:color w:val="auto"/>
              </w:rPr>
            </w:pPr>
            <w:r>
              <w:rPr>
                <w:rFonts w:ascii="Arial" w:cs="Arial" w:eastAsia="Arial" w:hAnsi="Arial"/>
                <w:sz w:val="20"/>
                <w:szCs w:val="20"/>
                <w:color w:val="auto"/>
              </w:rPr>
              <w:t>Noncurrent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20"/>
                <w:szCs w:val="20"/>
                <w:color w:val="auto"/>
                <w:w w:val="90"/>
              </w:rPr>
              <w:t>Long-term operating lease liabilities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w:t>
            </w:r>
          </w:p>
        </w:tc>
        <w:tc>
          <w:tcPr>
            <w:tcW w:w="0" w:type="dxa"/>
            <w:vAlign w:val="bottom"/>
          </w:tcPr>
          <w:p>
            <w:pPr>
              <w:spacing w:after="0"/>
              <w:rPr>
                <w:sz w:val="1"/>
                <w:szCs w:val="1"/>
                <w:color w:val="auto"/>
              </w:rPr>
            </w:pPr>
          </w:p>
        </w:tc>
      </w:tr>
      <w:tr>
        <w:trPr>
          <w:trHeight w:val="270"/>
        </w:trPr>
        <w:tc>
          <w:tcPr>
            <w:tcW w:w="3220" w:type="dxa"/>
            <w:vAlign w:val="bottom"/>
          </w:tcPr>
          <w:p>
            <w:pPr>
              <w:ind w:left="160"/>
              <w:spacing w:after="0"/>
              <w:rPr>
                <w:sz w:val="20"/>
                <w:szCs w:val="20"/>
                <w:color w:val="auto"/>
              </w:rPr>
            </w:pPr>
            <w:r>
              <w:rPr>
                <w:rFonts w:ascii="Arial" w:cs="Arial" w:eastAsia="Arial" w:hAnsi="Arial"/>
                <w:sz w:val="20"/>
                <w:szCs w:val="20"/>
                <w:color w:val="auto"/>
              </w:rPr>
              <w:t>Total operating lease liabilities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376</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343</w:t>
            </w:r>
          </w:p>
        </w:tc>
        <w:tc>
          <w:tcPr>
            <w:tcW w:w="0" w:type="dxa"/>
            <w:vAlign w:val="bottom"/>
          </w:tcPr>
          <w:p>
            <w:pPr>
              <w:spacing w:after="0"/>
              <w:rPr>
                <w:sz w:val="1"/>
                <w:szCs w:val="1"/>
                <w:color w:val="auto"/>
              </w:rPr>
            </w:pPr>
          </w:p>
        </w:tc>
      </w:tr>
      <w:tr>
        <w:trPr>
          <w:trHeight w:val="627"/>
        </w:trPr>
        <w:tc>
          <w:tcPr>
            <w:tcW w:w="3220" w:type="dxa"/>
            <w:vAlign w:val="bottom"/>
          </w:tcPr>
          <w:p>
            <w:pPr>
              <w:ind w:left="160"/>
              <w:spacing w:after="0"/>
              <w:rPr>
                <w:sz w:val="20"/>
                <w:szCs w:val="20"/>
                <w:color w:val="auto"/>
              </w:rPr>
            </w:pPr>
            <w:r>
              <w:rPr>
                <w:rFonts w:ascii="Arial" w:cs="Arial" w:eastAsia="Arial" w:hAnsi="Arial"/>
                <w:sz w:val="20"/>
                <w:szCs w:val="20"/>
                <w:color w:val="auto"/>
              </w:rPr>
              <w:t xml:space="preserve">Finance lease liabilities </w:t>
            </w:r>
            <w:r>
              <w:rPr>
                <w:rFonts w:ascii="Arial" w:cs="Arial" w:eastAsia="Arial" w:hAnsi="Arial"/>
                <w:sz w:val="25"/>
                <w:szCs w:val="25"/>
                <w:color w:val="auto"/>
                <w:vertAlign w:val="superscript"/>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20" w:type="dxa"/>
            <w:vAlign w:val="bottom"/>
          </w:tcPr>
          <w:p>
            <w:pPr>
              <w:ind w:left="280"/>
              <w:spacing w:after="0"/>
              <w:rPr>
                <w:sz w:val="20"/>
                <w:szCs w:val="20"/>
                <w:color w:val="auto"/>
              </w:rPr>
            </w:pPr>
            <w:r>
              <w:rPr>
                <w:rFonts w:ascii="Arial" w:cs="Arial" w:eastAsia="Arial" w:hAnsi="Arial"/>
                <w:sz w:val="20"/>
                <w:szCs w:val="20"/>
                <w:color w:val="auto"/>
              </w:rPr>
              <w:t>Current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Short-term debt</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98"/>
        </w:trPr>
        <w:tc>
          <w:tcPr>
            <w:tcW w:w="3220" w:type="dxa"/>
            <w:vAlign w:val="bottom"/>
          </w:tcPr>
          <w:p>
            <w:pPr>
              <w:ind w:left="280"/>
              <w:spacing w:after="0"/>
              <w:rPr>
                <w:sz w:val="20"/>
                <w:szCs w:val="20"/>
                <w:color w:val="auto"/>
              </w:rPr>
            </w:pPr>
            <w:r>
              <w:rPr>
                <w:rFonts w:ascii="Arial" w:cs="Arial" w:eastAsia="Arial" w:hAnsi="Arial"/>
                <w:sz w:val="20"/>
                <w:szCs w:val="20"/>
                <w:color w:val="auto"/>
              </w:rPr>
              <w:t>Noncurrent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Other long-term debt, net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70"/>
        </w:trPr>
        <w:tc>
          <w:tcPr>
            <w:tcW w:w="3220" w:type="dxa"/>
            <w:vAlign w:val="bottom"/>
          </w:tcPr>
          <w:p>
            <w:pPr>
              <w:ind w:left="160"/>
              <w:spacing w:after="0"/>
              <w:rPr>
                <w:sz w:val="20"/>
                <w:szCs w:val="20"/>
                <w:color w:val="auto"/>
              </w:rPr>
            </w:pPr>
            <w:r>
              <w:rPr>
                <w:rFonts w:ascii="Arial" w:cs="Arial" w:eastAsia="Arial" w:hAnsi="Arial"/>
                <w:sz w:val="20"/>
                <w:szCs w:val="20"/>
                <w:color w:val="auto"/>
              </w:rPr>
              <w:t>Total finance lease liabilities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98"/>
        </w:trPr>
        <w:tc>
          <w:tcPr>
            <w:tcW w:w="322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Total lease 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462</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419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-4047490</wp:posOffset>
            </wp:positionV>
            <wp:extent cx="6410325" cy="3958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9">
                      <a:extLst>
                        <a:ext uri="{28A0092B-C50C-407E-A947-70E740481C1C}"/>
                      </a:extLst>
                    </a:blip>
                    <a:srcRect/>
                    <a:stretch>
                      <a:fillRect/>
                    </a:stretch>
                  </pic:blipFill>
                  <pic:spPr bwMode="auto">
                    <a:xfrm>
                      <a:off x="0" y="0"/>
                      <a:ext cx="6410325" cy="3958590"/>
                    </a:xfrm>
                    <a:prstGeom prst="rect">
                      <a:avLst/>
                    </a:prstGeom>
                    <a:noFill/>
                  </pic:spPr>
                </pic:pic>
              </a:graphicData>
            </a:graphic>
          </wp:anchor>
        </w:drawing>
      </w:r>
    </w:p>
    <w:p>
      <w:pPr>
        <w:spacing w:after="0" w:line="66" w:lineRule="exact"/>
        <w:rPr>
          <w:sz w:val="20"/>
          <w:szCs w:val="20"/>
          <w:color w:val="auto"/>
        </w:rPr>
      </w:pPr>
    </w:p>
    <w:p>
      <w:pPr>
        <w:ind w:left="707" w:right="100" w:hanging="707"/>
        <w:spacing w:after="0" w:line="232" w:lineRule="auto"/>
        <w:tabs>
          <w:tab w:leader="none" w:pos="707" w:val="left"/>
        </w:tabs>
        <w:numPr>
          <w:ilvl w:val="0"/>
          <w:numId w:val="98"/>
        </w:numPr>
        <w:rPr>
          <w:rFonts w:ascii="Arial" w:cs="Arial" w:eastAsia="Arial" w:hAnsi="Arial"/>
          <w:sz w:val="25"/>
          <w:szCs w:val="25"/>
          <w:color w:val="auto"/>
          <w:vertAlign w:val="superscript"/>
        </w:rPr>
      </w:pPr>
      <w:r>
        <w:rPr>
          <w:rFonts w:ascii="Arial" w:cs="Arial" w:eastAsia="Arial" w:hAnsi="Arial"/>
          <w:sz w:val="20"/>
          <w:szCs w:val="20"/>
          <w:color w:val="auto"/>
        </w:rPr>
        <w:t>Includes right-of-use assets of $26 million and $28 million and lease liabilities of $33 million and $34 million as of December 31, 2024 and 2023, respectively, associated with leased storage tanks owned by an equity method investee, in which we own a 50% interest.</w:t>
      </w:r>
    </w:p>
    <w:p>
      <w:pPr>
        <w:spacing w:after="0" w:line="218" w:lineRule="exact"/>
        <w:rPr>
          <w:sz w:val="20"/>
          <w:szCs w:val="20"/>
          <w:color w:val="auto"/>
        </w:rPr>
      </w:pPr>
    </w:p>
    <w:p>
      <w:pPr>
        <w:ind w:left="7" w:right="20" w:firstLine="706"/>
        <w:spacing w:after="0" w:line="258" w:lineRule="auto"/>
        <w:rPr>
          <w:sz w:val="20"/>
          <w:szCs w:val="20"/>
          <w:color w:val="auto"/>
        </w:rPr>
      </w:pPr>
      <w:r>
        <w:rPr>
          <w:rFonts w:ascii="Arial" w:cs="Arial" w:eastAsia="Arial" w:hAnsi="Arial"/>
          <w:sz w:val="20"/>
          <w:szCs w:val="20"/>
          <w:color w:val="auto"/>
        </w:rPr>
        <w:t>The following table presents the maturity of undiscounted cash flows for future minimum lease payments under noncancelable leases as of December 31, 2024 reconciled to our lease liabilities on our Consolidated Balance Sheet (amounts in millions):</w:t>
      </w: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Operating</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w w:val="98"/>
              </w:rPr>
              <w:t xml:space="preserve">Finance </w:t>
            </w:r>
            <w:r>
              <w:rPr>
                <w:rFonts w:ascii="Arial" w:cs="Arial" w:eastAsia="Arial" w:hAnsi="Arial"/>
                <w:sz w:val="20"/>
                <w:szCs w:val="20"/>
                <w:b w:val="1"/>
                <w:bCs w:val="1"/>
                <w:color w:val="auto"/>
                <w:w w:val="98"/>
                <w:vertAlign w:val="superscript"/>
              </w:rPr>
              <w:t>(2)</w:t>
            </w:r>
          </w:p>
        </w:tc>
      </w:tr>
      <w:tr>
        <w:trPr>
          <w:trHeight w:val="339"/>
        </w:trPr>
        <w:tc>
          <w:tcPr>
            <w:tcW w:w="6880" w:type="dxa"/>
            <w:vAlign w:val="bottom"/>
            <w:gridSpan w:val="2"/>
          </w:tcPr>
          <w:p>
            <w:pPr>
              <w:ind w:left="40"/>
              <w:spacing w:after="0"/>
              <w:rPr>
                <w:sz w:val="20"/>
                <w:szCs w:val="20"/>
                <w:color w:val="auto"/>
              </w:rPr>
            </w:pPr>
            <w:r>
              <w:rPr>
                <w:rFonts w:ascii="Arial" w:cs="Arial" w:eastAsia="Arial" w:hAnsi="Arial"/>
                <w:sz w:val="20"/>
                <w:szCs w:val="20"/>
                <w:color w:val="auto"/>
              </w:rPr>
              <w:t xml:space="preserve">Future minimum lease payments </w:t>
            </w:r>
            <w:r>
              <w:rPr>
                <w:rFonts w:ascii="Arial" w:cs="Arial" w:eastAsia="Arial" w:hAnsi="Arial"/>
                <w:sz w:val="25"/>
                <w:szCs w:val="25"/>
                <w:color w:val="auto"/>
                <w:vertAlign w:val="superscript"/>
              </w:rPr>
              <w:t>(1)</w:t>
            </w: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5"/>
        </w:trPr>
        <w:tc>
          <w:tcPr>
            <w:tcW w:w="3460" w:type="dxa"/>
            <w:vAlign w:val="bottom"/>
          </w:tcPr>
          <w:p>
            <w:pPr>
              <w:ind w:left="160"/>
              <w:spacing w:after="0"/>
              <w:rPr>
                <w:sz w:val="20"/>
                <w:szCs w:val="20"/>
                <w:color w:val="auto"/>
              </w:rPr>
            </w:pPr>
            <w:r>
              <w:rPr>
                <w:rFonts w:ascii="Arial" w:cs="Arial" w:eastAsia="Arial" w:hAnsi="Arial"/>
                <w:sz w:val="20"/>
                <w:szCs w:val="20"/>
                <w:color w:val="auto"/>
              </w:rPr>
              <w:t>2025</w:t>
            </w:r>
          </w:p>
        </w:tc>
        <w:tc>
          <w:tcPr>
            <w:tcW w:w="3420" w:type="dxa"/>
            <w:vAlign w:val="bottom"/>
          </w:tcPr>
          <w:p>
            <w:pPr>
              <w:spacing w:after="0"/>
              <w:rPr>
                <w:sz w:val="22"/>
                <w:szCs w:val="22"/>
                <w:color w:val="auto"/>
              </w:rPr>
            </w:pP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09"/>
        </w:trPr>
        <w:tc>
          <w:tcPr>
            <w:tcW w:w="3460" w:type="dxa"/>
            <w:vAlign w:val="bottom"/>
          </w:tcPr>
          <w:p>
            <w:pPr>
              <w:ind w:left="160"/>
              <w:spacing w:after="0"/>
              <w:rPr>
                <w:sz w:val="20"/>
                <w:szCs w:val="20"/>
                <w:color w:val="auto"/>
              </w:rPr>
            </w:pPr>
            <w:r>
              <w:rPr>
                <w:rFonts w:ascii="Arial" w:cs="Arial" w:eastAsia="Arial" w:hAnsi="Arial"/>
                <w:sz w:val="20"/>
                <w:szCs w:val="20"/>
                <w:color w:val="auto"/>
              </w:rPr>
              <w:t>2026</w:t>
            </w: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09"/>
        </w:trPr>
        <w:tc>
          <w:tcPr>
            <w:tcW w:w="3460" w:type="dxa"/>
            <w:vAlign w:val="bottom"/>
          </w:tcPr>
          <w:p>
            <w:pPr>
              <w:ind w:left="160"/>
              <w:spacing w:after="0"/>
              <w:rPr>
                <w:sz w:val="20"/>
                <w:szCs w:val="20"/>
                <w:color w:val="auto"/>
              </w:rPr>
            </w:pPr>
            <w:r>
              <w:rPr>
                <w:rFonts w:ascii="Arial" w:cs="Arial" w:eastAsia="Arial" w:hAnsi="Arial"/>
                <w:sz w:val="20"/>
                <w:szCs w:val="20"/>
                <w:color w:val="auto"/>
              </w:rPr>
              <w:t>2027</w:t>
            </w: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309"/>
        </w:trPr>
        <w:tc>
          <w:tcPr>
            <w:tcW w:w="3460" w:type="dxa"/>
            <w:vAlign w:val="bottom"/>
          </w:tcPr>
          <w:p>
            <w:pPr>
              <w:ind w:left="160"/>
              <w:spacing w:after="0"/>
              <w:rPr>
                <w:sz w:val="20"/>
                <w:szCs w:val="20"/>
                <w:color w:val="auto"/>
              </w:rPr>
            </w:pPr>
            <w:r>
              <w:rPr>
                <w:rFonts w:ascii="Arial" w:cs="Arial" w:eastAsia="Arial" w:hAnsi="Arial"/>
                <w:sz w:val="20"/>
                <w:szCs w:val="20"/>
                <w:color w:val="auto"/>
              </w:rPr>
              <w:t>2028</w:t>
            </w: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09"/>
        </w:trPr>
        <w:tc>
          <w:tcPr>
            <w:tcW w:w="3460" w:type="dxa"/>
            <w:vAlign w:val="bottom"/>
          </w:tcPr>
          <w:p>
            <w:pPr>
              <w:ind w:left="160"/>
              <w:spacing w:after="0"/>
              <w:rPr>
                <w:sz w:val="20"/>
                <w:szCs w:val="20"/>
                <w:color w:val="auto"/>
              </w:rPr>
            </w:pPr>
            <w:r>
              <w:rPr>
                <w:rFonts w:ascii="Arial" w:cs="Arial" w:eastAsia="Arial" w:hAnsi="Arial"/>
                <w:sz w:val="20"/>
                <w:szCs w:val="20"/>
                <w:color w:val="auto"/>
              </w:rPr>
              <w:t>2029</w:t>
            </w: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312"/>
        </w:trPr>
        <w:tc>
          <w:tcPr>
            <w:tcW w:w="6880" w:type="dxa"/>
            <w:vAlign w:val="bottom"/>
            <w:gridSpan w:val="2"/>
          </w:tcPr>
          <w:p>
            <w:pPr>
              <w:ind w:left="160"/>
              <w:spacing w:after="0"/>
              <w:rPr>
                <w:sz w:val="20"/>
                <w:szCs w:val="20"/>
                <w:color w:val="auto"/>
              </w:rPr>
            </w:pPr>
            <w:r>
              <w:rPr>
                <w:rFonts w:ascii="Arial" w:cs="Arial" w:eastAsia="Arial" w:hAnsi="Arial"/>
                <w:sz w:val="20"/>
                <w:szCs w:val="20"/>
                <w:color w:val="auto"/>
              </w:rPr>
              <w:t>Thereafter</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r>
      <w:tr>
        <w:trPr>
          <w:trHeight w:val="285"/>
        </w:trPr>
        <w:tc>
          <w:tcPr>
            <w:tcW w:w="6880" w:type="dxa"/>
            <w:vAlign w:val="bottom"/>
            <w:gridSpan w:val="2"/>
          </w:tcPr>
          <w:p>
            <w:pPr>
              <w:ind w:left="280"/>
              <w:spacing w:after="0"/>
              <w:rPr>
                <w:sz w:val="20"/>
                <w:szCs w:val="20"/>
                <w:color w:val="auto"/>
              </w:rPr>
            </w:pPr>
            <w:r>
              <w:rPr>
                <w:rFonts w:ascii="Arial" w:cs="Arial" w:eastAsia="Arial" w:hAnsi="Arial"/>
                <w:sz w:val="20"/>
                <w:szCs w:val="20"/>
                <w:color w:val="auto"/>
              </w:rPr>
              <w:t>Total</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312"/>
        </w:trPr>
        <w:tc>
          <w:tcPr>
            <w:tcW w:w="6880" w:type="dxa"/>
            <w:vAlign w:val="bottom"/>
            <w:gridSpan w:val="2"/>
          </w:tcPr>
          <w:p>
            <w:pPr>
              <w:ind w:left="40"/>
              <w:spacing w:after="0"/>
              <w:rPr>
                <w:sz w:val="20"/>
                <w:szCs w:val="20"/>
                <w:color w:val="auto"/>
              </w:rPr>
            </w:pPr>
            <w:r>
              <w:rPr>
                <w:rFonts w:ascii="Arial" w:cs="Arial" w:eastAsia="Arial" w:hAnsi="Arial"/>
                <w:sz w:val="20"/>
                <w:szCs w:val="20"/>
                <w:color w:val="auto"/>
              </w:rPr>
              <w:t>Less: Present value discount</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r>
      <w:tr>
        <w:trPr>
          <w:trHeight w:val="269"/>
        </w:trPr>
        <w:tc>
          <w:tcPr>
            <w:tcW w:w="6880" w:type="dxa"/>
            <w:vAlign w:val="bottom"/>
            <w:gridSpan w:val="2"/>
          </w:tcPr>
          <w:p>
            <w:pPr>
              <w:ind w:left="40"/>
              <w:spacing w:after="0"/>
              <w:rPr>
                <w:sz w:val="20"/>
                <w:szCs w:val="20"/>
                <w:color w:val="auto"/>
              </w:rPr>
            </w:pPr>
            <w:r>
              <w:rPr>
                <w:rFonts w:ascii="Arial" w:cs="Arial" w:eastAsia="Arial" w:hAnsi="Arial"/>
                <w:sz w:val="20"/>
                <w:szCs w:val="20"/>
                <w:color w:val="auto"/>
              </w:rPr>
              <w:t>Lease liabilities</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376</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0"/>
        </w:trPr>
        <w:tc>
          <w:tcPr>
            <w:tcW w:w="3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46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-2087880</wp:posOffset>
            </wp:positionV>
            <wp:extent cx="6410325" cy="19983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0">
                      <a:extLst>
                        <a:ext uri="{28A0092B-C50C-407E-A947-70E740481C1C}"/>
                      </a:extLst>
                    </a:blip>
                    <a:srcRect/>
                    <a:stretch>
                      <a:fillRect/>
                    </a:stretch>
                  </pic:blipFill>
                  <pic:spPr bwMode="auto">
                    <a:xfrm>
                      <a:off x="0" y="0"/>
                      <a:ext cx="6410325" cy="1998345"/>
                    </a:xfrm>
                    <a:prstGeom prst="rect">
                      <a:avLst/>
                    </a:prstGeom>
                    <a:noFill/>
                  </pic:spPr>
                </pic:pic>
              </a:graphicData>
            </a:graphic>
          </wp:anchor>
        </w:drawing>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F-44</w:t>
      </w:r>
    </w:p>
    <w:p>
      <w:pPr>
        <w:sectPr>
          <w:pgSz w:w="11880" w:h="15480" w:orient="portrait"/>
          <w:cols w:equalWidth="0" w:num="1">
            <w:col w:w="10047"/>
          </w:cols>
          <w:pgMar w:left="913" w:top="337" w:right="920" w:bottom="0" w:gutter="0" w:footer="0" w:header="0"/>
          <w:type w:val="continuous"/>
        </w:sectPr>
      </w:pPr>
    </w:p>
    <w:bookmarkStart w:id="150" w:name="page151"/>
    <w:bookmarkEnd w:id="150"/>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07" w:right="500" w:hanging="707"/>
        <w:spacing w:after="0" w:line="227" w:lineRule="auto"/>
        <w:tabs>
          <w:tab w:leader="none" w:pos="707" w:val="left"/>
        </w:tabs>
        <w:numPr>
          <w:ilvl w:val="0"/>
          <w:numId w:val="99"/>
        </w:numPr>
        <w:rPr>
          <w:rFonts w:ascii="Arial" w:cs="Arial" w:eastAsia="Arial" w:hAnsi="Arial"/>
          <w:sz w:val="25"/>
          <w:szCs w:val="25"/>
          <w:color w:val="auto"/>
          <w:vertAlign w:val="superscript"/>
        </w:rPr>
      </w:pPr>
      <w:r>
        <w:rPr>
          <w:rFonts w:ascii="Arial" w:cs="Arial" w:eastAsia="Arial" w:hAnsi="Arial"/>
          <w:sz w:val="20"/>
          <w:szCs w:val="20"/>
          <w:color w:val="auto"/>
        </w:rPr>
        <w:t>Excludes future minimum payments for short-term and other immaterial leases not included on our Consolidated Balance Sheet.</w:t>
      </w:r>
    </w:p>
    <w:p>
      <w:pPr>
        <w:spacing w:after="0" w:line="98" w:lineRule="exact"/>
        <w:rPr>
          <w:rFonts w:ascii="Arial" w:cs="Arial" w:eastAsia="Arial" w:hAnsi="Arial"/>
          <w:sz w:val="25"/>
          <w:szCs w:val="25"/>
          <w:color w:val="auto"/>
          <w:vertAlign w:val="superscript"/>
        </w:rPr>
      </w:pPr>
    </w:p>
    <w:p>
      <w:pPr>
        <w:ind w:left="707" w:right="280" w:hanging="707"/>
        <w:spacing w:after="0" w:line="232" w:lineRule="auto"/>
        <w:tabs>
          <w:tab w:leader="none" w:pos="707" w:val="left"/>
        </w:tabs>
        <w:numPr>
          <w:ilvl w:val="0"/>
          <w:numId w:val="99"/>
        </w:numPr>
        <w:rPr>
          <w:rFonts w:ascii="Arial" w:cs="Arial" w:eastAsia="Arial" w:hAnsi="Arial"/>
          <w:sz w:val="25"/>
          <w:szCs w:val="25"/>
          <w:color w:val="auto"/>
          <w:vertAlign w:val="superscript"/>
        </w:rPr>
      </w:pPr>
      <w:r>
        <w:rPr>
          <w:rFonts w:ascii="Arial" w:cs="Arial" w:eastAsia="Arial" w:hAnsi="Arial"/>
          <w:sz w:val="20"/>
          <w:szCs w:val="20"/>
          <w:color w:val="auto"/>
        </w:rPr>
        <w:t>Includes payments of approximately $6 million for each of the years ending 2025 through 2029 and approximately $39 million thereafter associated with leased storage tanks owned by an equity method investee, in which we own a 50% interest.</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Lessor</w:t>
      </w:r>
    </w:p>
    <w:p>
      <w:pPr>
        <w:spacing w:after="0" w:line="248" w:lineRule="exact"/>
        <w:rPr>
          <w:sz w:val="20"/>
          <w:szCs w:val="20"/>
          <w:color w:val="auto"/>
        </w:rPr>
      </w:pPr>
    </w:p>
    <w:p>
      <w:pPr>
        <w:ind w:left="7" w:right="120" w:firstLine="706"/>
        <w:spacing w:after="0" w:line="268" w:lineRule="auto"/>
        <w:rPr>
          <w:sz w:val="20"/>
          <w:szCs w:val="20"/>
          <w:color w:val="auto"/>
        </w:rPr>
      </w:pPr>
      <w:r>
        <w:rPr>
          <w:rFonts w:ascii="Arial" w:cs="Arial" w:eastAsia="Arial" w:hAnsi="Arial"/>
          <w:sz w:val="19"/>
          <w:szCs w:val="19"/>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191" w:lineRule="exact"/>
        <w:rPr>
          <w:sz w:val="20"/>
          <w:szCs w:val="20"/>
          <w:color w:val="auto"/>
        </w:rPr>
      </w:pPr>
    </w:p>
    <w:p>
      <w:pPr>
        <w:ind w:left="7" w:firstLine="706"/>
        <w:spacing w:after="0" w:line="250" w:lineRule="auto"/>
        <w:rPr>
          <w:sz w:val="20"/>
          <w:szCs w:val="20"/>
          <w:color w:val="auto"/>
        </w:rPr>
      </w:pPr>
      <w:r>
        <w:rPr>
          <w:rFonts w:ascii="Arial" w:cs="Arial" w:eastAsia="Arial" w:hAnsi="Arial"/>
          <w:sz w:val="20"/>
          <w:szCs w:val="20"/>
          <w:color w:val="auto"/>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209" w:lineRule="exact"/>
        <w:rPr>
          <w:sz w:val="20"/>
          <w:szCs w:val="20"/>
          <w:color w:val="auto"/>
        </w:rPr>
      </w:pPr>
    </w:p>
    <w:p>
      <w:pPr>
        <w:ind w:left="707"/>
        <w:spacing w:after="0"/>
        <w:rPr>
          <w:sz w:val="20"/>
          <w:szCs w:val="20"/>
          <w:color w:val="auto"/>
        </w:rPr>
      </w:pPr>
      <w:r>
        <w:rPr>
          <w:rFonts w:ascii="Arial" w:cs="Arial" w:eastAsia="Arial" w:hAnsi="Arial"/>
          <w:sz w:val="20"/>
          <w:szCs w:val="20"/>
          <w:color w:val="auto"/>
        </w:rPr>
        <w:t>The following table presents our lease revenue for the periods indicated (in millions):</w:t>
      </w:r>
    </w:p>
    <w:p>
      <w:pPr>
        <w:spacing w:after="0" w:line="328"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940" w:type="dxa"/>
            <w:vAlign w:val="bottom"/>
            <w:tcBorders>
              <w:bottom w:val="single" w:sz="8" w:color="auto"/>
            </w:tcBorders>
          </w:tcPr>
          <w:p>
            <w:pPr>
              <w:spacing w:after="0"/>
              <w:rPr>
                <w:sz w:val="18"/>
                <w:szCs w:val="18"/>
                <w:color w:val="auto"/>
              </w:rPr>
            </w:pPr>
          </w:p>
        </w:tc>
      </w:tr>
      <w:tr>
        <w:trPr>
          <w:trHeight w:val="230"/>
        </w:trPr>
        <w:tc>
          <w:tcPr>
            <w:tcW w:w="6060" w:type="dxa"/>
            <w:vAlign w:val="bottom"/>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348"/>
        </w:trPr>
        <w:tc>
          <w:tcPr>
            <w:tcW w:w="6060" w:type="dxa"/>
            <w:vAlign w:val="bottom"/>
          </w:tcPr>
          <w:p>
            <w:pPr>
              <w:spacing w:after="0"/>
              <w:rPr>
                <w:sz w:val="20"/>
                <w:szCs w:val="20"/>
                <w:color w:val="auto"/>
              </w:rPr>
            </w:pPr>
            <w:r>
              <w:rPr>
                <w:rFonts w:ascii="Arial" w:cs="Arial" w:eastAsia="Arial" w:hAnsi="Arial"/>
                <w:sz w:val="20"/>
                <w:szCs w:val="20"/>
                <w:color w:val="auto"/>
              </w:rPr>
              <w:t xml:space="preserve">Operating lease revenue </w:t>
            </w:r>
            <w:r>
              <w:rPr>
                <w:rFonts w:ascii="Arial" w:cs="Arial" w:eastAsia="Arial" w:hAnsi="Arial"/>
                <w:sz w:val="25"/>
                <w:szCs w:val="25"/>
                <w:color w:val="auto"/>
                <w:vertAlign w:val="superscript"/>
              </w:rPr>
              <w:t>(1)</w:t>
            </w:r>
          </w:p>
        </w:tc>
        <w:tc>
          <w:tcPr>
            <w:tcW w:w="900" w:type="dxa"/>
            <w:vAlign w:val="bottom"/>
          </w:tcPr>
          <w:p>
            <w:pPr>
              <w:jc w:val="right"/>
              <w:ind w:right="652"/>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26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32</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-239395</wp:posOffset>
            </wp:positionV>
            <wp:extent cx="6410325" cy="221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1">
                      <a:extLst>
                        <a:ext uri="{28A0092B-C50C-407E-A947-70E740481C1C}"/>
                      </a:extLst>
                    </a:blip>
                    <a:srcRect/>
                    <a:stretch>
                      <a:fillRect/>
                    </a:stretch>
                  </pic:blipFill>
                  <pic:spPr bwMode="auto">
                    <a:xfrm>
                      <a:off x="0" y="0"/>
                      <a:ext cx="6410325" cy="22161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77470</wp:posOffset>
                </wp:positionV>
                <wp:extent cx="220281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8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pt" to="173.45pt,6.1pt" o:allowincell="f" strokecolor="#000000" strokeweight="1pt"/>
            </w:pict>
          </mc:Fallback>
        </mc:AlternateContent>
      </w:r>
    </w:p>
    <w:p>
      <w:pPr>
        <w:spacing w:after="0" w:line="106" w:lineRule="exact"/>
        <w:rPr>
          <w:sz w:val="20"/>
          <w:szCs w:val="20"/>
          <w:color w:val="auto"/>
        </w:rPr>
      </w:pPr>
    </w:p>
    <w:p>
      <w:pPr>
        <w:ind w:left="707" w:hanging="707"/>
        <w:spacing w:after="0"/>
        <w:tabs>
          <w:tab w:leader="none" w:pos="707" w:val="left"/>
        </w:tabs>
        <w:numPr>
          <w:ilvl w:val="0"/>
          <w:numId w:val="100"/>
        </w:numPr>
        <w:rPr>
          <w:rFonts w:ascii="Arial" w:cs="Arial" w:eastAsia="Arial" w:hAnsi="Arial"/>
          <w:sz w:val="25"/>
          <w:szCs w:val="25"/>
          <w:color w:val="auto"/>
          <w:vertAlign w:val="superscript"/>
        </w:rPr>
      </w:pPr>
      <w:r>
        <w:rPr>
          <w:rFonts w:ascii="Arial" w:cs="Arial" w:eastAsia="Arial" w:hAnsi="Arial"/>
          <w:sz w:val="20"/>
          <w:szCs w:val="20"/>
          <w:color w:val="auto"/>
        </w:rPr>
        <w:t>These amounts are included in “Services revenues” on our Consolidated Statements of Operations.</w:t>
      </w:r>
    </w:p>
    <w:p>
      <w:pPr>
        <w:spacing w:after="0" w:line="216" w:lineRule="exact"/>
        <w:rPr>
          <w:sz w:val="20"/>
          <w:szCs w:val="20"/>
          <w:color w:val="auto"/>
        </w:rPr>
      </w:pPr>
    </w:p>
    <w:p>
      <w:pPr>
        <w:ind w:left="7" w:right="220" w:firstLine="706"/>
        <w:spacing w:after="0" w:line="312" w:lineRule="auto"/>
        <w:rPr>
          <w:sz w:val="20"/>
          <w:szCs w:val="20"/>
          <w:color w:val="auto"/>
        </w:rPr>
      </w:pPr>
      <w:r>
        <w:rPr>
          <w:rFonts w:ascii="Arial" w:cs="Arial" w:eastAsia="Arial" w:hAnsi="Arial"/>
          <w:sz w:val="17"/>
          <w:szCs w:val="17"/>
          <w:color w:val="auto"/>
        </w:rPr>
        <w:t>The table below presents the maturity of lease payments for operating lease agreements in effect as of December 31, 2024. This presentation includes minimum fixed lease payments and does not include an estimate of variable lease consideration. These agreements have remaining lease terms ranging from one year to 17 years. The following table presents the undiscounted cash flows expected to be received related to these agreements (in millions):</w:t>
      </w:r>
    </w:p>
    <w:p>
      <w:pPr>
        <w:spacing w:after="0" w:line="306" w:lineRule="exact"/>
        <w:rPr>
          <w:sz w:val="20"/>
          <w:szCs w:val="20"/>
          <w:color w:val="auto"/>
        </w:rPr>
      </w:pPr>
    </w:p>
    <w:tbl>
      <w:tblPr>
        <w:tblLayout w:type="fixed"/>
        <w:tblInd w:w="87"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2028</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89"/>
              </w:rPr>
              <w:t>Thereafter</w:t>
            </w:r>
          </w:p>
        </w:tc>
      </w:tr>
      <w:tr>
        <w:trPr>
          <w:trHeight w:val="285"/>
        </w:trPr>
        <w:tc>
          <w:tcPr>
            <w:tcW w:w="3400" w:type="dxa"/>
            <w:vAlign w:val="bottom"/>
          </w:tcPr>
          <w:p>
            <w:pPr>
              <w:spacing w:after="0"/>
              <w:rPr>
                <w:sz w:val="20"/>
                <w:szCs w:val="20"/>
                <w:color w:val="auto"/>
              </w:rPr>
            </w:pPr>
            <w:r>
              <w:rPr>
                <w:rFonts w:ascii="Arial" w:cs="Arial" w:eastAsia="Arial" w:hAnsi="Arial"/>
                <w:sz w:val="20"/>
                <w:szCs w:val="20"/>
                <w:color w:val="auto"/>
              </w:rPr>
              <w:t>Future minimum lease revenue</w:t>
            </w:r>
          </w:p>
        </w:tc>
        <w:tc>
          <w:tcPr>
            <w:tcW w:w="720" w:type="dxa"/>
            <w:vAlign w:val="bottom"/>
          </w:tcPr>
          <w:p>
            <w:pPr>
              <w:jc w:val="right"/>
              <w:ind w:right="472"/>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22</w:t>
            </w:r>
          </w:p>
        </w:tc>
        <w:tc>
          <w:tcPr>
            <w:tcW w:w="780" w:type="dxa"/>
            <w:vAlign w:val="bottom"/>
            <w:gridSpan w:val="2"/>
          </w:tcPr>
          <w:p>
            <w:pPr>
              <w:jc w:val="right"/>
              <w:ind w:right="482"/>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17</w:t>
            </w:r>
          </w:p>
        </w:tc>
        <w:tc>
          <w:tcPr>
            <w:tcW w:w="780" w:type="dxa"/>
            <w:vAlign w:val="bottom"/>
            <w:gridSpan w:val="2"/>
          </w:tcPr>
          <w:p>
            <w:pPr>
              <w:jc w:val="right"/>
              <w:ind w:right="482"/>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19</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19</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17</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-199390</wp:posOffset>
            </wp:positionV>
            <wp:extent cx="6363335" cy="221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02">
                      <a:extLst>
                        <a:ext uri="{28A0092B-C50C-407E-A947-70E740481C1C}"/>
                      </a:extLst>
                    </a:blip>
                    <a:srcRect/>
                    <a:stretch>
                      <a:fillRect/>
                    </a:stretch>
                  </pic:blipFill>
                  <pic:spPr bwMode="auto">
                    <a:xfrm>
                      <a:off x="0" y="0"/>
                      <a:ext cx="6363335" cy="221615"/>
                    </a:xfrm>
                    <a:prstGeom prst="rect">
                      <a:avLst/>
                    </a:prstGeom>
                    <a:noFill/>
                  </pic:spPr>
                </pic:pic>
              </a:graphicData>
            </a:graphic>
          </wp:anchor>
        </w:drawing>
      </w:r>
    </w:p>
    <w:p>
      <w:pPr>
        <w:spacing w:after="0" w:line="25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14—Income Taxes</w:t>
      </w:r>
    </w:p>
    <w:p>
      <w:pPr>
        <w:spacing w:after="0" w:line="248" w:lineRule="exact"/>
        <w:rPr>
          <w:sz w:val="20"/>
          <w:szCs w:val="20"/>
          <w:color w:val="auto"/>
        </w:rPr>
      </w:pPr>
    </w:p>
    <w:p>
      <w:pPr>
        <w:ind w:left="7" w:right="60" w:firstLine="706"/>
        <w:spacing w:after="0" w:line="264" w:lineRule="auto"/>
        <w:rPr>
          <w:sz w:val="20"/>
          <w:szCs w:val="20"/>
          <w:color w:val="auto"/>
        </w:rPr>
      </w:pPr>
      <w:r>
        <w:rPr>
          <w:rFonts w:ascii="Arial" w:cs="Arial" w:eastAsia="Arial" w:hAnsi="Arial"/>
          <w:sz w:val="19"/>
          <w:szCs w:val="19"/>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9" w:lineRule="exact"/>
        <w:rPr>
          <w:sz w:val="20"/>
          <w:szCs w:val="20"/>
          <w:color w:val="auto"/>
        </w:rPr>
      </w:pPr>
    </w:p>
    <w:p>
      <w:pPr>
        <w:ind w:left="7" w:right="160" w:firstLine="706"/>
        <w:spacing w:after="0" w:line="251" w:lineRule="auto"/>
        <w:rPr>
          <w:sz w:val="20"/>
          <w:szCs w:val="20"/>
          <w:color w:val="auto"/>
        </w:rPr>
      </w:pPr>
      <w:r>
        <w:rPr>
          <w:rFonts w:ascii="Arial" w:cs="Arial" w:eastAsia="Arial" w:hAnsi="Arial"/>
          <w:sz w:val="20"/>
          <w:szCs w:val="20"/>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2024 and 2023, we had not recognized any material amounts in connection with uncertainty in income taxes.</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F-45</w:t>
      </w:r>
    </w:p>
    <w:p>
      <w:pPr>
        <w:sectPr>
          <w:pgSz w:w="11880" w:h="15480" w:orient="portrait"/>
          <w:cols w:equalWidth="0" w:num="1">
            <w:col w:w="10047"/>
          </w:cols>
          <w:pgMar w:left="913" w:top="337" w:right="920" w:bottom="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Federal and State Taxes</w:t>
      </w:r>
    </w:p>
    <w:p>
      <w:pPr>
        <w:spacing w:after="0" w:line="248" w:lineRule="exact"/>
        <w:rPr>
          <w:sz w:val="20"/>
          <w:szCs w:val="20"/>
          <w:color w:val="auto"/>
        </w:rPr>
      </w:pPr>
    </w:p>
    <w:p>
      <w:pPr>
        <w:ind w:right="400" w:firstLine="706"/>
        <w:spacing w:after="0" w:line="271" w:lineRule="auto"/>
        <w:rPr>
          <w:sz w:val="20"/>
          <w:szCs w:val="20"/>
          <w:color w:val="auto"/>
        </w:rPr>
      </w:pPr>
      <w:r>
        <w:rPr>
          <w:rFonts w:ascii="Arial" w:cs="Arial" w:eastAsia="Arial" w:hAnsi="Arial"/>
          <w:sz w:val="20"/>
          <w:szCs w:val="20"/>
          <w:color w:val="auto"/>
        </w:rPr>
        <w:t>Although we are organized as a limited partnership, we have elected to be treated as a corporation for U.S. federal income tax purposes and are therefore subject to both U.S. federal and state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Canadian Federal and Provincial Taxes</w:t>
      </w:r>
    </w:p>
    <w:p>
      <w:pPr>
        <w:spacing w:after="0" w:line="248" w:lineRule="exact"/>
        <w:rPr>
          <w:sz w:val="20"/>
          <w:szCs w:val="20"/>
          <w:color w:val="auto"/>
        </w:rPr>
      </w:pPr>
    </w:p>
    <w:p>
      <w:pPr>
        <w:ind w:right="220" w:firstLine="706"/>
        <w:spacing w:after="0" w:line="254" w:lineRule="auto"/>
        <w:rPr>
          <w:sz w:val="20"/>
          <w:szCs w:val="20"/>
          <w:color w:val="auto"/>
        </w:rPr>
      </w:pPr>
      <w:r>
        <w:rPr>
          <w:rFonts w:ascii="Arial" w:cs="Arial" w:eastAsia="Arial" w:hAnsi="Arial"/>
          <w:sz w:val="20"/>
          <w:szCs w:val="20"/>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Components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Components of income tax expense are as follows (in millions):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62"/>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5"/>
        </w:trPr>
        <w:tc>
          <w:tcPr>
            <w:tcW w:w="6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2022</w:t>
            </w:r>
          </w:p>
        </w:tc>
      </w:tr>
      <w:tr>
        <w:trPr>
          <w:trHeight w:val="257"/>
        </w:trPr>
        <w:tc>
          <w:tcPr>
            <w:tcW w:w="6000" w:type="dxa"/>
            <w:vAlign w:val="bottom"/>
          </w:tcPr>
          <w:p>
            <w:pPr>
              <w:spacing w:after="0"/>
              <w:rPr>
                <w:sz w:val="20"/>
                <w:szCs w:val="20"/>
                <w:color w:val="auto"/>
              </w:rPr>
            </w:pPr>
            <w:r>
              <w:rPr>
                <w:rFonts w:ascii="Arial" w:cs="Arial" w:eastAsia="Arial" w:hAnsi="Arial"/>
                <w:sz w:val="20"/>
                <w:szCs w:val="20"/>
                <w:color w:val="auto"/>
              </w:rPr>
              <w:t>Current income tax expense:</w:t>
            </w: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9"/>
        </w:trPr>
        <w:tc>
          <w:tcPr>
            <w:tcW w:w="6000" w:type="dxa"/>
            <w:vAlign w:val="bottom"/>
          </w:tcPr>
          <w:p>
            <w:pPr>
              <w:ind w:left="120"/>
              <w:spacing w:after="0"/>
              <w:rPr>
                <w:sz w:val="20"/>
                <w:szCs w:val="20"/>
                <w:color w:val="auto"/>
              </w:rPr>
            </w:pPr>
            <w:r>
              <w:rPr>
                <w:rFonts w:ascii="Arial" w:cs="Arial" w:eastAsia="Arial" w:hAnsi="Arial"/>
                <w:sz w:val="20"/>
                <w:szCs w:val="20"/>
                <w:color w:val="auto"/>
              </w:rPr>
              <w:t>State income tax</w:t>
            </w:r>
          </w:p>
        </w:tc>
        <w:tc>
          <w:tcPr>
            <w:tcW w:w="840" w:type="dxa"/>
            <w:vAlign w:val="bottom"/>
          </w:tcPr>
          <w:p>
            <w:pPr>
              <w:jc w:val="right"/>
              <w:ind w:right="605"/>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2</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w:t>
            </w:r>
          </w:p>
        </w:tc>
        <w:tc>
          <w:tcPr>
            <w:tcW w:w="40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6000" w:type="dxa"/>
            <w:vAlign w:val="bottom"/>
          </w:tcPr>
          <w:p>
            <w:pPr>
              <w:ind w:left="120"/>
              <w:spacing w:after="0"/>
              <w:rPr>
                <w:sz w:val="20"/>
                <w:szCs w:val="20"/>
                <w:color w:val="auto"/>
              </w:rPr>
            </w:pPr>
            <w:r>
              <w:rPr>
                <w:rFonts w:ascii="Arial" w:cs="Arial" w:eastAsia="Arial" w:hAnsi="Arial"/>
                <w:sz w:val="20"/>
                <w:szCs w:val="20"/>
                <w:color w:val="auto"/>
              </w:rPr>
              <w:t>Canadian federal and provincial income and withholding taxes</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w:t>
            </w:r>
          </w:p>
        </w:tc>
      </w:tr>
      <w:tr>
        <w:trPr>
          <w:trHeight w:val="259"/>
        </w:trPr>
        <w:tc>
          <w:tcPr>
            <w:tcW w:w="6000" w:type="dxa"/>
            <w:vAlign w:val="bottom"/>
          </w:tcPr>
          <w:p>
            <w:pPr>
              <w:spacing w:after="0"/>
              <w:rPr>
                <w:sz w:val="20"/>
                <w:szCs w:val="20"/>
                <w:color w:val="auto"/>
              </w:rPr>
            </w:pPr>
            <w:r>
              <w:rPr>
                <w:rFonts w:ascii="Arial" w:cs="Arial" w:eastAsia="Arial" w:hAnsi="Arial"/>
                <w:sz w:val="20"/>
                <w:szCs w:val="20"/>
                <w:color w:val="auto"/>
              </w:rPr>
              <w:t>Total current income tax expense</w:t>
            </w:r>
          </w:p>
        </w:tc>
        <w:tc>
          <w:tcPr>
            <w:tcW w:w="840" w:type="dxa"/>
            <w:vAlign w:val="bottom"/>
          </w:tcPr>
          <w:p>
            <w:pPr>
              <w:jc w:val="right"/>
              <w:ind w:right="605"/>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195</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145</w:t>
            </w:r>
          </w:p>
        </w:tc>
        <w:tc>
          <w:tcPr>
            <w:tcW w:w="40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537"/>
        </w:trPr>
        <w:tc>
          <w:tcPr>
            <w:tcW w:w="6000" w:type="dxa"/>
            <w:vAlign w:val="bottom"/>
          </w:tcPr>
          <w:p>
            <w:pPr>
              <w:spacing w:after="0"/>
              <w:rPr>
                <w:sz w:val="20"/>
                <w:szCs w:val="20"/>
                <w:color w:val="auto"/>
              </w:rPr>
            </w:pPr>
            <w:r>
              <w:rPr>
                <w:rFonts w:ascii="Arial" w:cs="Arial" w:eastAsia="Arial" w:hAnsi="Arial"/>
                <w:sz w:val="20"/>
                <w:szCs w:val="20"/>
                <w:color w:val="auto"/>
              </w:rPr>
              <w:t>Deferred income tax expense/(benefit):</w:t>
            </w: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9"/>
        </w:trPr>
        <w:tc>
          <w:tcPr>
            <w:tcW w:w="6000" w:type="dxa"/>
            <w:vAlign w:val="bottom"/>
          </w:tcPr>
          <w:p>
            <w:pPr>
              <w:ind w:left="120"/>
              <w:spacing w:after="0"/>
              <w:rPr>
                <w:sz w:val="20"/>
                <w:szCs w:val="20"/>
                <w:color w:val="auto"/>
              </w:rPr>
            </w:pPr>
            <w:r>
              <w:rPr>
                <w:rFonts w:ascii="Arial" w:cs="Arial" w:eastAsia="Arial" w:hAnsi="Arial"/>
                <w:sz w:val="20"/>
                <w:szCs w:val="20"/>
                <w:color w:val="auto"/>
              </w:rPr>
              <w:t>Federal income tax</w:t>
            </w:r>
          </w:p>
        </w:tc>
        <w:tc>
          <w:tcPr>
            <w:tcW w:w="840" w:type="dxa"/>
            <w:vAlign w:val="bottom"/>
          </w:tcPr>
          <w:p>
            <w:pPr>
              <w:jc w:val="right"/>
              <w:ind w:right="605"/>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31</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55</w:t>
            </w:r>
          </w:p>
        </w:tc>
        <w:tc>
          <w:tcPr>
            <w:tcW w:w="40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79"/>
        </w:trPr>
        <w:tc>
          <w:tcPr>
            <w:tcW w:w="6000" w:type="dxa"/>
            <w:vAlign w:val="bottom"/>
          </w:tcPr>
          <w:p>
            <w:pPr>
              <w:ind w:left="120"/>
              <w:spacing w:after="0"/>
              <w:rPr>
                <w:sz w:val="20"/>
                <w:szCs w:val="20"/>
                <w:color w:val="auto"/>
              </w:rPr>
            </w:pPr>
            <w:r>
              <w:rPr>
                <w:rFonts w:ascii="Arial" w:cs="Arial" w:eastAsia="Arial" w:hAnsi="Arial"/>
                <w:sz w:val="20"/>
                <w:szCs w:val="20"/>
                <w:color w:val="auto"/>
              </w:rPr>
              <w:t>State income tax</w:t>
            </w: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6000" w:type="dxa"/>
            <w:vAlign w:val="bottom"/>
          </w:tcPr>
          <w:p>
            <w:pPr>
              <w:ind w:left="120"/>
              <w:spacing w:after="0"/>
              <w:rPr>
                <w:sz w:val="20"/>
                <w:szCs w:val="20"/>
                <w:color w:val="auto"/>
              </w:rPr>
            </w:pPr>
            <w:r>
              <w:rPr>
                <w:rFonts w:ascii="Arial" w:cs="Arial" w:eastAsia="Arial" w:hAnsi="Arial"/>
                <w:sz w:val="20"/>
                <w:szCs w:val="20"/>
                <w:color w:val="auto"/>
              </w:rPr>
              <w:t>Canadian federal and provincial income tax</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r>
      <w:tr>
        <w:trPr>
          <w:trHeight w:val="259"/>
        </w:trPr>
        <w:tc>
          <w:tcPr>
            <w:tcW w:w="6000" w:type="dxa"/>
            <w:vAlign w:val="bottom"/>
          </w:tcPr>
          <w:p>
            <w:pPr>
              <w:spacing w:after="0"/>
              <w:rPr>
                <w:sz w:val="20"/>
                <w:szCs w:val="20"/>
                <w:color w:val="auto"/>
              </w:rPr>
            </w:pPr>
            <w:r>
              <w:rPr>
                <w:rFonts w:ascii="Arial" w:cs="Arial" w:eastAsia="Arial" w:hAnsi="Arial"/>
                <w:sz w:val="20"/>
                <w:szCs w:val="20"/>
                <w:color w:val="auto"/>
              </w:rPr>
              <w:t>Total deferred income tax expense</w:t>
            </w:r>
          </w:p>
        </w:tc>
        <w:tc>
          <w:tcPr>
            <w:tcW w:w="840" w:type="dxa"/>
            <w:vAlign w:val="bottom"/>
            <w:tcBorders>
              <w:bottom w:val="single" w:sz="8" w:color="auto"/>
            </w:tcBorders>
          </w:tcPr>
          <w:p>
            <w:pPr>
              <w:jc w:val="right"/>
              <w:ind w:right="605"/>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auto"/>
              </w:rPr>
              <w:t>Total income tax expense</w:t>
            </w:r>
          </w:p>
        </w:tc>
        <w:tc>
          <w:tcPr>
            <w:tcW w:w="840" w:type="dxa"/>
            <w:vAlign w:val="bottom"/>
          </w:tcPr>
          <w:p>
            <w:pPr>
              <w:jc w:val="right"/>
              <w:ind w:right="605"/>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204</w:t>
            </w:r>
          </w:p>
        </w:tc>
        <w:tc>
          <w:tcPr>
            <w:tcW w:w="38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189</w:t>
            </w:r>
          </w:p>
        </w:tc>
        <w:tc>
          <w:tcPr>
            <w:tcW w:w="40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246</w:t>
            </w:r>
          </w:p>
        </w:tc>
      </w:tr>
      <w:tr>
        <w:trPr>
          <w:trHeight w:val="20"/>
        </w:trPr>
        <w:tc>
          <w:tcPr>
            <w:tcW w:w="6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-1981835</wp:posOffset>
            </wp:positionV>
            <wp:extent cx="6400800" cy="19888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3">
                      <a:extLst>
                        <a:ext uri="{28A0092B-C50C-407E-A947-70E740481C1C}"/>
                      </a:extLst>
                    </a:blip>
                    <a:srcRect/>
                    <a:stretch>
                      <a:fillRect/>
                    </a:stretch>
                  </pic:blipFill>
                  <pic:spPr bwMode="auto">
                    <a:xfrm>
                      <a:off x="0" y="0"/>
                      <a:ext cx="6400800" cy="1988820"/>
                    </a:xfrm>
                    <a:prstGeom prst="rect">
                      <a:avLst/>
                    </a:prstGeom>
                    <a:noFill/>
                  </pic:spPr>
                </pic:pic>
              </a:graphicData>
            </a:graphic>
          </wp:anchor>
        </w:drawing>
      </w:r>
    </w:p>
    <w:p>
      <w:pPr>
        <w:spacing w:after="0" w:line="223" w:lineRule="exact"/>
        <w:rPr>
          <w:sz w:val="20"/>
          <w:szCs w:val="20"/>
          <w:color w:val="auto"/>
        </w:rPr>
      </w:pPr>
    </w:p>
    <w:p>
      <w:pPr>
        <w:jc w:val="both"/>
        <w:ind w:firstLine="706"/>
        <w:spacing w:after="0" w:line="271" w:lineRule="auto"/>
        <w:rPr>
          <w:sz w:val="20"/>
          <w:szCs w:val="20"/>
          <w:color w:val="auto"/>
        </w:rPr>
      </w:pPr>
      <w:r>
        <w:rPr>
          <w:rFonts w:ascii="Arial" w:cs="Arial" w:eastAsia="Arial" w:hAnsi="Arial"/>
          <w:sz w:val="20"/>
          <w:szCs w:val="20"/>
          <w:color w:val="auto"/>
        </w:rPr>
        <w:t>The difference between income tax expense based on the statutory federal income tax rate and our effective income tax expense is summarized as follows (in millions):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w w:val="88"/>
              </w:rPr>
              <w:t>Year Ended December 31,</w:t>
            </w:r>
          </w:p>
        </w:tc>
        <w:tc>
          <w:tcPr>
            <w:tcW w:w="96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2022</w:t>
            </w:r>
          </w:p>
        </w:tc>
      </w:tr>
      <w:tr>
        <w:trPr>
          <w:trHeight w:val="270"/>
        </w:trPr>
        <w:tc>
          <w:tcPr>
            <w:tcW w:w="6000" w:type="dxa"/>
            <w:vAlign w:val="bottom"/>
          </w:tcPr>
          <w:p>
            <w:pPr>
              <w:spacing w:after="0"/>
              <w:rPr>
                <w:sz w:val="20"/>
                <w:szCs w:val="20"/>
                <w:color w:val="auto"/>
              </w:rPr>
            </w:pPr>
            <w:r>
              <w:rPr>
                <w:rFonts w:ascii="Arial" w:cs="Arial" w:eastAsia="Arial" w:hAnsi="Arial"/>
                <w:sz w:val="20"/>
                <w:szCs w:val="20"/>
                <w:color w:val="auto"/>
              </w:rPr>
              <w:t>Income before tax</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1,274</w:t>
            </w:r>
          </w:p>
        </w:tc>
        <w:tc>
          <w:tcPr>
            <w:tcW w:w="56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1,614</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1,409</w:t>
            </w:r>
          </w:p>
        </w:tc>
      </w:tr>
      <w:tr>
        <w:trPr>
          <w:trHeight w:val="294"/>
        </w:trPr>
        <w:tc>
          <w:tcPr>
            <w:tcW w:w="6000" w:type="dxa"/>
            <w:vAlign w:val="bottom"/>
          </w:tcPr>
          <w:p>
            <w:pPr>
              <w:spacing w:after="0"/>
              <w:rPr>
                <w:sz w:val="20"/>
                <w:szCs w:val="20"/>
                <w:color w:val="auto"/>
              </w:rPr>
            </w:pPr>
            <w:r>
              <w:rPr>
                <w:rFonts w:ascii="Arial" w:cs="Arial" w:eastAsia="Arial" w:hAnsi="Arial"/>
                <w:sz w:val="20"/>
                <w:szCs w:val="20"/>
                <w:color w:val="auto"/>
              </w:rPr>
              <w:t>Net income attributable to noncontrolling interests</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(967)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84"/>
              <w:spacing w:after="0"/>
              <w:rPr>
                <w:sz w:val="20"/>
                <w:szCs w:val="20"/>
                <w:color w:val="auto"/>
              </w:rPr>
            </w:pPr>
            <w:r>
              <w:rPr>
                <w:rFonts w:ascii="Arial" w:cs="Arial" w:eastAsia="Arial" w:hAnsi="Arial"/>
                <w:sz w:val="20"/>
                <w:szCs w:val="20"/>
                <w:color w:val="auto"/>
              </w:rPr>
              <w:t>(1,227)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84"/>
              <w:spacing w:after="0"/>
              <w:rPr>
                <w:sz w:val="20"/>
                <w:szCs w:val="20"/>
                <w:color w:val="auto"/>
              </w:rPr>
            </w:pPr>
            <w:r>
              <w:rPr>
                <w:rFonts w:ascii="Arial" w:cs="Arial" w:eastAsia="Arial" w:hAnsi="Arial"/>
                <w:sz w:val="20"/>
                <w:szCs w:val="20"/>
                <w:color w:val="auto"/>
              </w:rPr>
              <w:t>(995)</w:t>
            </w:r>
          </w:p>
        </w:tc>
      </w:tr>
      <w:tr>
        <w:trPr>
          <w:trHeight w:val="298"/>
        </w:trPr>
        <w:tc>
          <w:tcPr>
            <w:tcW w:w="6000" w:type="dxa"/>
            <w:vAlign w:val="bottom"/>
          </w:tcPr>
          <w:p>
            <w:pPr>
              <w:spacing w:after="0"/>
              <w:rPr>
                <w:sz w:val="20"/>
                <w:szCs w:val="20"/>
                <w:color w:val="auto"/>
              </w:rPr>
            </w:pPr>
            <w:r>
              <w:rPr>
                <w:rFonts w:ascii="Arial" w:cs="Arial" w:eastAsia="Arial" w:hAnsi="Arial"/>
                <w:sz w:val="20"/>
                <w:szCs w:val="20"/>
                <w:color w:val="auto"/>
              </w:rPr>
              <w:t>Income taxes attributable to noncontrolling interests</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20"/>
                <w:szCs w:val="20"/>
                <w:color w:val="auto"/>
              </w:rPr>
              <w:t>(121)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20"/>
                <w:szCs w:val="20"/>
                <w:color w:val="auto"/>
              </w:rPr>
              <w:t>(189)</w:t>
            </w:r>
          </w:p>
        </w:tc>
      </w:tr>
      <w:tr>
        <w:trPr>
          <w:trHeight w:val="270"/>
        </w:trPr>
        <w:tc>
          <w:tcPr>
            <w:tcW w:w="6000" w:type="dxa"/>
            <w:vAlign w:val="bottom"/>
          </w:tcPr>
          <w:p>
            <w:pPr>
              <w:spacing w:after="0"/>
              <w:rPr>
                <w:sz w:val="23"/>
                <w:szCs w:val="23"/>
                <w:color w:val="auto"/>
              </w:rPr>
            </w:pP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140</w:t>
            </w:r>
          </w:p>
        </w:tc>
        <w:tc>
          <w:tcPr>
            <w:tcW w:w="56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266</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225</w:t>
            </w:r>
          </w:p>
        </w:tc>
      </w:tr>
      <w:tr>
        <w:trPr>
          <w:trHeight w:val="298"/>
        </w:trPr>
        <w:tc>
          <w:tcPr>
            <w:tcW w:w="6000" w:type="dxa"/>
            <w:vAlign w:val="bottom"/>
          </w:tcPr>
          <w:p>
            <w:pPr>
              <w:spacing w:after="0"/>
              <w:rPr>
                <w:sz w:val="20"/>
                <w:szCs w:val="20"/>
                <w:color w:val="auto"/>
              </w:rPr>
            </w:pPr>
            <w:r>
              <w:rPr>
                <w:rFonts w:ascii="Arial" w:cs="Arial" w:eastAsia="Arial" w:hAnsi="Arial"/>
                <w:sz w:val="20"/>
                <w:szCs w:val="20"/>
                <w:color w:val="auto"/>
              </w:rPr>
              <w:t>Federal statutory income tax rate</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21 %</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21 %</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21 %</w:t>
            </w:r>
          </w:p>
        </w:tc>
      </w:tr>
      <w:tr>
        <w:trPr>
          <w:trHeight w:val="270"/>
        </w:trPr>
        <w:tc>
          <w:tcPr>
            <w:tcW w:w="6000" w:type="dxa"/>
            <w:vAlign w:val="bottom"/>
          </w:tcPr>
          <w:p>
            <w:pPr>
              <w:spacing w:after="0"/>
              <w:rPr>
                <w:sz w:val="20"/>
                <w:szCs w:val="20"/>
                <w:color w:val="auto"/>
              </w:rPr>
            </w:pPr>
            <w:r>
              <w:rPr>
                <w:rFonts w:ascii="Arial" w:cs="Arial" w:eastAsia="Arial" w:hAnsi="Arial"/>
                <w:sz w:val="20"/>
                <w:szCs w:val="20"/>
                <w:color w:val="auto"/>
              </w:rPr>
              <w:t>Income tax expense at statutory rate</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29</w:t>
            </w:r>
          </w:p>
        </w:tc>
        <w:tc>
          <w:tcPr>
            <w:tcW w:w="56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56</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47</w:t>
            </w:r>
          </w:p>
        </w:tc>
      </w:tr>
      <w:tr>
        <w:trPr>
          <w:trHeight w:val="573"/>
        </w:trPr>
        <w:tc>
          <w:tcPr>
            <w:tcW w:w="6000" w:type="dxa"/>
            <w:vAlign w:val="bottom"/>
          </w:tcPr>
          <w:p>
            <w:pPr>
              <w:spacing w:after="0"/>
              <w:rPr>
                <w:sz w:val="20"/>
                <w:szCs w:val="20"/>
                <w:color w:val="auto"/>
              </w:rPr>
            </w:pPr>
            <w:r>
              <w:rPr>
                <w:rFonts w:ascii="Arial" w:cs="Arial" w:eastAsia="Arial" w:hAnsi="Arial"/>
                <w:sz w:val="20"/>
                <w:szCs w:val="20"/>
                <w:color w:val="auto"/>
              </w:rPr>
              <w:t>Deferred tax rate adjustment</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7</w:t>
            </w:r>
          </w:p>
        </w:tc>
      </w:tr>
      <w:tr>
        <w:trPr>
          <w:trHeight w:val="294"/>
        </w:trPr>
        <w:tc>
          <w:tcPr>
            <w:tcW w:w="6000" w:type="dxa"/>
            <w:vAlign w:val="bottom"/>
          </w:tcPr>
          <w:p>
            <w:pPr>
              <w:spacing w:after="0"/>
              <w:rPr>
                <w:sz w:val="20"/>
                <w:szCs w:val="20"/>
                <w:color w:val="auto"/>
              </w:rPr>
            </w:pPr>
            <w:r>
              <w:rPr>
                <w:rFonts w:ascii="Arial" w:cs="Arial" w:eastAsia="Arial" w:hAnsi="Arial"/>
                <w:sz w:val="20"/>
                <w:szCs w:val="20"/>
                <w:color w:val="auto"/>
              </w:rPr>
              <w:t>State income tax, net of federal benefit</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3</w:t>
            </w:r>
          </w:p>
        </w:tc>
      </w:tr>
      <w:tr>
        <w:trPr>
          <w:trHeight w:val="281"/>
        </w:trPr>
        <w:tc>
          <w:tcPr>
            <w:tcW w:w="6000" w:type="dxa"/>
            <w:vAlign w:val="bottom"/>
          </w:tcPr>
          <w:p>
            <w:pPr>
              <w:spacing w:after="0"/>
              <w:rPr>
                <w:sz w:val="20"/>
                <w:szCs w:val="20"/>
                <w:color w:val="auto"/>
              </w:rPr>
            </w:pPr>
            <w:r>
              <w:rPr>
                <w:rFonts w:ascii="Arial" w:cs="Arial" w:eastAsia="Arial" w:hAnsi="Arial"/>
                <w:sz w:val="20"/>
                <w:szCs w:val="20"/>
                <w:color w:val="auto"/>
              </w:rPr>
              <w:t>Income taxes attributable to noncontrolling interests: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7"/>
        </w:trPr>
        <w:tc>
          <w:tcPr>
            <w:tcW w:w="6000" w:type="dxa"/>
            <w:vAlign w:val="bottom"/>
          </w:tcPr>
          <w:p>
            <w:pPr>
              <w:ind w:left="120"/>
              <w:spacing w:after="0"/>
              <w:rPr>
                <w:sz w:val="20"/>
                <w:szCs w:val="20"/>
                <w:color w:val="auto"/>
              </w:rPr>
            </w:pPr>
            <w:r>
              <w:rPr>
                <w:rFonts w:ascii="Arial" w:cs="Arial" w:eastAsia="Arial" w:hAnsi="Arial"/>
                <w:sz w:val="20"/>
                <w:szCs w:val="20"/>
                <w:color w:val="auto"/>
              </w:rPr>
              <w:t>Canadian federal and provincial income tax</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113</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119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188</w:t>
            </w:r>
          </w:p>
        </w:tc>
      </w:tr>
      <w:tr>
        <w:trPr>
          <w:trHeight w:val="294"/>
        </w:trPr>
        <w:tc>
          <w:tcPr>
            <w:tcW w:w="6000" w:type="dxa"/>
            <w:vAlign w:val="bottom"/>
          </w:tcPr>
          <w:p>
            <w:pPr>
              <w:ind w:left="120"/>
              <w:spacing w:after="0"/>
              <w:rPr>
                <w:sz w:val="20"/>
                <w:szCs w:val="20"/>
                <w:color w:val="auto"/>
              </w:rPr>
            </w:pPr>
            <w:r>
              <w:rPr>
                <w:rFonts w:ascii="Arial" w:cs="Arial" w:eastAsia="Arial" w:hAnsi="Arial"/>
                <w:sz w:val="20"/>
                <w:szCs w:val="20"/>
                <w:color w:val="auto"/>
              </w:rPr>
              <w:t>Canadian withholding tax</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52</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w:t>
            </w:r>
          </w:p>
        </w:tc>
      </w:tr>
      <w:tr>
        <w:trPr>
          <w:trHeight w:val="298"/>
        </w:trPr>
        <w:tc>
          <w:tcPr>
            <w:tcW w:w="6000" w:type="dxa"/>
            <w:vAlign w:val="bottom"/>
          </w:tcPr>
          <w:p>
            <w:pPr>
              <w:ind w:left="120"/>
              <w:spacing w:after="0"/>
              <w:rPr>
                <w:sz w:val="20"/>
                <w:szCs w:val="20"/>
                <w:color w:val="auto"/>
              </w:rPr>
            </w:pPr>
            <w:r>
              <w:rPr>
                <w:rFonts w:ascii="Arial" w:cs="Arial" w:eastAsia="Arial" w:hAnsi="Arial"/>
                <w:sz w:val="20"/>
                <w:szCs w:val="20"/>
                <w:color w:val="auto"/>
              </w:rPr>
              <w:t>State income tax</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20"/>
                <w:szCs w:val="20"/>
                <w:color w:val="auto"/>
              </w:rPr>
              <w:t>1</w:t>
            </w:r>
          </w:p>
        </w:tc>
      </w:tr>
      <w:tr>
        <w:trPr>
          <w:trHeight w:val="254"/>
        </w:trPr>
        <w:tc>
          <w:tcPr>
            <w:tcW w:w="6000" w:type="dxa"/>
            <w:vAlign w:val="bottom"/>
          </w:tcPr>
          <w:p>
            <w:pPr>
              <w:spacing w:after="0"/>
              <w:rPr>
                <w:sz w:val="20"/>
                <w:szCs w:val="20"/>
                <w:color w:val="auto"/>
              </w:rPr>
            </w:pPr>
            <w:r>
              <w:rPr>
                <w:rFonts w:ascii="Arial" w:cs="Arial" w:eastAsia="Arial" w:hAnsi="Arial"/>
                <w:sz w:val="20"/>
                <w:szCs w:val="20"/>
                <w:color w:val="auto"/>
              </w:rPr>
              <w:t>Total income tax expense</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204</w:t>
            </w:r>
          </w:p>
        </w:tc>
        <w:tc>
          <w:tcPr>
            <w:tcW w:w="56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189</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44"/>
              <w:spacing w:after="0"/>
              <w:rPr>
                <w:sz w:val="20"/>
                <w:szCs w:val="20"/>
                <w:color w:val="auto"/>
              </w:rPr>
            </w:pPr>
            <w:r>
              <w:rPr>
                <w:rFonts w:ascii="Arial" w:cs="Arial" w:eastAsia="Arial" w:hAnsi="Arial"/>
                <w:sz w:val="20"/>
                <w:szCs w:val="20"/>
                <w:color w:val="auto"/>
              </w:rPr>
              <w:t>246</w:t>
            </w:r>
          </w:p>
        </w:tc>
      </w:tr>
      <w:tr>
        <w:trPr>
          <w:trHeight w:val="20"/>
        </w:trPr>
        <w:tc>
          <w:tcPr>
            <w:tcW w:w="6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-2635250</wp:posOffset>
            </wp:positionV>
            <wp:extent cx="6400800" cy="26422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4">
                      <a:extLst>
                        <a:ext uri="{28A0092B-C50C-407E-A947-70E740481C1C}"/>
                      </a:extLst>
                    </a:blip>
                    <a:srcRect/>
                    <a:stretch>
                      <a:fillRect/>
                    </a:stretch>
                  </pic:blipFill>
                  <pic:spPr bwMode="auto">
                    <a:xfrm>
                      <a:off x="0" y="0"/>
                      <a:ext cx="6400800" cy="2642235"/>
                    </a:xfrm>
                    <a:prstGeom prst="rect">
                      <a:avLst/>
                    </a:prstGeom>
                    <a:noFill/>
                  </pic:spPr>
                </pic:pic>
              </a:graphicData>
            </a:graphic>
          </wp:anchor>
        </w:drawing>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880" w:h="15480" w:orient="portrait"/>
          <w:cols w:equalWidth="0" w:num="1">
            <w:col w:w="10040"/>
          </w:cols>
          <w:pgMar w:left="920" w:top="337" w:right="920" w:bottom="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right="280" w:firstLine="706"/>
        <w:spacing w:after="0" w:line="271" w:lineRule="auto"/>
        <w:rPr>
          <w:sz w:val="20"/>
          <w:szCs w:val="20"/>
          <w:color w:val="auto"/>
        </w:rPr>
      </w:pPr>
      <w:r>
        <w:rPr>
          <w:rFonts w:ascii="Arial" w:cs="Arial" w:eastAsia="Arial" w:hAnsi="Arial"/>
          <w:sz w:val="20"/>
          <w:szCs w:val="20"/>
          <w:color w:val="auto"/>
        </w:rPr>
        <w:t>Deferred tax assets and liabilities are aggregated by the applicable tax paying entity and jurisdiction and result from the following (in millions):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57"/>
        </w:trPr>
        <w:tc>
          <w:tcPr>
            <w:tcW w:w="7340" w:type="dxa"/>
            <w:vAlign w:val="bottom"/>
          </w:tcPr>
          <w:p>
            <w:pPr>
              <w:spacing w:after="0"/>
              <w:rPr>
                <w:sz w:val="20"/>
                <w:szCs w:val="20"/>
                <w:color w:val="auto"/>
              </w:rPr>
            </w:pPr>
            <w:r>
              <w:rPr>
                <w:rFonts w:ascii="Arial" w:cs="Arial" w:eastAsia="Arial" w:hAnsi="Arial"/>
                <w:sz w:val="20"/>
                <w:szCs w:val="20"/>
                <w:color w:val="auto"/>
              </w:rPr>
              <w:t>Deferred tax assets:</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7340" w:type="dxa"/>
            <w:vAlign w:val="bottom"/>
          </w:tcPr>
          <w:p>
            <w:pPr>
              <w:ind w:left="120"/>
              <w:spacing w:after="0"/>
              <w:rPr>
                <w:sz w:val="20"/>
                <w:szCs w:val="20"/>
                <w:color w:val="auto"/>
              </w:rPr>
            </w:pPr>
            <w:r>
              <w:rPr>
                <w:rFonts w:ascii="Arial" w:cs="Arial" w:eastAsia="Arial" w:hAnsi="Arial"/>
                <w:sz w:val="20"/>
                <w:szCs w:val="20"/>
                <w:color w:val="auto"/>
              </w:rPr>
              <w:t>Investment in partnerships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436</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523</w:t>
            </w:r>
          </w:p>
        </w:tc>
        <w:tc>
          <w:tcPr>
            <w:tcW w:w="0" w:type="dxa"/>
            <w:vAlign w:val="bottom"/>
          </w:tcPr>
          <w:p>
            <w:pPr>
              <w:spacing w:after="0"/>
              <w:rPr>
                <w:sz w:val="1"/>
                <w:szCs w:val="1"/>
                <w:color w:val="auto"/>
              </w:rPr>
            </w:pPr>
          </w:p>
        </w:tc>
      </w:tr>
      <w:tr>
        <w:trPr>
          <w:trHeight w:val="294"/>
        </w:trPr>
        <w:tc>
          <w:tcPr>
            <w:tcW w:w="7340" w:type="dxa"/>
            <w:vAlign w:val="bottom"/>
          </w:tcPr>
          <w:p>
            <w:pPr>
              <w:ind w:left="120"/>
              <w:spacing w:after="0"/>
              <w:rPr>
                <w:sz w:val="20"/>
                <w:szCs w:val="20"/>
                <w:color w:val="auto"/>
              </w:rPr>
            </w:pPr>
            <w:r>
              <w:rPr>
                <w:rFonts w:ascii="Arial" w:cs="Arial" w:eastAsia="Arial" w:hAnsi="Arial"/>
                <w:sz w:val="20"/>
                <w:szCs w:val="20"/>
                <w:color w:val="auto"/>
              </w:rPr>
              <w:t>Net operating losses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784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716</w:t>
            </w:r>
          </w:p>
        </w:tc>
        <w:tc>
          <w:tcPr>
            <w:tcW w:w="0" w:type="dxa"/>
            <w:vAlign w:val="bottom"/>
          </w:tcPr>
          <w:p>
            <w:pPr>
              <w:spacing w:after="0"/>
              <w:rPr>
                <w:sz w:val="1"/>
                <w:szCs w:val="1"/>
                <w:color w:val="auto"/>
              </w:rPr>
            </w:pPr>
          </w:p>
        </w:tc>
      </w:tr>
      <w:tr>
        <w:trPr>
          <w:trHeight w:val="294"/>
        </w:trPr>
        <w:tc>
          <w:tcPr>
            <w:tcW w:w="7340" w:type="dxa"/>
            <w:vAlign w:val="bottom"/>
          </w:tcPr>
          <w:p>
            <w:pPr>
              <w:ind w:left="120"/>
              <w:spacing w:after="0"/>
              <w:rPr>
                <w:sz w:val="20"/>
                <w:szCs w:val="20"/>
                <w:color w:val="auto"/>
              </w:rPr>
            </w:pPr>
            <w:r>
              <w:rPr>
                <w:rFonts w:ascii="Arial" w:cs="Arial" w:eastAsia="Arial" w:hAnsi="Arial"/>
                <w:sz w:val="20"/>
                <w:szCs w:val="20"/>
                <w:color w:val="auto"/>
              </w:rPr>
              <w:t>Derivative instruments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7340" w:type="dxa"/>
            <w:vAlign w:val="bottom"/>
          </w:tcPr>
          <w:p>
            <w:pPr>
              <w:ind w:left="120"/>
              <w:spacing w:after="0"/>
              <w:rPr>
                <w:sz w:val="20"/>
                <w:szCs w:val="20"/>
                <w:color w:val="auto"/>
              </w:rPr>
            </w:pPr>
            <w:r>
              <w:rPr>
                <w:rFonts w:ascii="Arial" w:cs="Arial" w:eastAsia="Arial" w:hAnsi="Arial"/>
                <w:sz w:val="20"/>
                <w:szCs w:val="20"/>
                <w:color w:val="auto"/>
              </w:rPr>
              <w:t>Lease liabilities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98"/>
        </w:trPr>
        <w:tc>
          <w:tcPr>
            <w:tcW w:w="7340" w:type="dxa"/>
            <w:vAlign w:val="bottom"/>
          </w:tcPr>
          <w:p>
            <w:pPr>
              <w:ind w:left="120"/>
              <w:spacing w:after="0"/>
              <w:rPr>
                <w:sz w:val="20"/>
                <w:szCs w:val="20"/>
                <w:color w:val="auto"/>
              </w:rPr>
            </w:pPr>
            <w:r>
              <w:rPr>
                <w:rFonts w:ascii="Arial" w:cs="Arial" w:eastAsia="Arial" w:hAnsi="Arial"/>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74"/>
        </w:trPr>
        <w:tc>
          <w:tcPr>
            <w:tcW w:w="7340" w:type="dxa"/>
            <w:vAlign w:val="bottom"/>
          </w:tcPr>
          <w:p>
            <w:pPr>
              <w:spacing w:after="0"/>
              <w:rPr>
                <w:sz w:val="20"/>
                <w:szCs w:val="20"/>
                <w:color w:val="auto"/>
              </w:rPr>
            </w:pPr>
            <w:r>
              <w:rPr>
                <w:rFonts w:ascii="Arial" w:cs="Arial" w:eastAsia="Arial" w:hAnsi="Arial"/>
                <w:sz w:val="20"/>
                <w:szCs w:val="20"/>
                <w:color w:val="auto"/>
              </w:rPr>
              <w:t>Total deferred tax assets</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1,328</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1,324</w:t>
            </w:r>
          </w:p>
        </w:tc>
        <w:tc>
          <w:tcPr>
            <w:tcW w:w="0" w:type="dxa"/>
            <w:vAlign w:val="bottom"/>
          </w:tcPr>
          <w:p>
            <w:pPr>
              <w:spacing w:after="0"/>
              <w:rPr>
                <w:sz w:val="1"/>
                <w:szCs w:val="1"/>
                <w:color w:val="auto"/>
              </w:rPr>
            </w:pPr>
          </w:p>
        </w:tc>
      </w:tr>
      <w:tr>
        <w:trPr>
          <w:trHeight w:val="551"/>
        </w:trPr>
        <w:tc>
          <w:tcPr>
            <w:tcW w:w="734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340" w:type="dxa"/>
            <w:vAlign w:val="bottom"/>
          </w:tcPr>
          <w:p>
            <w:pPr>
              <w:ind w:left="120"/>
              <w:spacing w:after="0"/>
              <w:rPr>
                <w:sz w:val="20"/>
                <w:szCs w:val="20"/>
                <w:color w:val="auto"/>
              </w:rPr>
            </w:pPr>
            <w:r>
              <w:rPr>
                <w:rFonts w:ascii="Arial" w:cs="Arial" w:eastAsia="Arial" w:hAnsi="Arial"/>
                <w:sz w:val="20"/>
                <w:szCs w:val="20"/>
                <w:color w:val="auto"/>
              </w:rPr>
              <w:t>Property and equipment in excess of tax values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(525)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(573)</w:t>
            </w:r>
          </w:p>
        </w:tc>
        <w:tc>
          <w:tcPr>
            <w:tcW w:w="0" w:type="dxa"/>
            <w:vAlign w:val="bottom"/>
          </w:tcPr>
          <w:p>
            <w:pPr>
              <w:spacing w:after="0"/>
              <w:rPr>
                <w:sz w:val="1"/>
                <w:szCs w:val="1"/>
                <w:color w:val="auto"/>
              </w:rPr>
            </w:pPr>
          </w:p>
        </w:tc>
      </w:tr>
      <w:tr>
        <w:trPr>
          <w:trHeight w:val="294"/>
        </w:trPr>
        <w:tc>
          <w:tcPr>
            <w:tcW w:w="7340" w:type="dxa"/>
            <w:vAlign w:val="bottom"/>
          </w:tcPr>
          <w:p>
            <w:pPr>
              <w:ind w:left="120"/>
              <w:spacing w:after="0"/>
              <w:rPr>
                <w:sz w:val="20"/>
                <w:szCs w:val="20"/>
                <w:color w:val="auto"/>
              </w:rPr>
            </w:pPr>
            <w:r>
              <w:rPr>
                <w:rFonts w:ascii="Arial" w:cs="Arial" w:eastAsia="Arial" w:hAnsi="Arial"/>
                <w:sz w:val="20"/>
                <w:szCs w:val="20"/>
                <w:color w:val="auto"/>
              </w:rPr>
              <w:t>Derivative instruments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4"/>
        </w:trPr>
        <w:tc>
          <w:tcPr>
            <w:tcW w:w="7340" w:type="dxa"/>
            <w:vAlign w:val="bottom"/>
          </w:tcPr>
          <w:p>
            <w:pPr>
              <w:ind w:left="120"/>
              <w:spacing w:after="0"/>
              <w:rPr>
                <w:sz w:val="20"/>
                <w:szCs w:val="20"/>
                <w:color w:val="auto"/>
              </w:rPr>
            </w:pPr>
            <w:r>
              <w:rPr>
                <w:rFonts w:ascii="Arial" w:cs="Arial" w:eastAsia="Arial" w:hAnsi="Arial"/>
                <w:sz w:val="20"/>
                <w:szCs w:val="20"/>
                <w:color w:val="auto"/>
              </w:rPr>
              <w:t>Lease assets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98"/>
        </w:trPr>
        <w:tc>
          <w:tcPr>
            <w:tcW w:w="7340" w:type="dxa"/>
            <w:vAlign w:val="bottom"/>
          </w:tcPr>
          <w:p>
            <w:pPr>
              <w:ind w:left="120"/>
              <w:spacing w:after="0"/>
              <w:rPr>
                <w:sz w:val="20"/>
                <w:szCs w:val="20"/>
                <w:color w:val="auto"/>
              </w:rPr>
            </w:pPr>
            <w:r>
              <w:rPr>
                <w:rFonts w:ascii="Arial" w:cs="Arial" w:eastAsia="Arial" w:hAnsi="Arial"/>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74"/>
        </w:trPr>
        <w:tc>
          <w:tcPr>
            <w:tcW w:w="7340" w:type="dxa"/>
            <w:vAlign w:val="bottom"/>
          </w:tcPr>
          <w:p>
            <w:pPr>
              <w:spacing w:after="0"/>
              <w:rPr>
                <w:sz w:val="20"/>
                <w:szCs w:val="20"/>
                <w:color w:val="auto"/>
              </w:rPr>
            </w:pPr>
            <w:r>
              <w:rPr>
                <w:rFonts w:ascii="Arial" w:cs="Arial" w:eastAsia="Arial" w:hAnsi="Arial"/>
                <w:sz w:val="20"/>
                <w:szCs w:val="20"/>
                <w:color w:val="auto"/>
              </w:rPr>
              <w:t>Total deferred tax liabilities</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(572)</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(620)</w:t>
            </w:r>
          </w:p>
        </w:tc>
        <w:tc>
          <w:tcPr>
            <w:tcW w:w="0" w:type="dxa"/>
            <w:vAlign w:val="bottom"/>
          </w:tcPr>
          <w:p>
            <w:pPr>
              <w:spacing w:after="0"/>
              <w:rPr>
                <w:sz w:val="1"/>
                <w:szCs w:val="1"/>
                <w:color w:val="auto"/>
              </w:rPr>
            </w:pPr>
          </w:p>
        </w:tc>
      </w:tr>
      <w:tr>
        <w:trPr>
          <w:trHeight w:val="254"/>
        </w:trPr>
        <w:tc>
          <w:tcPr>
            <w:tcW w:w="7340" w:type="dxa"/>
            <w:vAlign w:val="bottom"/>
          </w:tcPr>
          <w:p>
            <w:pPr>
              <w:spacing w:after="0"/>
              <w:rPr>
                <w:sz w:val="20"/>
                <w:szCs w:val="20"/>
                <w:color w:val="auto"/>
              </w:rPr>
            </w:pPr>
            <w:r>
              <w:rPr>
                <w:rFonts w:ascii="Arial" w:cs="Arial" w:eastAsia="Arial" w:hAnsi="Arial"/>
                <w:sz w:val="20"/>
                <w:szCs w:val="20"/>
                <w:color w:val="auto"/>
              </w:rPr>
              <w:t>Net deferred tax assets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756</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704</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20"/>
                <w:szCs w:val="20"/>
                <w:color w:val="auto"/>
              </w:rPr>
              <w:t>Balance sheet classification of deferred tax assets/(liabilities):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7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340" w:type="dxa"/>
            <w:vAlign w:val="bottom"/>
          </w:tcPr>
          <w:p>
            <w:pPr>
              <w:ind w:left="120"/>
              <w:spacing w:after="0"/>
              <w:rPr>
                <w:sz w:val="20"/>
                <w:szCs w:val="20"/>
                <w:color w:val="auto"/>
              </w:rPr>
            </w:pPr>
            <w:r>
              <w:rPr>
                <w:rFonts w:ascii="Arial" w:cs="Arial" w:eastAsia="Arial" w:hAnsi="Arial"/>
                <w:sz w:val="20"/>
                <w:szCs w:val="20"/>
                <w:color w:val="auto"/>
              </w:rPr>
              <w:t>Deferred tax asset</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1,220</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1,239</w:t>
            </w:r>
          </w:p>
        </w:tc>
        <w:tc>
          <w:tcPr>
            <w:tcW w:w="0" w:type="dxa"/>
            <w:vAlign w:val="bottom"/>
          </w:tcPr>
          <w:p>
            <w:pPr>
              <w:spacing w:after="0"/>
              <w:rPr>
                <w:sz w:val="1"/>
                <w:szCs w:val="1"/>
                <w:color w:val="auto"/>
              </w:rPr>
            </w:pPr>
          </w:p>
        </w:tc>
      </w:tr>
      <w:tr>
        <w:trPr>
          <w:trHeight w:val="298"/>
        </w:trPr>
        <w:tc>
          <w:tcPr>
            <w:tcW w:w="7340" w:type="dxa"/>
            <w:vAlign w:val="bottom"/>
          </w:tcPr>
          <w:p>
            <w:pPr>
              <w:ind w:left="120"/>
              <w:spacing w:after="0"/>
              <w:rPr>
                <w:sz w:val="20"/>
                <w:szCs w:val="20"/>
                <w:color w:val="auto"/>
              </w:rPr>
            </w:pPr>
            <w:r>
              <w:rPr>
                <w:rFonts w:ascii="Arial" w:cs="Arial" w:eastAsia="Arial" w:hAnsi="Arial"/>
                <w:sz w:val="20"/>
                <w:szCs w:val="20"/>
                <w:color w:val="auto"/>
              </w:rPr>
              <w:t>Other long-term liabilities and deferred credits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w:t>
            </w:r>
          </w:p>
        </w:tc>
        <w:tc>
          <w:tcPr>
            <w:tcW w:w="0" w:type="dxa"/>
            <w:vAlign w:val="bottom"/>
          </w:tcPr>
          <w:p>
            <w:pPr>
              <w:spacing w:after="0"/>
              <w:rPr>
                <w:sz w:val="1"/>
                <w:szCs w:val="1"/>
                <w:color w:val="auto"/>
              </w:rPr>
            </w:pPr>
          </w:p>
        </w:tc>
      </w:tr>
      <w:tr>
        <w:trPr>
          <w:trHeight w:val="254"/>
        </w:trPr>
        <w:tc>
          <w:tcPr>
            <w:tcW w:w="7340" w:type="dxa"/>
            <w:vAlign w:val="bottom"/>
          </w:tcPr>
          <w:p>
            <w:pPr>
              <w:spacing w:after="0"/>
              <w:rPr>
                <w:sz w:val="22"/>
                <w:szCs w:val="22"/>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756</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704</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-3764915</wp:posOffset>
            </wp:positionV>
            <wp:extent cx="6400800" cy="37719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5">
                      <a:extLst>
                        <a:ext uri="{28A0092B-C50C-407E-A947-70E740481C1C}"/>
                      </a:extLst>
                    </a:blip>
                    <a:srcRect/>
                    <a:stretch>
                      <a:fillRect/>
                    </a:stretch>
                  </pic:blipFill>
                  <pic:spPr bwMode="auto">
                    <a:xfrm>
                      <a:off x="0" y="0"/>
                      <a:ext cx="6400800" cy="3771900"/>
                    </a:xfrm>
                    <a:prstGeom prst="rect">
                      <a:avLst/>
                    </a:prstGeom>
                    <a:noFill/>
                  </pic:spPr>
                </pic:pic>
              </a:graphicData>
            </a:graphic>
          </wp:anchor>
        </w:drawing>
      </w:r>
    </w:p>
    <w:p>
      <w:pPr>
        <w:spacing w:after="0" w:line="223" w:lineRule="exact"/>
        <w:rPr>
          <w:sz w:val="20"/>
          <w:szCs w:val="20"/>
          <w:color w:val="auto"/>
        </w:rPr>
      </w:pPr>
    </w:p>
    <w:p>
      <w:pPr>
        <w:ind w:right="20" w:firstLine="706"/>
        <w:spacing w:after="0" w:line="297" w:lineRule="auto"/>
        <w:rPr>
          <w:sz w:val="20"/>
          <w:szCs w:val="20"/>
          <w:color w:val="auto"/>
        </w:rPr>
      </w:pPr>
      <w:r>
        <w:rPr>
          <w:rFonts w:ascii="Arial" w:cs="Arial" w:eastAsia="Arial" w:hAnsi="Arial"/>
          <w:sz w:val="17"/>
          <w:szCs w:val="17"/>
          <w:color w:val="auto"/>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These transfers were transactions among shareholders, with the basis differences resulting in a deferred tax asset that was recorded as a component of partners’ capital. Also, other equity transactions, including the repurchase of common units by PAA, and the associated adjustment to partners’ capital attributable to PAGP resulted in a corresponding change to the deferred tax asset balance that was recorded as a component of partners’ capital. See Note 11 for additional information regarding exchanges and the repurchase of common units by PAA. The deferred tax asset is amortized to deferred income tax expense as the associated basis step-up is realized on our tax returns.</w:t>
      </w:r>
    </w:p>
    <w:p>
      <w:pPr>
        <w:spacing w:after="0" w:line="175" w:lineRule="exact"/>
        <w:rPr>
          <w:sz w:val="20"/>
          <w:szCs w:val="20"/>
          <w:color w:val="auto"/>
        </w:rPr>
      </w:pPr>
    </w:p>
    <w:p>
      <w:pPr>
        <w:ind w:firstLine="706"/>
        <w:spacing w:after="0" w:line="250" w:lineRule="auto"/>
        <w:rPr>
          <w:sz w:val="20"/>
          <w:szCs w:val="20"/>
          <w:color w:val="auto"/>
        </w:rPr>
      </w:pPr>
      <w:r>
        <w:rPr>
          <w:rFonts w:ascii="Arial" w:cs="Arial" w:eastAsia="Arial" w:hAnsi="Arial"/>
          <w:sz w:val="20"/>
          <w:szCs w:val="20"/>
          <w:color w:val="auto"/>
        </w:rPr>
        <w:t>As of December 31, 2024, our federal and state net operating loss carryforwards for income tax purposes were approximately $3,549 million and $953 million, respectively. If not utilized, the state net operating losses will begin to expire in 2025 and a portion of our federal net operating losses will begin to expire in 2033. Under the Tax Cuts and Jobs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209" w:lineRule="exact"/>
        <w:rPr>
          <w:sz w:val="20"/>
          <w:szCs w:val="20"/>
          <w:color w:val="auto"/>
        </w:rPr>
      </w:pPr>
    </w:p>
    <w:p>
      <w:pPr>
        <w:ind w:right="20" w:firstLine="706"/>
        <w:spacing w:after="0" w:line="271" w:lineRule="auto"/>
        <w:rPr>
          <w:sz w:val="20"/>
          <w:szCs w:val="20"/>
          <w:color w:val="auto"/>
        </w:rPr>
      </w:pPr>
      <w:r>
        <w:rPr>
          <w:rFonts w:ascii="Arial" w:cs="Arial" w:eastAsia="Arial" w:hAnsi="Arial"/>
          <w:sz w:val="20"/>
          <w:szCs w:val="20"/>
          <w:color w:val="auto"/>
        </w:rPr>
        <w:t>Generally, tax returns for our Canadian entities are open to audit from 2018 through 2024. Our U.S. and state tax years are generally open to examination from 2021 to 2024.</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880" w:h="15480" w:orient="portrait"/>
          <w:cols w:equalWidth="0" w:num="1">
            <w:col w:w="10040"/>
          </w:cols>
          <w:pgMar w:left="920" w:top="337" w:right="920" w:bottom="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right="40" w:firstLine="706"/>
        <w:spacing w:after="0" w:line="295" w:lineRule="auto"/>
        <w:rPr>
          <w:sz w:val="20"/>
          <w:szCs w:val="20"/>
          <w:color w:val="auto"/>
        </w:rPr>
      </w:pPr>
      <w:r>
        <w:rPr>
          <w:rFonts w:ascii="Arial" w:cs="Arial" w:eastAsia="Arial" w:hAnsi="Arial"/>
          <w:sz w:val="17"/>
          <w:szCs w:val="17"/>
          <w:color w:val="auto"/>
        </w:rPr>
        <w:t>As of December 31, 2024, in reference to tax years 2012 to 2019,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$177 million (based on the exchange rate as of December 31, 2024). Payment of a portion of the assessment is required in order to file a notice of objection to dispute the reassessment. Accordingly, we have remitted approximately $97 million (based on the exchange rate as of December 31, 2024)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2024, we believe that our tax position associated with these matters is “more likely than not” to be sustained and have not recognized any amounts for uncertainty in income taxes related to these notices.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15—Major Customers and Concentration of Credit Risk</w:t>
      </w:r>
    </w:p>
    <w:p>
      <w:pPr>
        <w:spacing w:after="0" w:line="248" w:lineRule="exact"/>
        <w:rPr>
          <w:sz w:val="20"/>
          <w:szCs w:val="20"/>
          <w:color w:val="auto"/>
        </w:rPr>
      </w:pPr>
    </w:p>
    <w:p>
      <w:pPr>
        <w:ind w:right="80" w:firstLine="706"/>
        <w:spacing w:after="0" w:line="303" w:lineRule="auto"/>
        <w:rPr>
          <w:sz w:val="20"/>
          <w:szCs w:val="20"/>
          <w:color w:val="auto"/>
        </w:rPr>
      </w:pPr>
      <w:r>
        <w:rPr>
          <w:rFonts w:ascii="Arial" w:cs="Arial" w:eastAsia="Arial" w:hAnsi="Arial"/>
          <w:sz w:val="17"/>
          <w:szCs w:val="17"/>
          <w:color w:val="auto"/>
        </w:rPr>
        <w:t>ExxonMobil Corporation and its subsidiaries accounted for 30%, 26% and 20% of our revenues for the years ended December 31, 2024, 2023 and 2022, respectively. BP p.l.c. and its subsidiaries accounted for 10% of our revenues for the year ended December 31, 2023. No other customers accounted for 10% or more of our revenues during any of the three years ended December 31, 2024.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166" w:lineRule="exact"/>
        <w:rPr>
          <w:sz w:val="20"/>
          <w:szCs w:val="20"/>
          <w:color w:val="auto"/>
        </w:rPr>
      </w:pPr>
    </w:p>
    <w:p>
      <w:pPr>
        <w:ind w:firstLine="706"/>
        <w:spacing w:after="0" w:line="249" w:lineRule="auto"/>
        <w:rPr>
          <w:sz w:val="20"/>
          <w:szCs w:val="20"/>
          <w:color w:val="auto"/>
        </w:rPr>
      </w:pPr>
      <w:r>
        <w:rPr>
          <w:rFonts w:ascii="Arial" w:cs="Arial" w:eastAsia="Arial" w:hAnsi="Arial"/>
          <w:sz w:val="20"/>
          <w:szCs w:val="20"/>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16—Related Party Transactions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PAA’s Ownership of our Class C Shares</w:t>
      </w:r>
    </w:p>
    <w:p>
      <w:pPr>
        <w:spacing w:after="0" w:line="248" w:lineRule="exact"/>
        <w:rPr>
          <w:sz w:val="20"/>
          <w:szCs w:val="20"/>
          <w:color w:val="auto"/>
        </w:rPr>
      </w:pPr>
    </w:p>
    <w:p>
      <w:pPr>
        <w:ind w:right="440" w:firstLine="706"/>
        <w:spacing w:after="0" w:line="271" w:lineRule="auto"/>
        <w:rPr>
          <w:sz w:val="20"/>
          <w:szCs w:val="20"/>
          <w:color w:val="auto"/>
        </w:rPr>
      </w:pPr>
      <w:r>
        <w:rPr>
          <w:rFonts w:ascii="Arial" w:cs="Arial" w:eastAsia="Arial" w:hAnsi="Arial"/>
          <w:sz w:val="20"/>
          <w:szCs w:val="20"/>
          <w:color w:val="auto"/>
        </w:rPr>
        <w:t>As of December 31, 2024 and 2023, PAA owned 542,004,838 and 539,445,289, respectively, Class C shares. See Note 11 for additional information regarding our Class C shares.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Omnibus Agreement</w:t>
      </w:r>
    </w:p>
    <w:p>
      <w:pPr>
        <w:spacing w:after="0" w:line="248" w:lineRule="exact"/>
        <w:rPr>
          <w:sz w:val="20"/>
          <w:szCs w:val="20"/>
          <w:color w:val="auto"/>
        </w:rPr>
      </w:pPr>
    </w:p>
    <w:p>
      <w:pPr>
        <w:ind w:right="140" w:firstLine="706"/>
        <w:spacing w:after="0" w:line="271" w:lineRule="auto"/>
        <w:rPr>
          <w:sz w:val="20"/>
          <w:szCs w:val="20"/>
          <w:color w:val="auto"/>
        </w:rPr>
      </w:pPr>
      <w:r>
        <w:rPr>
          <w:rFonts w:ascii="Arial" w:cs="Arial" w:eastAsia="Arial" w:hAnsi="Arial"/>
          <w:sz w:val="20"/>
          <w:szCs w:val="20"/>
          <w:color w:val="auto"/>
        </w:rPr>
        <w:t>The Plains Entities entered into an Omnibus Agreement on November 15, 2016, which, among other things, provides for the following:</w:t>
      </w:r>
    </w:p>
    <w:p>
      <w:pPr>
        <w:spacing w:after="0" w:line="186" w:lineRule="exact"/>
        <w:rPr>
          <w:sz w:val="20"/>
          <w:szCs w:val="20"/>
          <w:color w:val="auto"/>
        </w:rPr>
      </w:pPr>
    </w:p>
    <w:p>
      <w:pPr>
        <w:ind w:left="700" w:right="120" w:hanging="355"/>
        <w:spacing w:after="0" w:line="258" w:lineRule="auto"/>
        <w:tabs>
          <w:tab w:leader="none" w:pos="7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199"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our ability to lend proceeds of any future indebtedness incurred by us to AAP, and AAP’s corresponding ability to lend such proceeds to PAA, in each case on substantially the same terms as incurred by us.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Other Related Parties</w:t>
      </w:r>
    </w:p>
    <w:p>
      <w:pPr>
        <w:spacing w:after="0" w:line="244" w:lineRule="exact"/>
        <w:rPr>
          <w:sz w:val="20"/>
          <w:szCs w:val="20"/>
          <w:color w:val="auto"/>
        </w:rPr>
      </w:pPr>
    </w:p>
    <w:p>
      <w:pPr>
        <w:ind w:right="140" w:firstLine="706"/>
        <w:spacing w:after="0" w:line="312" w:lineRule="auto"/>
        <w:rPr>
          <w:sz w:val="20"/>
          <w:szCs w:val="20"/>
          <w:color w:val="auto"/>
        </w:rPr>
      </w:pPr>
      <w:r>
        <w:rPr>
          <w:rFonts w:ascii="Arial" w:cs="Arial" w:eastAsia="Arial" w:hAnsi="Arial"/>
          <w:sz w:val="17"/>
          <w:szCs w:val="17"/>
          <w:color w:val="auto"/>
        </w:rPr>
        <w:t>Our other related parties include entities in which we hold investments and account for under the equity method of accounting (see Note 8 for information regarding such entities). During the three years ended December 31, 2024, we recognized sales and transportation revenues, purchased petroleum products and utilized transportation and storage services from our related parties. These transactions were conducted at posted tariff rates or prices that we believe approximate market.</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880" w:h="15480" w:orient="portrait"/>
          <w:cols w:equalWidth="0" w:num="1">
            <w:col w:w="10040"/>
          </w:cols>
          <w:pgMar w:left="920" w:top="337" w:right="920" w:bottom="0" w:gutter="0" w:footer="0" w:header="0"/>
          <w:type w:val="continuous"/>
        </w:sectPr>
      </w:pPr>
    </w:p>
    <w:bookmarkStart w:id="154" w:name="page155"/>
    <w:bookmarkEnd w:id="154"/>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707"/>
        <w:spacing w:after="0"/>
        <w:rPr>
          <w:sz w:val="20"/>
          <w:szCs w:val="20"/>
          <w:color w:val="auto"/>
        </w:rPr>
      </w:pPr>
      <w:r>
        <w:rPr>
          <w:rFonts w:ascii="Arial" w:cs="Arial" w:eastAsia="Arial" w:hAnsi="Arial"/>
          <w:sz w:val="17"/>
          <w:szCs w:val="17"/>
          <w:color w:val="auto"/>
        </w:rPr>
        <w:t>The impact to our Consolidated Statements of Operations from these transactions is included below (in millions):</w:t>
      </w:r>
    </w:p>
    <w:p>
      <w:pPr>
        <w:spacing w:after="0" w:line="363" w:lineRule="exact"/>
        <w:rPr>
          <w:sz w:val="20"/>
          <w:szCs w:val="20"/>
          <w:color w:val="auto"/>
        </w:rPr>
      </w:pPr>
    </w:p>
    <w:tbl>
      <w:tblPr>
        <w:tblLayout w:type="fixed"/>
        <w:tblInd w:w="67"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2022</w:t>
            </w:r>
          </w:p>
        </w:tc>
      </w:tr>
      <w:tr>
        <w:trPr>
          <w:trHeight w:val="270"/>
        </w:trPr>
        <w:tc>
          <w:tcPr>
            <w:tcW w:w="6000" w:type="dxa"/>
            <w:vAlign w:val="bottom"/>
          </w:tcPr>
          <w:p>
            <w:pPr>
              <w:spacing w:after="0"/>
              <w:rPr>
                <w:sz w:val="20"/>
                <w:szCs w:val="20"/>
                <w:color w:val="auto"/>
              </w:rPr>
            </w:pPr>
            <w:r>
              <w:rPr>
                <w:rFonts w:ascii="Arial" w:cs="Arial" w:eastAsia="Arial" w:hAnsi="Arial"/>
                <w:sz w:val="20"/>
                <w:szCs w:val="20"/>
                <w:color w:val="auto"/>
              </w:rPr>
              <w:t>Revenues from related parties</w:t>
            </w:r>
          </w:p>
        </w:tc>
        <w:tc>
          <w:tcPr>
            <w:tcW w:w="840" w:type="dxa"/>
            <w:vAlign w:val="bottom"/>
          </w:tcPr>
          <w:p>
            <w:pPr>
              <w:jc w:val="right"/>
              <w:ind w:right="609"/>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46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48</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588"/>
        </w:trPr>
        <w:tc>
          <w:tcPr>
            <w:tcW w:w="6000" w:type="dxa"/>
            <w:vAlign w:val="bottom"/>
          </w:tcPr>
          <w:p>
            <w:pPr>
              <w:spacing w:after="0"/>
              <w:rPr>
                <w:sz w:val="20"/>
                <w:szCs w:val="20"/>
                <w:color w:val="auto"/>
              </w:rPr>
            </w:pPr>
            <w:r>
              <w:rPr>
                <w:rFonts w:ascii="Arial" w:cs="Arial" w:eastAsia="Arial" w:hAnsi="Arial"/>
                <w:sz w:val="20"/>
                <w:szCs w:val="20"/>
                <w:color w:val="auto"/>
              </w:rPr>
              <w:t>Purchases and related costs from related parties</w:t>
            </w:r>
          </w:p>
        </w:tc>
        <w:tc>
          <w:tcPr>
            <w:tcW w:w="840" w:type="dxa"/>
            <w:vAlign w:val="bottom"/>
          </w:tcPr>
          <w:p>
            <w:pPr>
              <w:jc w:val="right"/>
              <w:ind w:right="609"/>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400</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404</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-563245</wp:posOffset>
            </wp:positionV>
            <wp:extent cx="6400800" cy="585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6">
                      <a:extLst>
                        <a:ext uri="{28A0092B-C50C-407E-A947-70E740481C1C}"/>
                      </a:extLst>
                    </a:blip>
                    <a:srcRect/>
                    <a:stretch>
                      <a:fillRect/>
                    </a:stretch>
                  </pic:blipFill>
                  <pic:spPr bwMode="auto">
                    <a:xfrm>
                      <a:off x="0" y="0"/>
                      <a:ext cx="6400800" cy="585470"/>
                    </a:xfrm>
                    <a:prstGeom prst="rect">
                      <a:avLst/>
                    </a:prstGeom>
                    <a:noFill/>
                  </pic:spPr>
                </pic:pic>
              </a:graphicData>
            </a:graphic>
          </wp:anchor>
        </w:drawing>
      </w:r>
    </w:p>
    <w:p>
      <w:pPr>
        <w:spacing w:after="0" w:line="266" w:lineRule="exact"/>
        <w:rPr>
          <w:sz w:val="20"/>
          <w:szCs w:val="20"/>
          <w:color w:val="auto"/>
        </w:rPr>
      </w:pPr>
    </w:p>
    <w:p>
      <w:pPr>
        <w:jc w:val="both"/>
        <w:ind w:left="7" w:right="20" w:firstLine="706"/>
        <w:spacing w:after="0" w:line="271" w:lineRule="auto"/>
        <w:rPr>
          <w:sz w:val="20"/>
          <w:szCs w:val="20"/>
          <w:color w:val="auto"/>
        </w:rPr>
      </w:pPr>
      <w:r>
        <w:rPr>
          <w:rFonts w:ascii="Arial" w:cs="Arial" w:eastAsia="Arial" w:hAnsi="Arial"/>
          <w:sz w:val="20"/>
          <w:szCs w:val="20"/>
          <w:color w:val="auto"/>
        </w:rPr>
        <w:t>Our receivable and payable amounts with these related parties as reflected on our Consolidated Balance Sheets were as follows (in millions):</w:t>
      </w:r>
    </w:p>
    <w:p>
      <w:pPr>
        <w:spacing w:after="0" w:line="274" w:lineRule="exact"/>
        <w:rPr>
          <w:sz w:val="20"/>
          <w:szCs w:val="20"/>
          <w:color w:val="auto"/>
        </w:rPr>
      </w:pPr>
    </w:p>
    <w:tbl>
      <w:tblPr>
        <w:tblLayout w:type="fixed"/>
        <w:tblInd w:w="67"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88"/>
              </w:rPr>
              <w:t>December 31,</w:t>
            </w:r>
          </w:p>
        </w:tc>
        <w:tc>
          <w:tcPr>
            <w:tcW w:w="820" w:type="dxa"/>
            <w:vAlign w:val="bottom"/>
            <w:tcBorders>
              <w:bottom w:val="single" w:sz="8" w:color="auto"/>
            </w:tcBorders>
          </w:tcPr>
          <w:p>
            <w:pPr>
              <w:spacing w:after="0"/>
              <w:rPr>
                <w:sz w:val="18"/>
                <w:szCs w:val="18"/>
                <w:color w:val="auto"/>
              </w:rPr>
            </w:pPr>
          </w:p>
        </w:tc>
      </w:tr>
      <w:tr>
        <w:trPr>
          <w:trHeight w:val="230"/>
        </w:trPr>
        <w:tc>
          <w:tcPr>
            <w:tcW w:w="7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w w:val="89"/>
              </w:rPr>
              <w:t>2023</w:t>
            </w:r>
          </w:p>
        </w:tc>
      </w:tr>
      <w:tr>
        <w:trPr>
          <w:trHeight w:val="333"/>
        </w:trPr>
        <w:tc>
          <w:tcPr>
            <w:tcW w:w="7340" w:type="dxa"/>
            <w:vAlign w:val="bottom"/>
          </w:tcPr>
          <w:p>
            <w:pPr>
              <w:spacing w:after="0"/>
              <w:rPr>
                <w:sz w:val="20"/>
                <w:szCs w:val="20"/>
                <w:color w:val="auto"/>
              </w:rPr>
            </w:pPr>
            <w:r>
              <w:rPr>
                <w:rFonts w:ascii="Arial" w:cs="Arial" w:eastAsia="Arial" w:hAnsi="Arial"/>
                <w:sz w:val="20"/>
                <w:szCs w:val="20"/>
                <w:color w:val="auto"/>
              </w:rPr>
              <w:t xml:space="preserve">Trade accounts receivable and other receivables, net from related parties </w:t>
            </w:r>
            <w:r>
              <w:rPr>
                <w:rFonts w:ascii="Arial" w:cs="Arial" w:eastAsia="Arial" w:hAnsi="Arial"/>
                <w:sz w:val="25"/>
                <w:szCs w:val="25"/>
                <w:color w:val="auto"/>
                <w:vertAlign w:val="superscript"/>
              </w:rPr>
              <w:t>(1)</w:t>
            </w:r>
          </w:p>
        </w:tc>
        <w:tc>
          <w:tcPr>
            <w:tcW w:w="840" w:type="dxa"/>
            <w:vAlign w:val="bottom"/>
          </w:tcPr>
          <w:p>
            <w:pPr>
              <w:jc w:val="right"/>
              <w:ind w:right="589"/>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40</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588"/>
        </w:trPr>
        <w:tc>
          <w:tcPr>
            <w:tcW w:w="7340" w:type="dxa"/>
            <w:vAlign w:val="bottom"/>
          </w:tcPr>
          <w:p>
            <w:pPr>
              <w:spacing w:after="0"/>
              <w:rPr>
                <w:sz w:val="20"/>
                <w:szCs w:val="20"/>
                <w:color w:val="auto"/>
              </w:rPr>
            </w:pPr>
            <w:r>
              <w:rPr>
                <w:rFonts w:ascii="Arial" w:cs="Arial" w:eastAsia="Arial" w:hAnsi="Arial"/>
                <w:sz w:val="20"/>
                <w:szCs w:val="20"/>
                <w:color w:val="auto"/>
              </w:rPr>
              <w:t xml:space="preserve">Trade accounts payable to related parties </w:t>
            </w:r>
            <w:r>
              <w:rPr>
                <w:rFonts w:ascii="Arial" w:cs="Arial" w:eastAsia="Arial" w:hAnsi="Arial"/>
                <w:sz w:val="25"/>
                <w:szCs w:val="25"/>
                <w:color w:val="auto"/>
                <w:vertAlign w:val="superscript"/>
              </w:rPr>
              <w:t>(1) (2)</w:t>
            </w:r>
          </w:p>
        </w:tc>
        <w:tc>
          <w:tcPr>
            <w:tcW w:w="840" w:type="dxa"/>
            <w:vAlign w:val="bottom"/>
          </w:tcPr>
          <w:p>
            <w:pPr>
              <w:jc w:val="right"/>
              <w:ind w:right="589"/>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66</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-603250</wp:posOffset>
            </wp:positionV>
            <wp:extent cx="6400800" cy="585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7">
                      <a:extLst>
                        <a:ext uri="{28A0092B-C50C-407E-A947-70E740481C1C}"/>
                      </a:extLst>
                    </a:blip>
                    <a:srcRect/>
                    <a:stretch>
                      <a:fillRect/>
                    </a:stretch>
                  </pic:blipFill>
                  <pic:spPr bwMode="auto">
                    <a:xfrm>
                      <a:off x="0" y="0"/>
                      <a:ext cx="6400800" cy="5854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77470</wp:posOffset>
                </wp:positionV>
                <wp:extent cx="220281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28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pt" to="173.45pt,6.1pt" o:allowincell="f" strokecolor="#000000" strokeweight="1pt"/>
            </w:pict>
          </mc:Fallback>
        </mc:AlternateContent>
      </w:r>
    </w:p>
    <w:p>
      <w:pPr>
        <w:spacing w:after="0" w:line="198" w:lineRule="exact"/>
        <w:rPr>
          <w:sz w:val="20"/>
          <w:szCs w:val="20"/>
          <w:color w:val="auto"/>
        </w:rPr>
      </w:pPr>
    </w:p>
    <w:p>
      <w:pPr>
        <w:ind w:left="707" w:right="280" w:hanging="707"/>
        <w:spacing w:after="0" w:line="237" w:lineRule="auto"/>
        <w:tabs>
          <w:tab w:leader="none" w:pos="707" w:val="left"/>
        </w:tabs>
        <w:numPr>
          <w:ilvl w:val="0"/>
          <w:numId w:val="102"/>
        </w:numPr>
        <w:rPr>
          <w:rFonts w:ascii="Arial" w:cs="Arial" w:eastAsia="Arial" w:hAnsi="Arial"/>
          <w:sz w:val="24"/>
          <w:szCs w:val="24"/>
          <w:color w:val="auto"/>
          <w:vertAlign w:val="superscript"/>
        </w:rPr>
      </w:pPr>
      <w:r>
        <w:rPr>
          <w:rFonts w:ascii="Arial" w:cs="Arial" w:eastAsia="Arial" w:hAnsi="Arial"/>
          <w:sz w:val="19"/>
          <w:szCs w:val="19"/>
          <w:color w:val="auto"/>
        </w:rPr>
        <w:t>Includes amounts related to transportation and storage services and amounts owed to us or advanced to us related to investment capital projects of equity method investees where we serve as construction manager.</w:t>
      </w:r>
    </w:p>
    <w:p>
      <w:pPr>
        <w:spacing w:after="0" w:line="99" w:lineRule="exact"/>
        <w:rPr>
          <w:rFonts w:ascii="Arial" w:cs="Arial" w:eastAsia="Arial" w:hAnsi="Arial"/>
          <w:sz w:val="24"/>
          <w:szCs w:val="24"/>
          <w:color w:val="auto"/>
          <w:vertAlign w:val="superscript"/>
        </w:rPr>
      </w:pPr>
    </w:p>
    <w:p>
      <w:pPr>
        <w:ind w:left="707" w:right="400" w:hanging="707"/>
        <w:spacing w:after="0" w:line="232" w:lineRule="auto"/>
        <w:tabs>
          <w:tab w:leader="none" w:pos="707" w:val="left"/>
        </w:tabs>
        <w:numPr>
          <w:ilvl w:val="0"/>
          <w:numId w:val="102"/>
        </w:numPr>
        <w:rPr>
          <w:rFonts w:ascii="Arial" w:cs="Arial" w:eastAsia="Arial" w:hAnsi="Arial"/>
          <w:sz w:val="25"/>
          <w:szCs w:val="25"/>
          <w:color w:val="auto"/>
          <w:vertAlign w:val="superscript"/>
        </w:rPr>
      </w:pPr>
      <w:r>
        <w:rPr>
          <w:rFonts w:ascii="Arial" w:cs="Arial" w:eastAsia="Arial" w:hAnsi="Arial"/>
          <w:sz w:val="20"/>
          <w:szCs w:val="20"/>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17—Equity-Indexed Compensation Plans</w:t>
      </w:r>
    </w:p>
    <w:p>
      <w:pPr>
        <w:spacing w:after="0" w:line="248" w:lineRule="exact"/>
        <w:rPr>
          <w:sz w:val="20"/>
          <w:szCs w:val="20"/>
          <w:color w:val="auto"/>
        </w:rPr>
      </w:pPr>
    </w:p>
    <w:p>
      <w:pPr>
        <w:ind w:left="7" w:right="80" w:firstLine="706"/>
        <w:spacing w:after="0" w:line="264" w:lineRule="auto"/>
        <w:rPr>
          <w:sz w:val="20"/>
          <w:szCs w:val="20"/>
          <w:color w:val="auto"/>
        </w:rPr>
      </w:pPr>
      <w:r>
        <w:rPr>
          <w:rFonts w:ascii="Arial" w:cs="Arial" w:eastAsia="Arial" w:hAnsi="Arial"/>
          <w:sz w:val="19"/>
          <w:szCs w:val="19"/>
          <w:color w:val="auto"/>
        </w:rPr>
        <w:t>Our equity-indexed compensation plans primarily include LTIPs. 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spacing w:after="0" w:line="199" w:lineRule="exact"/>
        <w:rPr>
          <w:sz w:val="20"/>
          <w:szCs w:val="20"/>
          <w:color w:val="auto"/>
        </w:rPr>
      </w:pPr>
    </w:p>
    <w:p>
      <w:pPr>
        <w:ind w:left="7" w:right="20" w:firstLine="706"/>
        <w:spacing w:after="0" w:line="249" w:lineRule="auto"/>
        <w:rPr>
          <w:sz w:val="20"/>
          <w:szCs w:val="20"/>
          <w:color w:val="auto"/>
        </w:rPr>
      </w:pPr>
      <w:r>
        <w:rPr>
          <w:rFonts w:ascii="Arial" w:cs="Arial" w:eastAsia="Arial" w:hAnsi="Arial"/>
          <w:sz w:val="20"/>
          <w:szCs w:val="20"/>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211" w:lineRule="exact"/>
        <w:rPr>
          <w:sz w:val="20"/>
          <w:szCs w:val="20"/>
          <w:color w:val="auto"/>
        </w:rPr>
      </w:pPr>
    </w:p>
    <w:p>
      <w:pPr>
        <w:ind w:left="7" w:right="220" w:firstLine="706"/>
        <w:spacing w:after="0" w:line="264" w:lineRule="auto"/>
        <w:rPr>
          <w:sz w:val="20"/>
          <w:szCs w:val="20"/>
          <w:color w:val="auto"/>
        </w:rPr>
      </w:pPr>
      <w:r>
        <w:rPr>
          <w:rFonts w:ascii="Arial" w:cs="Arial" w:eastAsia="Arial" w:hAnsi="Arial"/>
          <w:sz w:val="19"/>
          <w:szCs w:val="19"/>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F-49</w:t>
      </w:r>
    </w:p>
    <w:p>
      <w:pPr>
        <w:sectPr>
          <w:pgSz w:w="11880" w:h="15480" w:orient="portrait"/>
          <w:cols w:equalWidth="0" w:num="1">
            <w:col w:w="10047"/>
          </w:cols>
          <w:pgMar w:left="913" w:top="337" w:right="920" w:bottom="0" w:gutter="0" w:footer="0" w:header="0"/>
          <w:type w:val="continuous"/>
        </w:sectPr>
      </w:pPr>
    </w:p>
    <w:bookmarkStart w:id="155" w:name="page156"/>
    <w:bookmarkEnd w:id="155"/>
    <w:p>
      <w:pPr>
        <w:jc w:val="center"/>
        <w:ind w:right="-2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The following is a summary of the awards authorized under our LTIPs as of December 31, 2024 (in millions):</w:t>
      </w:r>
    </w:p>
    <w:p>
      <w:pPr>
        <w:spacing w:after="0" w:line="309"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LTIP</w:t>
            </w:r>
          </w:p>
        </w:tc>
        <w:tc>
          <w:tcPr>
            <w:tcW w:w="80" w:type="dxa"/>
            <w:vAlign w:val="bottom"/>
          </w:tcPr>
          <w:p>
            <w:pPr>
              <w:spacing w:after="0"/>
              <w:rPr>
                <w:sz w:val="16"/>
                <w:szCs w:val="16"/>
                <w:color w:val="auto"/>
              </w:rPr>
            </w:pPr>
          </w:p>
        </w:tc>
        <w:tc>
          <w:tcPr>
            <w:tcW w:w="1960" w:type="dxa"/>
            <w:vAlign w:val="bottom"/>
          </w:tcPr>
          <w:p>
            <w:pPr>
              <w:jc w:val="right"/>
              <w:ind w:right="715"/>
              <w:spacing w:after="0"/>
              <w:rPr>
                <w:sz w:val="20"/>
                <w:szCs w:val="20"/>
                <w:color w:val="auto"/>
              </w:rPr>
            </w:pPr>
            <w:r>
              <w:rPr>
                <w:rFonts w:ascii="Arial" w:cs="Arial" w:eastAsia="Arial" w:hAnsi="Arial"/>
                <w:sz w:val="16"/>
                <w:szCs w:val="16"/>
                <w:b w:val="1"/>
                <w:bCs w:val="1"/>
                <w:color w:val="auto"/>
              </w:rPr>
              <w:t>LTIP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Awards Authorized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60" w:type="dxa"/>
            <w:vAlign w:val="bottom"/>
            <w:gridSpan w:val="2"/>
          </w:tcPr>
          <w:p>
            <w:pPr>
              <w:ind w:left="60"/>
              <w:spacing w:after="0"/>
              <w:rPr>
                <w:sz w:val="20"/>
                <w:szCs w:val="20"/>
                <w:color w:val="auto"/>
              </w:rPr>
            </w:pPr>
            <w:r>
              <w:rPr>
                <w:rFonts w:ascii="Arial" w:cs="Arial" w:eastAsia="Arial" w:hAnsi="Arial"/>
                <w:sz w:val="20"/>
                <w:szCs w:val="20"/>
                <w:color w:val="auto"/>
              </w:rPr>
              <w:t>Plains GP Holdings, L.P. Long-Term Incentive Plan</w:t>
            </w:r>
          </w:p>
        </w:tc>
        <w:tc>
          <w:tcPr>
            <w:tcW w:w="2040" w:type="dxa"/>
            <w:vAlign w:val="bottom"/>
            <w:gridSpan w:val="2"/>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7960" w:type="dxa"/>
            <w:vAlign w:val="bottom"/>
            <w:gridSpan w:val="2"/>
          </w:tcPr>
          <w:p>
            <w:pPr>
              <w:ind w:left="60"/>
              <w:spacing w:after="0"/>
              <w:rPr>
                <w:sz w:val="20"/>
                <w:szCs w:val="20"/>
                <w:color w:val="auto"/>
              </w:rPr>
            </w:pPr>
            <w:r>
              <w:rPr>
                <w:rFonts w:ascii="Arial" w:cs="Arial" w:eastAsia="Arial" w:hAnsi="Arial"/>
                <w:sz w:val="20"/>
                <w:szCs w:val="20"/>
                <w:color w:val="auto"/>
              </w:rPr>
              <w:t>Plains All American 2021 Long-Term Incentive Plan</w:t>
            </w:r>
          </w:p>
        </w:tc>
        <w:tc>
          <w:tcPr>
            <w:tcW w:w="2040" w:type="dxa"/>
            <w:vAlign w:val="bottom"/>
            <w:gridSpan w:val="2"/>
          </w:tcPr>
          <w:p>
            <w:pPr>
              <w:jc w:val="right"/>
              <w:spacing w:after="0"/>
              <w:rPr>
                <w:sz w:val="20"/>
                <w:szCs w:val="20"/>
                <w:color w:val="auto"/>
              </w:rPr>
            </w:pPr>
            <w:r>
              <w:rPr>
                <w:rFonts w:ascii="Arial" w:cs="Arial" w:eastAsia="Arial" w:hAnsi="Arial"/>
                <w:sz w:val="20"/>
                <w:szCs w:val="20"/>
                <w:color w:val="auto"/>
              </w:rPr>
              <w:t>28.8</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7960" w:type="dxa"/>
            <w:vAlign w:val="bottom"/>
            <w:gridSpan w:val="2"/>
          </w:tcPr>
          <w:p>
            <w:pPr>
              <w:ind w:left="60"/>
              <w:spacing w:after="0"/>
              <w:rPr>
                <w:sz w:val="20"/>
                <w:szCs w:val="20"/>
                <w:color w:val="auto"/>
              </w:rPr>
            </w:pPr>
            <w:r>
              <w:rPr>
                <w:rFonts w:ascii="Arial" w:cs="Arial" w:eastAsia="Arial" w:hAnsi="Arial"/>
                <w:sz w:val="20"/>
                <w:szCs w:val="20"/>
                <w:color w:val="auto"/>
              </w:rPr>
              <w:t>Plains All American PNG Successor Long-Term Incentive Plan</w:t>
            </w:r>
          </w:p>
        </w:tc>
        <w:tc>
          <w:tcPr>
            <w:tcW w:w="2040" w:type="dxa"/>
            <w:vAlign w:val="bottom"/>
            <w:gridSpan w:val="2"/>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7960" w:type="dxa"/>
            <w:vAlign w:val="bottom"/>
            <w:gridSpan w:val="2"/>
          </w:tcPr>
          <w:p>
            <w:pPr>
              <w:ind w:left="60"/>
              <w:spacing w:after="0"/>
              <w:rPr>
                <w:sz w:val="20"/>
                <w:szCs w:val="20"/>
                <w:color w:val="auto"/>
              </w:rPr>
            </w:pPr>
            <w:r>
              <w:rPr>
                <w:rFonts w:ascii="Arial" w:cs="Arial" w:eastAsia="Arial" w:hAnsi="Arial"/>
                <w:sz w:val="20"/>
                <w:szCs w:val="20"/>
                <w:color w:val="auto"/>
              </w:rPr>
              <w:t>Plains All American GP LLC 2006 Long-Term Incentive Tracking Unit Plan</w:t>
            </w:r>
          </w:p>
        </w:tc>
        <w:tc>
          <w:tcPr>
            <w:tcW w:w="80" w:type="dxa"/>
            <w:vAlign w:val="bottom"/>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960" w:type="dxa"/>
            <w:vAlign w:val="bottom"/>
            <w:gridSpan w:val="2"/>
          </w:tcPr>
          <w:p>
            <w:pPr>
              <w:ind w:left="200"/>
              <w:spacing w:after="0" w:line="254" w:lineRule="exact"/>
              <w:rPr>
                <w:sz w:val="20"/>
                <w:szCs w:val="20"/>
                <w:color w:val="auto"/>
              </w:rPr>
            </w:pPr>
            <w:r>
              <w:rPr>
                <w:rFonts w:ascii="Arial" w:cs="Arial" w:eastAsia="Arial" w:hAnsi="Arial"/>
                <w:sz w:val="20"/>
                <w:szCs w:val="20"/>
                <w:color w:val="auto"/>
              </w:rPr>
              <w:t xml:space="preserve">Total </w:t>
            </w:r>
            <w:r>
              <w:rPr>
                <w:rFonts w:ascii="Arial" w:cs="Arial" w:eastAsia="Arial" w:hAnsi="Arial"/>
                <w:sz w:val="25"/>
                <w:szCs w:val="25"/>
                <w:color w:val="auto"/>
                <w:vertAlign w:val="superscript"/>
              </w:rPr>
              <w:t>(1)</w:t>
            </w:r>
          </w:p>
        </w:tc>
        <w:tc>
          <w:tcPr>
            <w:tcW w:w="2040" w:type="dxa"/>
            <w:vAlign w:val="bottom"/>
            <w:gridSpan w:val="2"/>
          </w:tcPr>
          <w:p>
            <w:pPr>
              <w:jc w:val="right"/>
              <w:spacing w:after="0"/>
              <w:rPr>
                <w:sz w:val="20"/>
                <w:szCs w:val="20"/>
                <w:color w:val="auto"/>
              </w:rPr>
            </w:pPr>
            <w:r>
              <w:rPr>
                <w:rFonts w:ascii="Arial" w:cs="Arial" w:eastAsia="Arial" w:hAnsi="Arial"/>
                <w:sz w:val="20"/>
                <w:szCs w:val="20"/>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-1061085</wp:posOffset>
            </wp:positionV>
            <wp:extent cx="6363335" cy="9715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8">
                      <a:extLst>
                        <a:ext uri="{28A0092B-C50C-407E-A947-70E740481C1C}"/>
                      </a:extLst>
                    </a:blip>
                    <a:srcRect/>
                    <a:stretch>
                      <a:fillRect/>
                    </a:stretch>
                  </pic:blipFill>
                  <pic:spPr bwMode="auto">
                    <a:xfrm>
                      <a:off x="0" y="0"/>
                      <a:ext cx="6363335" cy="971550"/>
                    </a:xfrm>
                    <a:prstGeom prst="rect">
                      <a:avLst/>
                    </a:prstGeom>
                    <a:noFill/>
                  </pic:spPr>
                </pic:pic>
              </a:graphicData>
            </a:graphic>
          </wp:anchor>
        </w:drawing>
      </w:r>
    </w:p>
    <w:p>
      <w:pPr>
        <w:spacing w:after="0" w:line="66" w:lineRule="exact"/>
        <w:rPr>
          <w:sz w:val="20"/>
          <w:szCs w:val="20"/>
          <w:color w:val="auto"/>
        </w:rPr>
      </w:pPr>
    </w:p>
    <w:p>
      <w:pPr>
        <w:ind w:left="707" w:hanging="707"/>
        <w:spacing w:after="0" w:line="227" w:lineRule="auto"/>
        <w:tabs>
          <w:tab w:leader="none" w:pos="707" w:val="left"/>
        </w:tabs>
        <w:numPr>
          <w:ilvl w:val="0"/>
          <w:numId w:val="103"/>
        </w:numPr>
        <w:rPr>
          <w:rFonts w:ascii="Arial" w:cs="Arial" w:eastAsia="Arial" w:hAnsi="Arial"/>
          <w:sz w:val="25"/>
          <w:szCs w:val="25"/>
          <w:color w:val="auto"/>
          <w:vertAlign w:val="superscript"/>
        </w:rPr>
      </w:pPr>
      <w:r>
        <w:rPr>
          <w:rFonts w:ascii="Arial" w:cs="Arial" w:eastAsia="Arial" w:hAnsi="Arial"/>
          <w:sz w:val="20"/>
          <w:szCs w:val="20"/>
          <w:color w:val="auto"/>
        </w:rPr>
        <w:t>Of the 47.3 million total awards authorized, 19.1 million awards are currently available for future grant. The remaining balance has already vested or is currently outstanding.</w:t>
      </w:r>
    </w:p>
    <w:p>
      <w:pPr>
        <w:spacing w:after="0" w:line="216" w:lineRule="exact"/>
        <w:rPr>
          <w:sz w:val="20"/>
          <w:szCs w:val="20"/>
          <w:color w:val="auto"/>
        </w:rPr>
      </w:pPr>
    </w:p>
    <w:p>
      <w:pPr>
        <w:ind w:left="7" w:right="60" w:firstLine="706"/>
        <w:spacing w:after="0" w:line="306" w:lineRule="auto"/>
        <w:rPr>
          <w:sz w:val="20"/>
          <w:szCs w:val="20"/>
          <w:color w:val="auto"/>
        </w:rPr>
      </w:pPr>
      <w:r>
        <w:rPr>
          <w:rFonts w:ascii="Arial" w:cs="Arial" w:eastAsia="Arial" w:hAnsi="Arial"/>
          <w:sz w:val="17"/>
          <w:szCs w:val="17"/>
          <w:color w:val="auto"/>
        </w:rPr>
        <w:t>As of December 31, 2024, 10.5 million PAA LTIP awards and 0.1 million PAGP LTIP awards were outstanding. Of the awards outstanding, 8.6 million PAA LTIP awards and 0.1 million PAGP LTIP awards include associated DERs. At December 31, 2024, certain of the outstanding LTIP awards were considered probable of vesting and such awards are expected to vest at various dates between August 2025 and August 2028. As of December 31, 2024, the outstanding awards that are considered probable of vesting have a remaining unrecognized fair value of approximately $65 million.</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18—Commitments and Contingencies</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Commitments</w:t>
      </w:r>
    </w:p>
    <w:p>
      <w:pPr>
        <w:spacing w:after="0" w:line="248" w:lineRule="exact"/>
        <w:rPr>
          <w:sz w:val="20"/>
          <w:szCs w:val="20"/>
          <w:color w:val="auto"/>
        </w:rPr>
      </w:pPr>
    </w:p>
    <w:p>
      <w:pPr>
        <w:jc w:val="both"/>
        <w:ind w:left="7" w:right="40" w:firstLine="706"/>
        <w:spacing w:after="0" w:line="258" w:lineRule="auto"/>
        <w:rPr>
          <w:sz w:val="20"/>
          <w:szCs w:val="20"/>
          <w:color w:val="auto"/>
        </w:rPr>
      </w:pPr>
      <w:r>
        <w:rPr>
          <w:rFonts w:ascii="Arial" w:cs="Arial" w:eastAsia="Arial" w:hAnsi="Arial"/>
          <w:sz w:val="20"/>
          <w:szCs w:val="20"/>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2024 are summarized below (in millions):</w:t>
      </w:r>
    </w:p>
    <w:p>
      <w:pPr>
        <w:spacing w:after="0" w:line="287" w:lineRule="exact"/>
        <w:rPr>
          <w:sz w:val="20"/>
          <w:szCs w:val="20"/>
          <w:color w:val="auto"/>
        </w:rPr>
      </w:pPr>
    </w:p>
    <w:tbl>
      <w:tblPr>
        <w:tblLayout w:type="fixed"/>
        <w:tblInd w:w="67"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89"/>
              </w:rPr>
              <w:t>2025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95"/>
              </w:rPr>
              <w:t>2026</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95"/>
              </w:rPr>
              <w:t>2027</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89"/>
              </w:rPr>
              <w:t>2028</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95"/>
              </w:rPr>
              <w:t>2029</w:t>
            </w:r>
          </w:p>
        </w:tc>
        <w:tc>
          <w:tcPr>
            <w:tcW w:w="6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rPr>
              <w:t>Thereafter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Total</w:t>
            </w:r>
          </w:p>
        </w:tc>
      </w:tr>
      <w:tr>
        <w:trPr>
          <w:trHeight w:val="292"/>
        </w:trPr>
        <w:tc>
          <w:tcPr>
            <w:tcW w:w="3760" w:type="dxa"/>
            <w:vAlign w:val="bottom"/>
          </w:tcPr>
          <w:p>
            <w:pPr>
              <w:spacing w:after="0"/>
              <w:rPr>
                <w:sz w:val="20"/>
                <w:szCs w:val="20"/>
                <w:color w:val="auto"/>
              </w:rPr>
            </w:pPr>
            <w:r>
              <w:rPr>
                <w:rFonts w:ascii="Arial" w:cs="Arial" w:eastAsia="Arial" w:hAnsi="Arial"/>
                <w:sz w:val="20"/>
                <w:szCs w:val="20"/>
                <w:color w:val="auto"/>
              </w:rPr>
              <w:t xml:space="preserve">Leases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95</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72</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70</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66</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49</w:t>
            </w:r>
          </w:p>
        </w:tc>
        <w:tc>
          <w:tcPr>
            <w:tcW w:w="44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367</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719</w:t>
            </w:r>
          </w:p>
        </w:tc>
      </w:tr>
      <w:tr>
        <w:trPr>
          <w:trHeight w:val="276"/>
        </w:trPr>
        <w:tc>
          <w:tcPr>
            <w:tcW w:w="3760" w:type="dxa"/>
            <w:vAlign w:val="bottom"/>
          </w:tcPr>
          <w:p>
            <w:pPr>
              <w:spacing w:after="0" w:line="276" w:lineRule="exact"/>
              <w:rPr>
                <w:sz w:val="20"/>
                <w:szCs w:val="20"/>
                <w:color w:val="auto"/>
              </w:rPr>
            </w:pPr>
            <w:r>
              <w:rPr>
                <w:rFonts w:ascii="Arial" w:cs="Arial" w:eastAsia="Arial" w:hAnsi="Arial"/>
                <w:sz w:val="20"/>
                <w:szCs w:val="20"/>
                <w:color w:val="auto"/>
              </w:rPr>
              <w:t xml:space="preserve">Other commitments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1,649</w:t>
            </w:r>
          </w:p>
        </w:tc>
      </w:tr>
      <w:tr>
        <w:trPr>
          <w:trHeight w:val="254"/>
        </w:trPr>
        <w:tc>
          <w:tcPr>
            <w:tcW w:w="3760" w:type="dxa"/>
            <w:vAlign w:val="bottom"/>
          </w:tcPr>
          <w:p>
            <w:pPr>
              <w:spacing w:after="0"/>
              <w:rPr>
                <w:sz w:val="20"/>
                <w:szCs w:val="20"/>
                <w:color w:val="auto"/>
              </w:rPr>
            </w:pPr>
            <w:r>
              <w:rPr>
                <w:rFonts w:ascii="Arial" w:cs="Arial" w:eastAsia="Arial" w:hAnsi="Arial"/>
                <w:sz w:val="20"/>
                <w:szCs w:val="20"/>
                <w:color w:val="auto"/>
              </w:rPr>
              <w:t>Total</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610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338</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311</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194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179</w:t>
            </w:r>
          </w:p>
        </w:tc>
        <w:tc>
          <w:tcPr>
            <w:tcW w:w="44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736</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2,368</w:t>
            </w:r>
          </w:p>
        </w:tc>
      </w:tr>
      <w:tr>
        <w:trPr>
          <w:trHeight w:val="20"/>
        </w:trPr>
        <w:tc>
          <w:tcPr>
            <w:tcW w:w="3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-591185</wp:posOffset>
            </wp:positionV>
            <wp:extent cx="6382385" cy="2120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9">
                      <a:extLst>
                        <a:ext uri="{28A0092B-C50C-407E-A947-70E740481C1C}"/>
                      </a:extLst>
                    </a:blip>
                    <a:srcRect/>
                    <a:stretch>
                      <a:fillRect/>
                    </a:stretch>
                  </pic:blipFill>
                  <pic:spPr bwMode="auto">
                    <a:xfrm>
                      <a:off x="0" y="0"/>
                      <a:ext cx="6382385" cy="2120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-217805</wp:posOffset>
            </wp:positionV>
            <wp:extent cx="6382385" cy="2247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0">
                      <a:extLst>
                        <a:ext uri="{28A0092B-C50C-407E-A947-70E740481C1C}"/>
                      </a:extLst>
                    </a:blip>
                    <a:srcRect/>
                    <a:stretch>
                      <a:fillRect/>
                    </a:stretch>
                  </pic:blipFill>
                  <pic:spPr bwMode="auto">
                    <a:xfrm>
                      <a:off x="0" y="0"/>
                      <a:ext cx="6382385" cy="2247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164465</wp:posOffset>
                </wp:positionV>
                <wp:extent cx="205359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35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5pt" to="161.7pt,12.95pt" o:allowincell="f" strokecolor="#000000" strokeweight="1pt"/>
            </w:pict>
          </mc:Fallback>
        </mc:AlternateContent>
      </w:r>
    </w:p>
    <w:p>
      <w:pPr>
        <w:spacing w:after="0" w:line="335" w:lineRule="exact"/>
        <w:rPr>
          <w:sz w:val="20"/>
          <w:szCs w:val="20"/>
          <w:color w:val="auto"/>
        </w:rPr>
      </w:pPr>
    </w:p>
    <w:p>
      <w:pPr>
        <w:ind w:left="707" w:right="120" w:hanging="707"/>
        <w:spacing w:after="0" w:line="261" w:lineRule="auto"/>
        <w:tabs>
          <w:tab w:leader="none" w:pos="707" w:val="left"/>
        </w:tabs>
        <w:numPr>
          <w:ilvl w:val="0"/>
          <w:numId w:val="104"/>
        </w:numPr>
        <w:rPr>
          <w:rFonts w:ascii="Arial" w:cs="Arial" w:eastAsia="Arial" w:hAnsi="Arial"/>
          <w:sz w:val="23"/>
          <w:szCs w:val="23"/>
          <w:color w:val="auto"/>
          <w:vertAlign w:val="superscript"/>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13 for additional information.</w:t>
      </w:r>
    </w:p>
    <w:p>
      <w:pPr>
        <w:spacing w:after="0" w:line="75" w:lineRule="exact"/>
        <w:rPr>
          <w:rFonts w:ascii="Arial" w:cs="Arial" w:eastAsia="Arial" w:hAnsi="Arial"/>
          <w:sz w:val="23"/>
          <w:szCs w:val="23"/>
          <w:color w:val="auto"/>
          <w:vertAlign w:val="superscript"/>
        </w:rPr>
      </w:pPr>
    </w:p>
    <w:p>
      <w:pPr>
        <w:ind w:left="707" w:hanging="707"/>
        <w:spacing w:after="0" w:line="281" w:lineRule="auto"/>
        <w:tabs>
          <w:tab w:leader="none" w:pos="707" w:val="left"/>
        </w:tabs>
        <w:numPr>
          <w:ilvl w:val="0"/>
          <w:numId w:val="104"/>
        </w:numPr>
        <w:rPr>
          <w:rFonts w:ascii="Arial" w:cs="Arial" w:eastAsia="Arial" w:hAnsi="Arial"/>
          <w:sz w:val="22"/>
          <w:szCs w:val="22"/>
          <w:color w:val="auto"/>
          <w:vertAlign w:val="superscript"/>
        </w:rPr>
      </w:pPr>
      <w:r>
        <w:rPr>
          <w:rFonts w:ascii="Arial" w:cs="Arial" w:eastAsia="Arial" w:hAnsi="Arial"/>
          <w:sz w:val="17"/>
          <w:szCs w:val="17"/>
          <w:color w:val="auto"/>
        </w:rPr>
        <w:t>Primarily includes storage, transportation and pipeline throughput agreements, as well as certain rights-of-way easements. Expense associated with our storage, transportation and pipeline throughput agreements was approximately $387 million, $396 million and $336 million for 2024, 2023 and 2022,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 Other commitments for 2025 also include amounts associated with an agreement to purchase a crude oil gathering business in the Delaware Basin for $161 million (approximately</w:t>
      </w:r>
    </w:p>
    <w:p>
      <w:pPr>
        <w:spacing w:after="0" w:line="2" w:lineRule="exact"/>
        <w:rPr>
          <w:rFonts w:ascii="Arial" w:cs="Arial" w:eastAsia="Arial" w:hAnsi="Arial"/>
          <w:sz w:val="22"/>
          <w:szCs w:val="22"/>
          <w:color w:val="auto"/>
          <w:vertAlign w:val="superscript"/>
        </w:rPr>
      </w:pPr>
    </w:p>
    <w:p>
      <w:pPr>
        <w:ind w:left="707" w:right="320"/>
        <w:spacing w:after="0" w:line="250" w:lineRule="auto"/>
        <w:rPr>
          <w:rFonts w:ascii="Arial" w:cs="Arial" w:eastAsia="Arial" w:hAnsi="Arial"/>
          <w:sz w:val="22"/>
          <w:szCs w:val="22"/>
          <w:color w:val="auto"/>
          <w:vertAlign w:val="superscript"/>
        </w:rPr>
      </w:pPr>
      <w:r>
        <w:rPr>
          <w:rFonts w:ascii="Arial" w:cs="Arial" w:eastAsia="Arial" w:hAnsi="Arial"/>
          <w:sz w:val="20"/>
          <w:szCs w:val="20"/>
          <w:color w:val="auto"/>
        </w:rPr>
        <w:t>$105 million net to our 65% interest in the Permian JV), net of a cash deposit of approximately $16 million paid in December 2024. See Note 7 for additional information.</w:t>
      </w:r>
    </w:p>
    <w:p>
      <w:pPr>
        <w:spacing w:after="0" w:line="203"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Loss Contingencies — General</w:t>
      </w:r>
    </w:p>
    <w:p>
      <w:pPr>
        <w:spacing w:after="0" w:line="244" w:lineRule="exact"/>
        <w:rPr>
          <w:sz w:val="20"/>
          <w:szCs w:val="20"/>
          <w:color w:val="auto"/>
        </w:rPr>
      </w:pPr>
    </w:p>
    <w:p>
      <w:pPr>
        <w:ind w:left="7" w:right="260" w:firstLine="706"/>
        <w:spacing w:after="0" w:line="303"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ectPr>
          <w:pgSz w:w="11880" w:h="15480" w:orient="portrait"/>
          <w:cols w:equalWidth="0" w:num="1">
            <w:col w:w="10027"/>
          </w:cols>
          <w:pgMar w:left="913" w:top="337" w:right="94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6"/>
        <w:spacing w:after="0"/>
        <w:rPr>
          <w:sz w:val="20"/>
          <w:szCs w:val="20"/>
          <w:color w:val="auto"/>
        </w:rPr>
      </w:pPr>
      <w:r>
        <w:rPr>
          <w:rFonts w:ascii="Arial" w:cs="Arial" w:eastAsia="Arial" w:hAnsi="Arial"/>
          <w:sz w:val="17"/>
          <w:szCs w:val="17"/>
          <w:color w:val="auto"/>
        </w:rPr>
        <w:t>F-50</w:t>
      </w:r>
    </w:p>
    <w:p>
      <w:pPr>
        <w:sectPr>
          <w:pgSz w:w="11880" w:h="15480" w:orient="portrait"/>
          <w:cols w:equalWidth="0" w:num="1">
            <w:col w:w="10027"/>
          </w:cols>
          <w:pgMar w:left="913" w:top="337" w:right="940" w:bottom="0"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right="300" w:firstLine="706"/>
        <w:spacing w:after="0" w:line="312" w:lineRule="auto"/>
        <w:rPr>
          <w:sz w:val="20"/>
          <w:szCs w:val="20"/>
          <w:color w:val="auto"/>
        </w:rPr>
      </w:pPr>
      <w:r>
        <w:rPr>
          <w:rFonts w:ascii="Arial" w:cs="Arial" w:eastAsia="Arial" w:hAnsi="Arial"/>
          <w:sz w:val="17"/>
          <w:szCs w:val="17"/>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Proceedings — General</w:t>
      </w:r>
    </w:p>
    <w:p>
      <w:pPr>
        <w:spacing w:after="0" w:line="244" w:lineRule="exact"/>
        <w:rPr>
          <w:sz w:val="20"/>
          <w:szCs w:val="20"/>
          <w:color w:val="auto"/>
        </w:rPr>
      </w:pPr>
    </w:p>
    <w:p>
      <w:pPr>
        <w:ind w:right="60" w:firstLine="706"/>
        <w:spacing w:after="0" w:line="300"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71" w:lineRule="exact"/>
        <w:rPr>
          <w:sz w:val="20"/>
          <w:szCs w:val="20"/>
          <w:color w:val="auto"/>
        </w:rPr>
      </w:pPr>
    </w:p>
    <w:p>
      <w:pPr>
        <w:ind w:right="60" w:firstLine="706"/>
        <w:spacing w:after="0" w:line="258" w:lineRule="auto"/>
        <w:rPr>
          <w:sz w:val="20"/>
          <w:szCs w:val="20"/>
          <w:color w:val="auto"/>
        </w:rPr>
      </w:pPr>
      <w:r>
        <w:rPr>
          <w:rFonts w:ascii="Arial" w:cs="Arial" w:eastAsia="Arial" w:hAnsi="Arial"/>
          <w:sz w:val="20"/>
          <w:szCs w:val="20"/>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 General</w:t>
      </w:r>
    </w:p>
    <w:p>
      <w:pPr>
        <w:spacing w:after="0" w:line="248" w:lineRule="exact"/>
        <w:rPr>
          <w:sz w:val="20"/>
          <w:szCs w:val="20"/>
          <w:color w:val="auto"/>
        </w:rPr>
      </w:pPr>
    </w:p>
    <w:p>
      <w:pPr>
        <w:ind w:firstLine="706"/>
        <w:spacing w:after="0" w:line="299" w:lineRule="auto"/>
        <w:rPr>
          <w:sz w:val="20"/>
          <w:szCs w:val="20"/>
          <w:color w:val="auto"/>
        </w:rPr>
      </w:pPr>
      <w:r>
        <w:rPr>
          <w:rFonts w:ascii="Arial" w:cs="Arial" w:eastAsia="Arial" w:hAnsi="Arial"/>
          <w:sz w:val="17"/>
          <w:szCs w:val="17"/>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169" w:lineRule="exact"/>
        <w:rPr>
          <w:sz w:val="20"/>
          <w:szCs w:val="20"/>
          <w:color w:val="auto"/>
        </w:rPr>
      </w:pPr>
    </w:p>
    <w:p>
      <w:pPr>
        <w:ind w:right="60" w:firstLine="706"/>
        <w:spacing w:after="0" w:line="264" w:lineRule="auto"/>
        <w:rPr>
          <w:sz w:val="20"/>
          <w:szCs w:val="20"/>
          <w:color w:val="auto"/>
        </w:rPr>
      </w:pPr>
      <w:r>
        <w:rPr>
          <w:rFonts w:ascii="Arial" w:cs="Arial" w:eastAsia="Arial" w:hAnsi="Arial"/>
          <w:sz w:val="19"/>
          <w:szCs w:val="19"/>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9" w:lineRule="exact"/>
        <w:rPr>
          <w:sz w:val="20"/>
          <w:szCs w:val="20"/>
          <w:color w:val="auto"/>
        </w:rPr>
      </w:pPr>
    </w:p>
    <w:p>
      <w:pPr>
        <w:ind w:right="40" w:firstLine="706"/>
        <w:spacing w:after="0" w:line="264" w:lineRule="auto"/>
        <w:rPr>
          <w:sz w:val="20"/>
          <w:szCs w:val="20"/>
          <w:color w:val="auto"/>
        </w:rPr>
      </w:pPr>
      <w:r>
        <w:rPr>
          <w:rFonts w:ascii="Arial" w:cs="Arial" w:eastAsia="Arial" w:hAnsi="Arial"/>
          <w:sz w:val="19"/>
          <w:szCs w:val="19"/>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9" w:lineRule="exact"/>
        <w:rPr>
          <w:sz w:val="20"/>
          <w:szCs w:val="20"/>
          <w:color w:val="auto"/>
        </w:rPr>
      </w:pPr>
    </w:p>
    <w:p>
      <w:pPr>
        <w:jc w:val="both"/>
        <w:ind w:right="620" w:firstLine="706"/>
        <w:spacing w:after="0" w:line="325" w:lineRule="auto"/>
        <w:rPr>
          <w:sz w:val="20"/>
          <w:szCs w:val="20"/>
          <w:color w:val="auto"/>
        </w:rPr>
      </w:pPr>
      <w:r>
        <w:rPr>
          <w:rFonts w:ascii="Arial" w:cs="Arial" w:eastAsia="Arial" w:hAnsi="Arial"/>
          <w:sz w:val="17"/>
          <w:szCs w:val="17"/>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47" w:lineRule="exact"/>
        <w:rPr>
          <w:sz w:val="20"/>
          <w:szCs w:val="20"/>
          <w:color w:val="auto"/>
        </w:rPr>
      </w:pPr>
    </w:p>
    <w:p>
      <w:pPr>
        <w:ind w:right="80" w:firstLine="706"/>
        <w:spacing w:after="0" w:line="298" w:lineRule="auto"/>
        <w:rPr>
          <w:sz w:val="20"/>
          <w:szCs w:val="20"/>
          <w:color w:val="auto"/>
        </w:rPr>
      </w:pPr>
      <w:r>
        <w:rPr>
          <w:rFonts w:ascii="Arial" w:cs="Arial" w:eastAsia="Arial" w:hAnsi="Arial"/>
          <w:sz w:val="19"/>
          <w:szCs w:val="19"/>
          <w:color w:val="auto"/>
        </w:rPr>
        <w:t>Our estimated undiscounted reserve for environmental liabilities (excluding liabilities related to the Line 901 incident, as discussed further below) were reflected on our Consolidated Balance Sheets as follows (in millions):</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880" w:h="15480" w:orient="portrait"/>
          <w:cols w:equalWidth="0" w:num="1">
            <w:col w:w="10040"/>
          </w:cols>
          <w:pgMar w:left="920" w:top="337" w:right="920" w:bottom="0" w:gutter="0" w:footer="0" w:header="0"/>
          <w:type w:val="continuous"/>
        </w:sectPr>
      </w:pPr>
    </w:p>
    <w:bookmarkStart w:id="157" w:name="page158"/>
    <w:bookmarkEnd w:id="157"/>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30"/>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3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2023</w:t>
            </w:r>
          </w:p>
        </w:tc>
      </w:tr>
      <w:tr>
        <w:trPr>
          <w:trHeight w:val="285"/>
        </w:trPr>
        <w:tc>
          <w:tcPr>
            <w:tcW w:w="6840" w:type="dxa"/>
            <w:vAlign w:val="bottom"/>
            <w:gridSpan w:val="2"/>
          </w:tcPr>
          <w:p>
            <w:pPr>
              <w:ind w:left="40"/>
              <w:spacing w:after="0"/>
              <w:rPr>
                <w:sz w:val="20"/>
                <w:szCs w:val="20"/>
                <w:color w:val="auto"/>
              </w:rPr>
            </w:pPr>
            <w:r>
              <w:rPr>
                <w:rFonts w:ascii="Arial" w:cs="Arial" w:eastAsia="Arial" w:hAnsi="Arial"/>
                <w:sz w:val="20"/>
                <w:szCs w:val="20"/>
                <w:color w:val="auto"/>
              </w:rPr>
              <w:t>Other current liabilities</w:t>
            </w:r>
          </w:p>
        </w:tc>
        <w:tc>
          <w:tcPr>
            <w:tcW w:w="1280" w:type="dxa"/>
            <w:vAlign w:val="bottom"/>
          </w:tcPr>
          <w:p>
            <w:pPr>
              <w:jc w:val="right"/>
              <w:ind w:right="1032"/>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15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12"/>
        </w:trPr>
        <w:tc>
          <w:tcPr>
            <w:tcW w:w="6840" w:type="dxa"/>
            <w:vAlign w:val="bottom"/>
            <w:gridSpan w:val="2"/>
          </w:tcPr>
          <w:p>
            <w:pPr>
              <w:ind w:left="40"/>
              <w:spacing w:after="0"/>
              <w:rPr>
                <w:sz w:val="20"/>
                <w:szCs w:val="20"/>
                <w:color w:val="auto"/>
              </w:rPr>
            </w:pPr>
            <w:r>
              <w:rPr>
                <w:rFonts w:ascii="Arial" w:cs="Arial" w:eastAsia="Arial" w:hAnsi="Arial"/>
                <w:sz w:val="20"/>
                <w:szCs w:val="20"/>
                <w:color w:val="auto"/>
              </w:rPr>
              <w:t xml:space="preserve">Other long-term liabilities and deferred credits </w:t>
            </w:r>
            <w:r>
              <w:rPr>
                <w:rFonts w:ascii="Arial" w:cs="Arial" w:eastAsia="Arial" w:hAnsi="Arial"/>
                <w:sz w:val="25"/>
                <w:szCs w:val="25"/>
                <w:color w:val="auto"/>
                <w:vertAlign w:val="superscript"/>
              </w:rPr>
              <w:t>(1)</w:t>
            </w: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81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r>
      <w:tr>
        <w:trPr>
          <w:trHeight w:val="269"/>
        </w:trPr>
        <w:tc>
          <w:tcPr>
            <w:tcW w:w="6840" w:type="dxa"/>
            <w:vAlign w:val="bottom"/>
            <w:gridSpan w:val="2"/>
          </w:tcPr>
          <w:p>
            <w:pPr>
              <w:ind w:left="160"/>
              <w:spacing w:after="0"/>
              <w:rPr>
                <w:sz w:val="20"/>
                <w:szCs w:val="20"/>
                <w:color w:val="auto"/>
              </w:rPr>
            </w:pPr>
            <w:r>
              <w:rPr>
                <w:rFonts w:ascii="Arial" w:cs="Arial" w:eastAsia="Arial" w:hAnsi="Arial"/>
                <w:sz w:val="20"/>
                <w:szCs w:val="20"/>
                <w:color w:val="auto"/>
              </w:rPr>
              <w:t>Total</w:t>
            </w:r>
          </w:p>
        </w:tc>
        <w:tc>
          <w:tcPr>
            <w:tcW w:w="1280" w:type="dxa"/>
            <w:vAlign w:val="bottom"/>
          </w:tcPr>
          <w:p>
            <w:pPr>
              <w:jc w:val="right"/>
              <w:ind w:right="1032"/>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96</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0"/>
        </w:trPr>
        <w:tc>
          <w:tcPr>
            <w:tcW w:w="35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352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-706120</wp:posOffset>
            </wp:positionV>
            <wp:extent cx="6410325" cy="6261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1">
                      <a:extLst>
                        <a:ext uri="{28A0092B-C50C-407E-A947-70E740481C1C}"/>
                      </a:extLst>
                    </a:blip>
                    <a:srcRect/>
                    <a:stretch>
                      <a:fillRect/>
                    </a:stretch>
                  </pic:blipFill>
                  <pic:spPr bwMode="auto">
                    <a:xfrm>
                      <a:off x="0" y="0"/>
                      <a:ext cx="6410325" cy="626110"/>
                    </a:xfrm>
                    <a:prstGeom prst="rect">
                      <a:avLst/>
                    </a:prstGeom>
                    <a:noFill/>
                  </pic:spPr>
                </pic:pic>
              </a:graphicData>
            </a:graphic>
          </wp:anchor>
        </w:drawing>
      </w:r>
    </w:p>
    <w:p>
      <w:pPr>
        <w:spacing w:after="0" w:line="221" w:lineRule="exact"/>
        <w:rPr>
          <w:sz w:val="20"/>
          <w:szCs w:val="20"/>
          <w:color w:val="auto"/>
        </w:rPr>
      </w:pPr>
    </w:p>
    <w:p>
      <w:pPr>
        <w:ind w:left="707" w:hanging="707"/>
        <w:spacing w:after="0"/>
        <w:tabs>
          <w:tab w:leader="none" w:pos="707" w:val="left"/>
        </w:tabs>
        <w:numPr>
          <w:ilvl w:val="0"/>
          <w:numId w:val="105"/>
        </w:numPr>
        <w:rPr>
          <w:rFonts w:ascii="Arial" w:cs="Arial" w:eastAsia="Arial" w:hAnsi="Arial"/>
          <w:sz w:val="24"/>
          <w:szCs w:val="24"/>
          <w:color w:val="auto"/>
          <w:vertAlign w:val="superscript"/>
        </w:rPr>
      </w:pPr>
      <w:r>
        <w:rPr>
          <w:rFonts w:ascii="Arial" w:cs="Arial" w:eastAsia="Arial" w:hAnsi="Arial"/>
          <w:sz w:val="19"/>
          <w:szCs w:val="19"/>
          <w:color w:val="auto"/>
        </w:rPr>
        <w:t>The 2024 balance reflects an increase in estimated costs for long-term environmental remediation obligations.</w:t>
      </w:r>
    </w:p>
    <w:p>
      <w:pPr>
        <w:spacing w:after="0" w:line="216" w:lineRule="exact"/>
        <w:rPr>
          <w:sz w:val="20"/>
          <w:szCs w:val="20"/>
          <w:color w:val="auto"/>
        </w:rPr>
      </w:pPr>
    </w:p>
    <w:p>
      <w:pPr>
        <w:ind w:left="7" w:right="80" w:firstLine="706"/>
        <w:spacing w:after="0" w:line="297" w:lineRule="auto"/>
        <w:rPr>
          <w:sz w:val="20"/>
          <w:szCs w:val="20"/>
          <w:color w:val="auto"/>
        </w:rPr>
      </w:pPr>
      <w:r>
        <w:rPr>
          <w:rFonts w:ascii="Arial" w:cs="Arial" w:eastAsia="Arial" w:hAnsi="Arial"/>
          <w:sz w:val="17"/>
          <w:szCs w:val="17"/>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03"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Specific Legal, Environmental or Regulatory Matters</w:t>
      </w:r>
    </w:p>
    <w:p>
      <w:pPr>
        <w:spacing w:after="0" w:line="246" w:lineRule="exact"/>
        <w:rPr>
          <w:sz w:val="20"/>
          <w:szCs w:val="20"/>
          <w:color w:val="auto"/>
        </w:rPr>
      </w:pPr>
    </w:p>
    <w:p>
      <w:pPr>
        <w:ind w:left="7" w:firstLine="706"/>
        <w:spacing w:after="0" w:line="298" w:lineRule="auto"/>
        <w:rPr>
          <w:sz w:val="20"/>
          <w:szCs w:val="20"/>
          <w:color w:val="auto"/>
        </w:rPr>
      </w:pPr>
      <w:r>
        <w:rPr>
          <w:rFonts w:ascii="Arial" w:cs="Arial" w:eastAsia="Arial" w:hAnsi="Arial"/>
          <w:sz w:val="17"/>
          <w:szCs w:val="17"/>
          <w:b w:val="1"/>
          <w:bCs w:val="1"/>
          <w:i w:val="1"/>
          <w:iCs w:val="1"/>
          <w:color w:val="auto"/>
        </w:rPr>
        <w:t>Line 901 Incident</w:t>
      </w:r>
      <w:r>
        <w:rPr>
          <w:rFonts w:ascii="Arial" w:cs="Arial" w:eastAsia="Arial" w:hAnsi="Arial"/>
          <w:sz w:val="17"/>
          <w:szCs w:val="17"/>
          <w:color w:val="auto"/>
        </w:rPr>
        <w:t>. In May 2015, we experienced a crude oil release from our Las Flores to Gaviota Pipeline (Line 901)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were determined by the Unified Command to be complete in 2016, and the Unified Command was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69" w:lineRule="exact"/>
        <w:rPr>
          <w:sz w:val="20"/>
          <w:szCs w:val="20"/>
          <w:color w:val="auto"/>
        </w:rPr>
      </w:pPr>
    </w:p>
    <w:p>
      <w:pPr>
        <w:ind w:left="7" w:right="40" w:firstLine="706"/>
        <w:spacing w:after="0" w:line="325" w:lineRule="auto"/>
        <w:rPr>
          <w:sz w:val="20"/>
          <w:szCs w:val="20"/>
          <w:color w:val="auto"/>
        </w:rPr>
      </w:pPr>
      <w:r>
        <w:rPr>
          <w:rFonts w:ascii="Arial" w:cs="Arial" w:eastAsia="Arial" w:hAnsi="Arial"/>
          <w:sz w:val="17"/>
          <w:szCs w:val="17"/>
          <w:color w:val="auto"/>
        </w:rPr>
        <w:t>As a result of the Line 901 incident, several governmental agencies and regulators initiated investigations into the Line 901 incident, various claims have been made against us and a number of lawsuits have been filed against us, most of which have been resolved. Set forth below is a brief summary of actions and matters that are currently pending or recently resolved.</w:t>
      </w:r>
    </w:p>
    <w:p>
      <w:pPr>
        <w:spacing w:after="0" w:line="137" w:lineRule="exact"/>
        <w:rPr>
          <w:sz w:val="20"/>
          <w:szCs w:val="20"/>
          <w:color w:val="auto"/>
        </w:rPr>
      </w:pPr>
    </w:p>
    <w:p>
      <w:pPr>
        <w:ind w:left="7" w:right="40" w:firstLine="706"/>
        <w:spacing w:after="0" w:line="294" w:lineRule="auto"/>
        <w:rPr>
          <w:sz w:val="20"/>
          <w:szCs w:val="20"/>
          <w:color w:val="auto"/>
        </w:rPr>
      </w:pPr>
      <w:r>
        <w:rPr>
          <w:rFonts w:ascii="Arial" w:cs="Arial" w:eastAsia="Arial" w:hAnsi="Arial"/>
          <w:sz w:val="17"/>
          <w:szCs w:val="17"/>
          <w:color w:val="auto"/>
        </w:rPr>
        <w:t>Several pending or recently resolved lawsuits and claims were filed by companies, governmental agencies and individuals alleging damages arising out of the Line 901 incident. These lawsuits and claims generally seek restitution, compensatory and punitive damages, and/or injunctive relief. Most of these lawsuits have been settled or dismissed by the court. We recently settled the following two lawsuits (the “2024 Settlements”): (i) a lawsuit in California Superior Court in Santa Barbara County for lost revenue or profit asserted by a former oil producer that declared bankruptcy and shut in its offshore production platform following the Line 901 incident; and (ii) a lawsuit filed by the California State Land Commission in California Superior Court in Santa Barbara County seeking lost royalties following the shut-down of Line 901, as well as costs related to the decommissioning of such platform. In connection with the 2024 Settlements, we recognized additional costs related to the Line 901 incident of $120 million. Our remaining Line 901 lawsuits include various lawsuits filed in California Superior Court in Santa Barbara County by (x) companies and individuals who provided labor, goods, or services associated with oil production activities they claim were disrupted following the Line 901 incident and (y) a landowner on an adjacent pipeline alleging property damage from the “stigma” of the Line 901 incident. We are vigorously defending these remaining lawsuits, which have not yet been set for trial, and believe we have strong defenses. The ultimate outcome of such matters is uncertain, and an unfavorable resolution could have a material impact on our results of operations.</w:t>
      </w:r>
    </w:p>
    <w:p>
      <w:pPr>
        <w:sectPr>
          <w:pgSz w:w="11880" w:h="15480" w:orient="portrait"/>
          <w:cols w:equalWidth="0" w:num="1">
            <w:col w:w="10047"/>
          </w:cols>
          <w:pgMar w:left="913"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F-52</w:t>
      </w:r>
    </w:p>
    <w:p>
      <w:pPr>
        <w:sectPr>
          <w:pgSz w:w="11880" w:h="15480" w:orient="portrait"/>
          <w:cols w:equalWidth="0" w:num="1">
            <w:col w:w="10047"/>
          </w:cols>
          <w:pgMar w:left="913" w:top="337" w:right="920" w:bottom="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firstLine="706"/>
        <w:spacing w:after="0" w:line="262" w:lineRule="auto"/>
        <w:rPr>
          <w:sz w:val="20"/>
          <w:szCs w:val="20"/>
          <w:color w:val="auto"/>
        </w:rPr>
      </w:pPr>
      <w:r>
        <w:rPr>
          <w:rFonts w:ascii="Arial" w:cs="Arial" w:eastAsia="Arial" w:hAnsi="Arial"/>
          <w:sz w:val="19"/>
          <w:szCs w:val="19"/>
          <w:color w:val="auto"/>
        </w:rPr>
        <w:t>In November 2022, we submitted claims to several of our insurance carriers seeking reimbursement for a $230 million payment made in October of 2022 to settle a class action lawsuit stemming from the Line 901 incident (the “Class Action Settlement”). We had previously received payment of approximately $3.6 million from one insurer, which represented the final payment obligation of such insurer and brought the total amount collected from all insurers under such program to $275 million of the $500 million policy limits. In response to denials of coverage or other failures to timely tender payment, we initiated final and binding insurance arbitration proceedings against the insurers responsible for the remaining $225 million of coverage. Such insurers generally alleged that some or all damages encompassed by the Class Action Settlement were not covered by their policies and that all or some portion of the $275 million for which we had already received insurance reimbursement did not, for purposes of determining whether their policies were triggered, properly exhaust the underlying policies that paid those sums.</w:t>
      </w:r>
    </w:p>
    <w:p>
      <w:pPr>
        <w:spacing w:after="0" w:line="202" w:lineRule="exact"/>
        <w:rPr>
          <w:sz w:val="20"/>
          <w:szCs w:val="20"/>
          <w:color w:val="auto"/>
        </w:rPr>
      </w:pPr>
    </w:p>
    <w:p>
      <w:pPr>
        <w:ind w:right="40" w:firstLine="706"/>
        <w:spacing w:after="0" w:line="295" w:lineRule="auto"/>
        <w:rPr>
          <w:sz w:val="20"/>
          <w:szCs w:val="20"/>
          <w:color w:val="auto"/>
        </w:rPr>
      </w:pPr>
      <w:r>
        <w:rPr>
          <w:rFonts w:ascii="Arial" w:cs="Arial" w:eastAsia="Arial" w:hAnsi="Arial"/>
          <w:sz w:val="17"/>
          <w:szCs w:val="17"/>
          <w:color w:val="auto"/>
        </w:rPr>
        <w:t>As of December 31, 2023, we believed that our claim for reimbursement was probable of recovery despite the ongoing arbitration proceedings. Our belief at that time was based on: (i) our analysis of the terms of the underlying insurance policies as applied to the facts and circumstances that comprised our claim for reimbursement, (ii) our experience with the cost submissions and timely collection of claims for the $275 million previously collected for this incident under the same insurance program as the denied claims, including from some of the same insurers who were then denying claims, (iii) our extensive legal review and assessment of the insurer’s claimed basis for denial of coverage, which review and assessment included the advice of external legal counsel experienced in these type of matters that supported our belief that our insurers were required to provide coverage based on the terms of the policies and the nature of our claims, and (iv) the financial strength of the insurance carriers as determined by an independent credit ratings agency. However, at that time we also noted that various factors could impact the timing and amount of recovery of our insurance receivable, including future developments that adversely impacted our assessment of the strength of our coverage claims, the outcome of any dispute resolution proceedings with respect to our coverage claims (including arbitration proceedings) and the extent to which insurers may become insolvent in the future.</w:t>
      </w:r>
    </w:p>
    <w:p>
      <w:pPr>
        <w:spacing w:after="0" w:line="174" w:lineRule="exact"/>
        <w:rPr>
          <w:sz w:val="20"/>
          <w:szCs w:val="20"/>
          <w:color w:val="auto"/>
        </w:rPr>
      </w:pPr>
    </w:p>
    <w:p>
      <w:pPr>
        <w:ind w:firstLine="706"/>
        <w:spacing w:after="0" w:line="264" w:lineRule="auto"/>
        <w:rPr>
          <w:sz w:val="20"/>
          <w:szCs w:val="20"/>
          <w:color w:val="auto"/>
        </w:rPr>
      </w:pPr>
      <w:r>
        <w:rPr>
          <w:rFonts w:ascii="Arial" w:cs="Arial" w:eastAsia="Arial" w:hAnsi="Arial"/>
          <w:sz w:val="19"/>
          <w:szCs w:val="19"/>
          <w:color w:val="auto"/>
        </w:rPr>
        <w:t>A binding arbitration hearing with respect to our insurance claim against insurers representing $175 million of our total $225 million reimbursement claim concluded in early October 2024, and the arbitration panel’s final and binding decision was returned in January 2025. The panel ruled that a substantial portion of our claims subject to the proceeding were not covered under the applicable policy and therefore we were not entitled to reimbursement of our $175 million claim against the applicable insurers. With respect to our remaining $50 million claim against different insurance carriers, we now regard collection of those claims as being less than “probable.” As a result, we have written off the entire $225 million receivable and will recognize any future collections as and if they are received.</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ectPr>
          <w:pgSz w:w="11880" w:h="15480" w:orient="portrait"/>
          <w:cols w:equalWidth="0" w:num="1">
            <w:col w:w="10040"/>
          </w:cols>
          <w:pgMar w:left="920" w:top="337" w:right="920" w:bottom="0"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firstLine="706"/>
        <w:spacing w:after="0" w:line="291" w:lineRule="auto"/>
        <w:rPr>
          <w:sz w:val="20"/>
          <w:szCs w:val="20"/>
          <w:color w:val="auto"/>
        </w:rPr>
      </w:pPr>
      <w:r>
        <w:rPr>
          <w:rFonts w:ascii="Arial" w:cs="Arial" w:eastAsia="Arial" w:hAnsi="Arial"/>
          <w:sz w:val="17"/>
          <w:szCs w:val="17"/>
          <w:color w:val="auto"/>
        </w:rPr>
        <w:t>In connection with the foregoing, including the 2024 Settlements, we have made adjustments to our total estimated Line 901 costs and the portion of such costs that we believe are probable of recovery from insurance carriers, net of deductibles. Effective as of December 31, 2024, we estimate that the aggregate total costs we have incurred or will incur with respect to the Line 901 incident will be approximately $870 million, which includes actual and projected emergency response and clean-up costs, natural resource damage assessments, fines and penalties incurred, certain third-party claims settlements (including the Class Action Settlement and the 2024 Settlements),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18" w:lineRule="exact"/>
        <w:rPr>
          <w:sz w:val="20"/>
          <w:szCs w:val="20"/>
          <w:color w:val="auto"/>
        </w:rPr>
      </w:pPr>
    </w:p>
    <w:p>
      <w:pPr>
        <w:ind w:right="20" w:firstLine="706"/>
        <w:spacing w:after="0" w:line="312" w:lineRule="auto"/>
        <w:rPr>
          <w:sz w:val="20"/>
          <w:szCs w:val="20"/>
          <w:color w:val="auto"/>
        </w:rPr>
      </w:pPr>
      <w:r>
        <w:rPr>
          <w:rFonts w:ascii="Arial" w:cs="Arial" w:eastAsia="Arial" w:hAnsi="Arial"/>
          <w:sz w:val="17"/>
          <w:szCs w:val="17"/>
          <w:color w:val="auto"/>
        </w:rPr>
        <w:t>During the years ended December 31, 2024, 2023 and 2022, we recognized costs, net of amounts probable of recovery from insurance (as applicable), of $345 million, $10 million, and $95 million, respectively. As of December 31, 2024 and 2023, we had a remaining undiscounted gross liability of approximately $5 million and $94 million, respectively, related to the Line 901 incident, which aggregate amounts are reflected in “Current liabilities” on our Consolidated Balance Sheet.</w:t>
      </w:r>
    </w:p>
    <w:p>
      <w:pPr>
        <w:spacing w:after="0" w:line="160" w:lineRule="exact"/>
        <w:rPr>
          <w:sz w:val="20"/>
          <w:szCs w:val="20"/>
          <w:color w:val="auto"/>
        </w:rPr>
      </w:pPr>
    </w:p>
    <w:p>
      <w:pPr>
        <w:ind w:right="40" w:firstLine="706"/>
        <w:spacing w:after="0" w:line="264" w:lineRule="auto"/>
        <w:rPr>
          <w:sz w:val="20"/>
          <w:szCs w:val="20"/>
          <w:color w:val="auto"/>
        </w:rPr>
      </w:pPr>
      <w:r>
        <w:rPr>
          <w:rFonts w:ascii="Arial" w:cs="Arial" w:eastAsia="Arial" w:hAnsi="Arial"/>
          <w:sz w:val="19"/>
          <w:szCs w:val="19"/>
          <w:color w:val="auto"/>
        </w:rPr>
        <w:t>As discussed above, we maintain insurance coverage, which is subject to certain exclusions and deductibles, in the event of such liabilities. As of December 31, 2023, we had recognized a receivable of approximately $225 million for the portion of the release costs that we believed were probable of recovery from insurance, net of deductibles and amounts already collected (approximately $280 million out of the $505 million submitted, including the 2015 insurance program and our directors and officers (D&amp;O) insurance policies). Of this amount, we had classified $175 million as a short-term asset in “Trade accounts receivable and other receivables, net” with the remaining $50 million recognized as a long-term asset in “Other long-term assets, net” on our Consolidated Balance Sheet as of December 31, 2023.</w:t>
      </w:r>
    </w:p>
    <w:p>
      <w:pPr>
        <w:spacing w:after="0" w:line="199" w:lineRule="exact"/>
        <w:rPr>
          <w:sz w:val="20"/>
          <w:szCs w:val="20"/>
          <w:color w:val="auto"/>
        </w:rPr>
      </w:pPr>
    </w:p>
    <w:p>
      <w:pPr>
        <w:jc w:val="both"/>
        <w:ind w:right="140" w:firstLine="706"/>
        <w:spacing w:after="0" w:line="258" w:lineRule="auto"/>
        <w:rPr>
          <w:sz w:val="20"/>
          <w:szCs w:val="20"/>
          <w:color w:val="auto"/>
        </w:rPr>
      </w:pPr>
      <w:r>
        <w:rPr>
          <w:rFonts w:ascii="Arial" w:cs="Arial" w:eastAsia="Arial" w:hAnsi="Arial"/>
          <w:sz w:val="20"/>
          <w:szCs w:val="20"/>
          <w:color w:val="auto"/>
        </w:rPr>
        <w:t>Following the arbitration panel ruling discussed above, we wrote off the full $225 million insurance receivable in the fourth quarter of 2024. Therefore, as of December 31, 2024, we no longer have any amounts recorded as receivables related to the Line 901 incident recognized on our Consolidated Balance Sheet.</w:t>
      </w:r>
    </w:p>
    <w:p>
      <w:pPr>
        <w:spacing w:after="0" w:line="199" w:lineRule="exact"/>
        <w:rPr>
          <w:sz w:val="20"/>
          <w:szCs w:val="20"/>
          <w:color w:val="auto"/>
        </w:rPr>
      </w:pPr>
    </w:p>
    <w:p>
      <w:pPr>
        <w:ind w:right="100" w:firstLine="706"/>
        <w:spacing w:after="0" w:line="266" w:lineRule="auto"/>
        <w:rPr>
          <w:sz w:val="20"/>
          <w:szCs w:val="20"/>
          <w:color w:val="auto"/>
        </w:rPr>
      </w:pPr>
      <w:r>
        <w:rPr>
          <w:rFonts w:ascii="Arial" w:cs="Arial" w:eastAsia="Arial" w:hAnsi="Arial"/>
          <w:sz w:val="19"/>
          <w:szCs w:val="19"/>
          <w:color w:val="auto"/>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880" w:h="15480" w:orient="portrait"/>
          <w:cols w:equalWidth="0" w:num="1">
            <w:col w:w="10040"/>
          </w:cols>
          <w:pgMar w:left="920" w:top="337" w:right="920" w:bottom="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8" w:lineRule="exact"/>
        <w:rPr>
          <w:sz w:val="20"/>
          <w:szCs w:val="20"/>
          <w:color w:val="auto"/>
        </w:rPr>
      </w:pPr>
    </w:p>
    <w:p>
      <w:pPr>
        <w:ind w:right="20" w:firstLine="706"/>
        <w:spacing w:after="0" w:line="307" w:lineRule="auto"/>
        <w:rPr>
          <w:sz w:val="20"/>
          <w:szCs w:val="20"/>
          <w:color w:val="auto"/>
        </w:rPr>
      </w:pPr>
      <w:r>
        <w:rPr>
          <w:rFonts w:ascii="Arial" w:cs="Arial" w:eastAsia="Arial" w:hAnsi="Arial"/>
          <w:sz w:val="17"/>
          <w:szCs w:val="17"/>
          <w:b w:val="1"/>
          <w:bCs w:val="1"/>
          <w:i w:val="1"/>
          <w:iCs w:val="1"/>
          <w:color w:val="auto"/>
        </w:rPr>
        <w:t xml:space="preserve">Other Litigation Matters. </w:t>
      </w:r>
      <w:r>
        <w:rPr>
          <w:rFonts w:ascii="Arial" w:cs="Arial" w:eastAsia="Arial" w:hAnsi="Arial"/>
          <w:sz w:val="17"/>
          <w:szCs w:val="17"/>
          <w:color w:val="auto"/>
        </w:rPr>
        <w:t>On July 19, 2022, Hartree Natural Gas Storage, LLC (“Hartree”) filed a lawsuit under seal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Superior Court for the State of Delaware asserting claims against PAA Natural Gas Storage, L.P. and PAA arising out of a Membership Interest Purchase Agreement relating to the 2021 sale of the Pine Prairie Energy Center natural gas storage facility to Hartree. We have entered into a confidential settlement agreement and anticipate that in connection with the settlement, all of Hartree’s claims will be dismissed with prejudice and without any admission of wrongdoing by Plains.</w:t>
      </w:r>
    </w:p>
    <w:p>
      <w:pPr>
        <w:spacing w:after="0" w:line="163" w:lineRule="exact"/>
        <w:rPr>
          <w:sz w:val="20"/>
          <w:szCs w:val="20"/>
          <w:color w:val="auto"/>
        </w:rPr>
      </w:pPr>
    </w:p>
    <w:p>
      <w:pPr>
        <w:ind w:firstLine="706"/>
        <w:spacing w:after="0" w:line="270" w:lineRule="auto"/>
        <w:rPr>
          <w:sz w:val="20"/>
          <w:szCs w:val="20"/>
          <w:color w:val="auto"/>
        </w:rPr>
      </w:pPr>
      <w:r>
        <w:rPr>
          <w:rFonts w:ascii="Arial" w:cs="Arial" w:eastAsia="Arial" w:hAnsi="Arial"/>
          <w:sz w:val="18"/>
          <w:szCs w:val="18"/>
          <w:color w:val="auto"/>
        </w:rPr>
        <w:t>Various coastal parishes, the State of Louisiana and some of its departments have filed lawsuits in Louisiana 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damages in an unspecified amount. Our subsidiary owned and operated a pipeline in the vicinity of the refuge from 2006 through 2016. The damages have not been quantified and are not yet reasonably estimable, but we believe the claims in the lawsuit lack merit and intend to vigorously defend this lawsuit in coordination with the other Defendants.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19—Segment Information</w:t>
      </w:r>
    </w:p>
    <w:p>
      <w:pPr>
        <w:spacing w:after="0" w:line="248" w:lineRule="exact"/>
        <w:rPr>
          <w:sz w:val="20"/>
          <w:szCs w:val="20"/>
          <w:color w:val="auto"/>
        </w:rPr>
      </w:pPr>
    </w:p>
    <w:p>
      <w:pPr>
        <w:ind w:right="20" w:firstLine="706"/>
        <w:spacing w:after="0" w:line="300" w:lineRule="auto"/>
        <w:rPr>
          <w:sz w:val="20"/>
          <w:szCs w:val="20"/>
          <w:color w:val="auto"/>
        </w:rPr>
      </w:pPr>
      <w:r>
        <w:rPr>
          <w:rFonts w:ascii="Arial" w:cs="Arial" w:eastAsia="Arial" w:hAnsi="Arial"/>
          <w:sz w:val="17"/>
          <w:szCs w:val="17"/>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w:t>
      </w:r>
    </w:p>
    <w:p>
      <w:pPr>
        <w:spacing w:after="0" w:line="171" w:lineRule="exact"/>
        <w:rPr>
          <w:sz w:val="20"/>
          <w:szCs w:val="20"/>
          <w:color w:val="auto"/>
        </w:rPr>
      </w:pPr>
    </w:p>
    <w:p>
      <w:pPr>
        <w:ind w:right="40" w:firstLine="706"/>
        <w:spacing w:after="0" w:line="293" w:lineRule="auto"/>
        <w:rPr>
          <w:sz w:val="20"/>
          <w:szCs w:val="20"/>
          <w:color w:val="auto"/>
        </w:rPr>
      </w:pPr>
      <w:r>
        <w:rPr>
          <w:rFonts w:ascii="Arial" w:cs="Arial" w:eastAsia="Arial" w:hAnsi="Arial"/>
          <w:sz w:val="17"/>
          <w:szCs w:val="17"/>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spacing w:after="0" w:line="200" w:lineRule="exact"/>
        <w:rPr>
          <w:sz w:val="20"/>
          <w:szCs w:val="20"/>
          <w:color w:val="auto"/>
        </w:rPr>
      </w:pPr>
    </w:p>
    <w:p>
      <w:pPr>
        <w:spacing w:after="0" w:line="219" w:lineRule="exact"/>
        <w:rPr>
          <w:sz w:val="20"/>
          <w:szCs w:val="20"/>
          <w:color w:val="auto"/>
        </w:rPr>
      </w:pPr>
    </w:p>
    <w:p>
      <w:pPr>
        <w:ind w:right="40" w:firstLine="706"/>
        <w:spacing w:after="0" w:line="258" w:lineRule="auto"/>
        <w:rPr>
          <w:sz w:val="20"/>
          <w:szCs w:val="20"/>
          <w:color w:val="auto"/>
        </w:rPr>
      </w:pPr>
      <w:r>
        <w:rPr>
          <w:rFonts w:ascii="Arial" w:cs="Arial" w:eastAsia="Arial" w:hAnsi="Arial"/>
          <w:sz w:val="20"/>
          <w:szCs w:val="20"/>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ectPr>
          <w:pgSz w:w="11880" w:h="15480" w:orient="portrait"/>
          <w:cols w:equalWidth="0" w:num="1">
            <w:col w:w="10040"/>
          </w:cols>
          <w:pgMar w:left="920" w:top="337" w:right="920" w:bottom="0" w:gutter="0" w:footer="0" w:header="0"/>
          <w:type w:val="continuous"/>
        </w:sectPr>
      </w:pPr>
    </w:p>
    <w:bookmarkStart w:id="161" w:name="page162"/>
    <w:bookmarkEnd w:id="161"/>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firstLine="706"/>
        <w:spacing w:after="0" w:line="294" w:lineRule="auto"/>
        <w:rPr>
          <w:sz w:val="20"/>
          <w:szCs w:val="20"/>
          <w:color w:val="auto"/>
        </w:rPr>
      </w:pPr>
      <w:r>
        <w:rPr>
          <w:rFonts w:ascii="Arial" w:cs="Arial" w:eastAsia="Arial" w:hAnsi="Arial"/>
          <w:sz w:val="17"/>
          <w:szCs w:val="17"/>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ectPr>
          <w:pgSz w:w="11880" w:h="15480" w:orient="portrait"/>
          <w:cols w:equalWidth="0" w:num="1">
            <w:col w:w="10040"/>
          </w:cols>
          <w:pgMar w:left="92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F-56</w:t>
      </w:r>
    </w:p>
    <w:p>
      <w:pPr>
        <w:sectPr>
          <w:pgSz w:w="11880" w:h="15480" w:orient="portrait"/>
          <w:cols w:equalWidth="0" w:num="1">
            <w:col w:w="10040"/>
          </w:cols>
          <w:pgMar w:left="920" w:top="337" w:right="920" w:bottom="0" w:gutter="0" w:footer="0" w:header="0"/>
          <w:type w:val="continuous"/>
        </w:sectPr>
      </w:pPr>
    </w:p>
    <w:bookmarkStart w:id="162" w:name="page163"/>
    <w:bookmarkEnd w:id="162"/>
    <w:p>
      <w:pPr>
        <w:jc w:val="center"/>
        <w:ind w:right="40"/>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tables reflect certain financial data for each segment (in millions):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w w:val="97"/>
              </w:rPr>
              <w:t>Crude Oil</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03"/>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8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Intersegment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0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90"/>
              </w:rPr>
              <w:t>Elimination</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0"/>
                <w:szCs w:val="20"/>
                <w:color w:val="auto"/>
              </w:rPr>
            </w:pPr>
            <w:r>
              <w:rPr>
                <w:rFonts w:ascii="Arial" w:cs="Arial" w:eastAsia="Arial" w:hAnsi="Arial"/>
                <w:sz w:val="20"/>
                <w:szCs w:val="20"/>
                <w:b w:val="1"/>
                <w:bCs w:val="1"/>
                <w:color w:val="auto"/>
              </w:rPr>
              <w:t>Year Ended December 31, 2024</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5080" w:type="dxa"/>
            <w:vAlign w:val="bottom"/>
          </w:tcPr>
          <w:p>
            <w:pPr>
              <w:spacing w:after="0"/>
              <w:rPr>
                <w:sz w:val="20"/>
                <w:szCs w:val="20"/>
                <w:color w:val="auto"/>
              </w:rPr>
            </w:pPr>
            <w:r>
              <w:rPr>
                <w:rFonts w:ascii="Arial" w:cs="Arial" w:eastAsia="Arial" w:hAnsi="Arial"/>
                <w:sz w:val="20"/>
                <w:szCs w:val="20"/>
                <w:color w:val="auto"/>
              </w:rPr>
              <w:t xml:space="preserve">Revenues </w:t>
            </w:r>
            <w:r>
              <w:rPr>
                <w:rFonts w:ascii="Arial" w:cs="Arial" w:eastAsia="Arial" w:hAnsi="Arial"/>
                <w:sz w:val="25"/>
                <w:szCs w:val="25"/>
                <w:color w:val="auto"/>
                <w:vertAlign w:val="superscript"/>
              </w:rPr>
              <w:t>(1)</w:t>
            </w: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080" w:type="dxa"/>
            <w:vAlign w:val="bottom"/>
          </w:tcPr>
          <w:p>
            <w:pPr>
              <w:ind w:left="140"/>
              <w:spacing w:after="0"/>
              <w:rPr>
                <w:sz w:val="20"/>
                <w:szCs w:val="20"/>
                <w:color w:val="auto"/>
              </w:rPr>
            </w:pPr>
            <w:r>
              <w:rPr>
                <w:rFonts w:ascii="Arial" w:cs="Arial" w:eastAsia="Arial" w:hAnsi="Arial"/>
                <w:sz w:val="20"/>
                <w:szCs w:val="20"/>
                <w:color w:val="auto"/>
              </w:rPr>
              <w:t>Product sales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47,034</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1,569</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(349)</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48,254</w:t>
            </w:r>
          </w:p>
        </w:tc>
        <w:tc>
          <w:tcPr>
            <w:tcW w:w="0" w:type="dxa"/>
            <w:vAlign w:val="bottom"/>
          </w:tcPr>
          <w:p>
            <w:pPr>
              <w:spacing w:after="0"/>
              <w:rPr>
                <w:sz w:val="1"/>
                <w:szCs w:val="1"/>
                <w:color w:val="auto"/>
              </w:rPr>
            </w:pPr>
          </w:p>
        </w:tc>
      </w:tr>
      <w:tr>
        <w:trPr>
          <w:trHeight w:val="298"/>
        </w:trPr>
        <w:tc>
          <w:tcPr>
            <w:tcW w:w="5080" w:type="dxa"/>
            <w:vAlign w:val="bottom"/>
          </w:tcPr>
          <w:p>
            <w:pPr>
              <w:ind w:left="140"/>
              <w:spacing w:after="0"/>
              <w:rPr>
                <w:sz w:val="20"/>
                <w:szCs w:val="20"/>
                <w:color w:val="auto"/>
              </w:rPr>
            </w:pPr>
            <w:r>
              <w:rPr>
                <w:rFonts w:ascii="Arial" w:cs="Arial" w:eastAsia="Arial" w:hAnsi="Arial"/>
                <w:sz w:val="20"/>
                <w:szCs w:val="20"/>
                <w:color w:val="auto"/>
              </w:rPr>
              <w:t>Services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1,819</w:t>
            </w:r>
          </w:p>
        </w:tc>
        <w:tc>
          <w:tcPr>
            <w:tcW w:w="0" w:type="dxa"/>
            <w:vAlign w:val="bottom"/>
          </w:tcPr>
          <w:p>
            <w:pPr>
              <w:spacing w:after="0"/>
              <w:rPr>
                <w:sz w:val="1"/>
                <w:szCs w:val="1"/>
                <w:color w:val="auto"/>
              </w:rPr>
            </w:pPr>
          </w:p>
        </w:tc>
      </w:tr>
      <w:tr>
        <w:trPr>
          <w:trHeight w:val="254"/>
        </w:trPr>
        <w:tc>
          <w:tcPr>
            <w:tcW w:w="5080" w:type="dxa"/>
            <w:vAlign w:val="bottom"/>
          </w:tcPr>
          <w:p>
            <w:pPr>
              <w:ind w:left="220"/>
              <w:spacing w:after="0"/>
              <w:rPr>
                <w:sz w:val="20"/>
                <w:szCs w:val="20"/>
                <w:color w:val="auto"/>
              </w:rPr>
            </w:pPr>
            <w:r>
              <w:rPr>
                <w:rFonts w:ascii="Arial" w:cs="Arial" w:eastAsia="Arial" w:hAnsi="Arial"/>
                <w:sz w:val="20"/>
                <w:szCs w:val="20"/>
                <w:color w:val="auto"/>
              </w:rPr>
              <w:t>Total revenues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48,720</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1,724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(371)</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50,073</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20"/>
                <w:szCs w:val="20"/>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(45,033)</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(898)</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371</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(45,560)</w:t>
            </w:r>
          </w:p>
        </w:tc>
        <w:tc>
          <w:tcPr>
            <w:tcW w:w="0" w:type="dxa"/>
            <w:vAlign w:val="bottom"/>
          </w:tcPr>
          <w:p>
            <w:pPr>
              <w:spacing w:after="0"/>
              <w:rPr>
                <w:sz w:val="1"/>
                <w:szCs w:val="1"/>
                <w:color w:val="auto"/>
              </w:rPr>
            </w:pPr>
          </w:p>
        </w:tc>
      </w:tr>
      <w:tr>
        <w:trPr>
          <w:trHeight w:val="255"/>
        </w:trPr>
        <w:tc>
          <w:tcPr>
            <w:tcW w:w="5080" w:type="dxa"/>
            <w:vAlign w:val="bottom"/>
          </w:tcPr>
          <w:p>
            <w:pPr>
              <w:ind w:left="140"/>
              <w:spacing w:after="0"/>
              <w:rPr>
                <w:sz w:val="20"/>
                <w:szCs w:val="20"/>
                <w:color w:val="auto"/>
              </w:rPr>
            </w:pPr>
            <w:r>
              <w:rPr>
                <w:rFonts w:ascii="Arial" w:cs="Arial" w:eastAsia="Arial" w:hAnsi="Arial"/>
                <w:sz w:val="20"/>
                <w:szCs w:val="20"/>
                <w:color w:val="auto"/>
              </w:rPr>
              <w:t>Field operating costs</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(1,440)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(1,768)</w:t>
            </w:r>
          </w:p>
        </w:tc>
        <w:tc>
          <w:tcPr>
            <w:tcW w:w="0" w:type="dxa"/>
            <w:vAlign w:val="bottom"/>
          </w:tcPr>
          <w:p>
            <w:pPr>
              <w:spacing w:after="0"/>
              <w:rPr>
                <w:sz w:val="1"/>
                <w:szCs w:val="1"/>
                <w:color w:val="auto"/>
              </w:rPr>
            </w:pPr>
          </w:p>
        </w:tc>
      </w:tr>
      <w:tr>
        <w:trPr>
          <w:trHeight w:val="298"/>
        </w:trPr>
        <w:tc>
          <w:tcPr>
            <w:tcW w:w="5080" w:type="dxa"/>
            <w:vAlign w:val="bottom"/>
          </w:tcPr>
          <w:p>
            <w:pPr>
              <w:ind w:left="140"/>
              <w:spacing w:after="0"/>
              <w:rPr>
                <w:sz w:val="20"/>
                <w:szCs w:val="20"/>
                <w:color w:val="auto"/>
              </w:rPr>
            </w:pPr>
            <w:r>
              <w:rPr>
                <w:rFonts w:ascii="Arial" w:cs="Arial" w:eastAsia="Arial" w:hAnsi="Arial"/>
                <w:sz w:val="20"/>
                <w:szCs w:val="20"/>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w:t>
            </w:r>
          </w:p>
        </w:tc>
        <w:tc>
          <w:tcPr>
            <w:tcW w:w="0" w:type="dxa"/>
            <w:vAlign w:val="bottom"/>
          </w:tcPr>
          <w:p>
            <w:pPr>
              <w:spacing w:after="0"/>
              <w:rPr>
                <w:sz w:val="1"/>
                <w:szCs w:val="1"/>
                <w:color w:val="auto"/>
              </w:rPr>
            </w:pPr>
          </w:p>
        </w:tc>
      </w:tr>
      <w:tr>
        <w:trPr>
          <w:trHeight w:val="254"/>
        </w:trPr>
        <w:tc>
          <w:tcPr>
            <w:tcW w:w="5080" w:type="dxa"/>
            <w:vAlign w:val="bottom"/>
          </w:tcPr>
          <w:p>
            <w:pPr>
              <w:ind w:left="220"/>
              <w:spacing w:after="0"/>
              <w:rPr>
                <w:sz w:val="20"/>
                <w:szCs w:val="20"/>
                <w:color w:val="auto"/>
              </w:rPr>
            </w:pPr>
            <w:r>
              <w:rPr>
                <w:rFonts w:ascii="Arial" w:cs="Arial" w:eastAsia="Arial" w:hAnsi="Arial"/>
                <w:sz w:val="20"/>
                <w:szCs w:val="20"/>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(46,771)</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(47,709)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080" w:type="dxa"/>
            <w:vAlign w:val="bottom"/>
          </w:tcPr>
          <w:p>
            <w:pPr>
              <w:spacing w:after="0"/>
              <w:rPr>
                <w:sz w:val="20"/>
                <w:szCs w:val="20"/>
                <w:color w:val="auto"/>
              </w:rPr>
            </w:pPr>
            <w:r>
              <w:rPr>
                <w:rFonts w:ascii="Arial" w:cs="Arial" w:eastAsia="Arial" w:hAnsi="Arial"/>
                <w:sz w:val="20"/>
                <w:szCs w:val="20"/>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452</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080" w:type="dxa"/>
            <w:vAlign w:val="bottom"/>
          </w:tcPr>
          <w:p>
            <w:pPr>
              <w:spacing w:after="0"/>
              <w:rPr>
                <w:sz w:val="20"/>
                <w:szCs w:val="20"/>
                <w:color w:val="auto"/>
              </w:rPr>
            </w:pPr>
            <w:r>
              <w:rPr>
                <w:rFonts w:ascii="Arial" w:cs="Arial" w:eastAsia="Arial" w:hAnsi="Arial"/>
                <w:sz w:val="20"/>
                <w:szCs w:val="20"/>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w w:val="94"/>
              </w:rPr>
              <w:t xml:space="preserve">Depreciation and amortization of unconsolidated entities </w:t>
            </w:r>
            <w:r>
              <w:rPr>
                <w:rFonts w:ascii="Arial" w:cs="Arial" w:eastAsia="Arial" w:hAnsi="Arial"/>
                <w:sz w:val="25"/>
                <w:szCs w:val="25"/>
                <w:color w:val="auto"/>
                <w:w w:val="94"/>
                <w:vertAlign w:val="superscript"/>
              </w:rPr>
              <w:t>(3)</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w w:val="94"/>
              </w:rPr>
              <w:t xml:space="preserve">Derivative activities and inventory valuation adjustments </w:t>
            </w:r>
            <w:r>
              <w:rPr>
                <w:rFonts w:ascii="Arial" w:cs="Arial" w:eastAsia="Arial" w:hAnsi="Arial"/>
                <w:sz w:val="25"/>
                <w:szCs w:val="25"/>
                <w:color w:val="auto"/>
                <w:w w:val="94"/>
                <w:vertAlign w:val="superscript"/>
              </w:rPr>
              <w:t>(4)</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w w:val="96"/>
              </w:rPr>
              <w:t xml:space="preserve">Deficiencies under minimum volume commitments, net </w:t>
            </w:r>
            <w:r>
              <w:rPr>
                <w:rFonts w:ascii="Arial" w:cs="Arial" w:eastAsia="Arial" w:hAnsi="Arial"/>
                <w:sz w:val="25"/>
                <w:szCs w:val="25"/>
                <w:color w:val="auto"/>
                <w:w w:val="96"/>
                <w:vertAlign w:val="superscript"/>
              </w:rPr>
              <w:t>(6)</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Line 901 incident </w:t>
            </w:r>
            <w:r>
              <w:rPr>
                <w:rFonts w:ascii="Arial" w:cs="Arial" w:eastAsia="Arial" w:hAnsi="Arial"/>
                <w:sz w:val="25"/>
                <w:szCs w:val="25"/>
                <w:color w:val="auto"/>
                <w:vertAlign w:val="superscript"/>
              </w:rPr>
              <w:t>(9)</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140"/>
              <w:spacing w:after="0" w:line="197" w:lineRule="exact"/>
              <w:rPr>
                <w:sz w:val="20"/>
                <w:szCs w:val="20"/>
                <w:color w:val="auto"/>
              </w:rPr>
            </w:pPr>
            <w:r>
              <w:rPr>
                <w:rFonts w:ascii="Arial" w:cs="Arial" w:eastAsia="Arial" w:hAnsi="Arial"/>
                <w:sz w:val="20"/>
                <w:szCs w:val="20"/>
                <w:color w:val="auto"/>
                <w:w w:val="94"/>
              </w:rPr>
              <w:t>Segment amounts attributable to noncontrolling interests in</w:t>
            </w:r>
          </w:p>
        </w:tc>
        <w:tc>
          <w:tcPr>
            <w:tcW w:w="2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(543)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080" w:type="dxa"/>
            <w:vAlign w:val="bottom"/>
          </w:tcPr>
          <w:p>
            <w:pPr>
              <w:ind w:left="320"/>
              <w:spacing w:after="0" w:line="258" w:lineRule="exact"/>
              <w:rPr>
                <w:sz w:val="20"/>
                <w:szCs w:val="20"/>
                <w:color w:val="auto"/>
              </w:rPr>
            </w:pPr>
            <w:r>
              <w:rPr>
                <w:rFonts w:ascii="Arial" w:cs="Arial" w:eastAsia="Arial" w:hAnsi="Arial"/>
                <w:sz w:val="20"/>
                <w:szCs w:val="20"/>
                <w:color w:val="auto"/>
              </w:rPr>
              <w:t xml:space="preserve">consolidated joint ventures </w:t>
            </w:r>
            <w:r>
              <w:rPr>
                <w:rFonts w:ascii="Arial" w:cs="Arial" w:eastAsia="Arial" w:hAnsi="Arial"/>
                <w:sz w:val="25"/>
                <w:szCs w:val="25"/>
                <w:color w:val="auto"/>
                <w:vertAlign w:val="superscript"/>
              </w:rPr>
              <w:t>(10)</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(125)</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65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5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080" w:type="dxa"/>
            <w:vAlign w:val="bottom"/>
          </w:tcPr>
          <w:p>
            <w:pPr>
              <w:spacing w:after="0"/>
              <w:rPr>
                <w:sz w:val="20"/>
                <w:szCs w:val="20"/>
                <w:color w:val="auto"/>
              </w:rPr>
            </w:pPr>
            <w:r>
              <w:rPr>
                <w:rFonts w:ascii="Arial" w:cs="Arial" w:eastAsia="Arial" w:hAnsi="Arial"/>
                <w:sz w:val="20"/>
                <w:szCs w:val="20"/>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2,276</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20"/>
                <w:szCs w:val="20"/>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080" w:type="dxa"/>
            <w:vAlign w:val="bottom"/>
            <w:vMerge w:val="continue"/>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554</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669</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line="274" w:lineRule="exact"/>
              <w:rPr>
                <w:sz w:val="20"/>
                <w:szCs w:val="20"/>
                <w:color w:val="auto"/>
              </w:rPr>
            </w:pPr>
            <w:r>
              <w:rPr>
                <w:rFonts w:ascii="Arial" w:cs="Arial" w:eastAsia="Arial" w:hAnsi="Arial"/>
                <w:sz w:val="20"/>
                <w:szCs w:val="20"/>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080" w:type="dxa"/>
            <w:vAlign w:val="bottom"/>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183</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20"/>
                <w:szCs w:val="20"/>
                <w:b w:val="1"/>
                <w:bCs w:val="1"/>
                <w:color w:val="auto"/>
              </w:rPr>
              <w:t>As of December 31, 2024</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080" w:type="dxa"/>
            <w:vAlign w:val="bottom"/>
          </w:tcPr>
          <w:p>
            <w:pPr>
              <w:spacing w:after="0"/>
              <w:rPr>
                <w:sz w:val="20"/>
                <w:szCs w:val="20"/>
                <w:color w:val="auto"/>
              </w:rPr>
            </w:pPr>
            <w:r>
              <w:rPr>
                <w:rFonts w:ascii="Arial" w:cs="Arial" w:eastAsia="Arial" w:hAnsi="Arial"/>
                <w:sz w:val="20"/>
                <w:szCs w:val="20"/>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2,811</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2,811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-6079490</wp:posOffset>
            </wp:positionV>
            <wp:extent cx="6410325" cy="60864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2">
                      <a:extLst>
                        <a:ext uri="{28A0092B-C50C-407E-A947-70E740481C1C}"/>
                      </a:extLst>
                    </a:blip>
                    <a:srcRect/>
                    <a:stretch>
                      <a:fillRect/>
                    </a:stretch>
                  </pic:blipFill>
                  <pic:spPr bwMode="auto">
                    <a:xfrm>
                      <a:off x="0" y="0"/>
                      <a:ext cx="6410325" cy="6086475"/>
                    </a:xfrm>
                    <a:prstGeom prst="rect">
                      <a:avLst/>
                    </a:prstGeom>
                    <a:noFill/>
                  </pic:spPr>
                </pic:pic>
              </a:graphicData>
            </a:graphic>
          </wp:anchor>
        </w:drawing>
      </w:r>
    </w:p>
    <w:p>
      <w:pPr>
        <w:sectPr>
          <w:pgSz w:w="11880" w:h="15480" w:orient="portrait"/>
          <w:cols w:equalWidth="0" w:num="1">
            <w:col w:w="10000"/>
          </w:cols>
          <w:pgMar w:left="96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F-57</w:t>
      </w:r>
    </w:p>
    <w:p>
      <w:pPr>
        <w:sectPr>
          <w:pgSz w:w="11880" w:h="15480" w:orient="portrait"/>
          <w:cols w:equalWidth="0" w:num="1">
            <w:col w:w="10000"/>
          </w:cols>
          <w:pgMar w:left="960" w:top="337" w:right="920" w:bottom="0" w:gutter="0" w:footer="0" w:header="0"/>
          <w:type w:val="continuous"/>
        </w:sectPr>
      </w:pPr>
    </w:p>
    <w:bookmarkStart w:id="163" w:name="page164"/>
    <w:bookmarkEnd w:id="163"/>
    <w:p>
      <w:pPr>
        <w:jc w:val="center"/>
        <w:ind w:right="40"/>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w w:val="97"/>
              </w:rPr>
              <w:t>Crude Oil</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03"/>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8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Intersegment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0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90"/>
              </w:rPr>
              <w:t>Elimination</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0"/>
                <w:szCs w:val="20"/>
                <w:color w:val="auto"/>
              </w:rPr>
            </w:pPr>
            <w:r>
              <w:rPr>
                <w:rFonts w:ascii="Arial" w:cs="Arial" w:eastAsia="Arial" w:hAnsi="Arial"/>
                <w:sz w:val="20"/>
                <w:szCs w:val="20"/>
                <w:b w:val="1"/>
                <w:bCs w:val="1"/>
                <w:color w:val="auto"/>
              </w:rPr>
              <w:t>Year Ended December 31, 2023</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5080" w:type="dxa"/>
            <w:vAlign w:val="bottom"/>
          </w:tcPr>
          <w:p>
            <w:pPr>
              <w:spacing w:after="0"/>
              <w:rPr>
                <w:sz w:val="20"/>
                <w:szCs w:val="20"/>
                <w:color w:val="auto"/>
              </w:rPr>
            </w:pPr>
            <w:r>
              <w:rPr>
                <w:rFonts w:ascii="Arial" w:cs="Arial" w:eastAsia="Arial" w:hAnsi="Arial"/>
                <w:sz w:val="20"/>
                <w:szCs w:val="20"/>
                <w:color w:val="auto"/>
              </w:rPr>
              <w:t xml:space="preserve">Revenues </w:t>
            </w:r>
            <w:r>
              <w:rPr>
                <w:rFonts w:ascii="Arial" w:cs="Arial" w:eastAsia="Arial" w:hAnsi="Arial"/>
                <w:sz w:val="25"/>
                <w:szCs w:val="25"/>
                <w:color w:val="auto"/>
                <w:vertAlign w:val="superscript"/>
              </w:rPr>
              <w:t>(1)</w:t>
            </w: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080" w:type="dxa"/>
            <w:vAlign w:val="bottom"/>
          </w:tcPr>
          <w:p>
            <w:pPr>
              <w:ind w:left="140"/>
              <w:spacing w:after="0"/>
              <w:rPr>
                <w:sz w:val="20"/>
                <w:szCs w:val="20"/>
                <w:color w:val="auto"/>
              </w:rPr>
            </w:pPr>
            <w:r>
              <w:rPr>
                <w:rFonts w:ascii="Arial" w:cs="Arial" w:eastAsia="Arial" w:hAnsi="Arial"/>
                <w:sz w:val="20"/>
                <w:szCs w:val="20"/>
                <w:color w:val="auto"/>
              </w:rPr>
              <w:t>Product sales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45,587</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1,765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(378)</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46,974</w:t>
            </w:r>
          </w:p>
        </w:tc>
        <w:tc>
          <w:tcPr>
            <w:tcW w:w="0" w:type="dxa"/>
            <w:vAlign w:val="bottom"/>
          </w:tcPr>
          <w:p>
            <w:pPr>
              <w:spacing w:after="0"/>
              <w:rPr>
                <w:sz w:val="1"/>
                <w:szCs w:val="1"/>
                <w:color w:val="auto"/>
              </w:rPr>
            </w:pPr>
          </w:p>
        </w:tc>
      </w:tr>
      <w:tr>
        <w:trPr>
          <w:trHeight w:val="298"/>
        </w:trPr>
        <w:tc>
          <w:tcPr>
            <w:tcW w:w="5080" w:type="dxa"/>
            <w:vAlign w:val="bottom"/>
          </w:tcPr>
          <w:p>
            <w:pPr>
              <w:ind w:left="140"/>
              <w:spacing w:after="0"/>
              <w:rPr>
                <w:sz w:val="20"/>
                <w:szCs w:val="20"/>
                <w:color w:val="auto"/>
              </w:rPr>
            </w:pPr>
            <w:r>
              <w:rPr>
                <w:rFonts w:ascii="Arial" w:cs="Arial" w:eastAsia="Arial" w:hAnsi="Arial"/>
                <w:sz w:val="20"/>
                <w:szCs w:val="20"/>
                <w:color w:val="auto"/>
              </w:rPr>
              <w:t>Services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1,738</w:t>
            </w:r>
          </w:p>
        </w:tc>
        <w:tc>
          <w:tcPr>
            <w:tcW w:w="0" w:type="dxa"/>
            <w:vAlign w:val="bottom"/>
          </w:tcPr>
          <w:p>
            <w:pPr>
              <w:spacing w:after="0"/>
              <w:rPr>
                <w:sz w:val="1"/>
                <w:szCs w:val="1"/>
                <w:color w:val="auto"/>
              </w:rPr>
            </w:pPr>
          </w:p>
        </w:tc>
      </w:tr>
      <w:tr>
        <w:trPr>
          <w:trHeight w:val="254"/>
        </w:trPr>
        <w:tc>
          <w:tcPr>
            <w:tcW w:w="5080" w:type="dxa"/>
            <w:vAlign w:val="bottom"/>
          </w:tcPr>
          <w:p>
            <w:pPr>
              <w:ind w:left="220"/>
              <w:spacing w:after="0"/>
              <w:rPr>
                <w:sz w:val="20"/>
                <w:szCs w:val="20"/>
                <w:color w:val="auto"/>
              </w:rPr>
            </w:pPr>
            <w:r>
              <w:rPr>
                <w:rFonts w:ascii="Arial" w:cs="Arial" w:eastAsia="Arial" w:hAnsi="Arial"/>
                <w:sz w:val="20"/>
                <w:szCs w:val="20"/>
                <w:color w:val="auto"/>
              </w:rPr>
              <w:t>Total revenues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47,174</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1,935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(397)</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48,712</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20"/>
                <w:szCs w:val="20"/>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(43,805)</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(1,123)</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397</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(44,531)</w:t>
            </w:r>
          </w:p>
        </w:tc>
        <w:tc>
          <w:tcPr>
            <w:tcW w:w="0" w:type="dxa"/>
            <w:vAlign w:val="bottom"/>
          </w:tcPr>
          <w:p>
            <w:pPr>
              <w:spacing w:after="0"/>
              <w:rPr>
                <w:sz w:val="1"/>
                <w:szCs w:val="1"/>
                <w:color w:val="auto"/>
              </w:rPr>
            </w:pPr>
          </w:p>
        </w:tc>
      </w:tr>
      <w:tr>
        <w:trPr>
          <w:trHeight w:val="255"/>
        </w:trPr>
        <w:tc>
          <w:tcPr>
            <w:tcW w:w="5080" w:type="dxa"/>
            <w:vAlign w:val="bottom"/>
          </w:tcPr>
          <w:p>
            <w:pPr>
              <w:ind w:left="140"/>
              <w:spacing w:after="0"/>
              <w:rPr>
                <w:sz w:val="20"/>
                <w:szCs w:val="20"/>
                <w:color w:val="auto"/>
              </w:rPr>
            </w:pPr>
            <w:r>
              <w:rPr>
                <w:rFonts w:ascii="Arial" w:cs="Arial" w:eastAsia="Arial" w:hAnsi="Arial"/>
                <w:sz w:val="20"/>
                <w:szCs w:val="20"/>
                <w:color w:val="auto"/>
              </w:rPr>
              <w:t>Field operating costs</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(1,053)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(372)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(1,425)</w:t>
            </w:r>
          </w:p>
        </w:tc>
        <w:tc>
          <w:tcPr>
            <w:tcW w:w="0" w:type="dxa"/>
            <w:vAlign w:val="bottom"/>
          </w:tcPr>
          <w:p>
            <w:pPr>
              <w:spacing w:after="0"/>
              <w:rPr>
                <w:sz w:val="1"/>
                <w:szCs w:val="1"/>
                <w:color w:val="auto"/>
              </w:rPr>
            </w:pPr>
          </w:p>
        </w:tc>
      </w:tr>
      <w:tr>
        <w:trPr>
          <w:trHeight w:val="298"/>
        </w:trPr>
        <w:tc>
          <w:tcPr>
            <w:tcW w:w="5080" w:type="dxa"/>
            <w:vAlign w:val="bottom"/>
          </w:tcPr>
          <w:p>
            <w:pPr>
              <w:ind w:left="140"/>
              <w:spacing w:after="0"/>
              <w:rPr>
                <w:sz w:val="20"/>
                <w:szCs w:val="20"/>
                <w:color w:val="auto"/>
              </w:rPr>
            </w:pPr>
            <w:r>
              <w:rPr>
                <w:rFonts w:ascii="Arial" w:cs="Arial" w:eastAsia="Arial" w:hAnsi="Arial"/>
                <w:sz w:val="20"/>
                <w:szCs w:val="20"/>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w:t>
            </w:r>
          </w:p>
        </w:tc>
        <w:tc>
          <w:tcPr>
            <w:tcW w:w="0" w:type="dxa"/>
            <w:vAlign w:val="bottom"/>
          </w:tcPr>
          <w:p>
            <w:pPr>
              <w:spacing w:after="0"/>
              <w:rPr>
                <w:sz w:val="1"/>
                <w:szCs w:val="1"/>
                <w:color w:val="auto"/>
              </w:rPr>
            </w:pPr>
          </w:p>
        </w:tc>
      </w:tr>
      <w:tr>
        <w:trPr>
          <w:trHeight w:val="254"/>
        </w:trPr>
        <w:tc>
          <w:tcPr>
            <w:tcW w:w="5080" w:type="dxa"/>
            <w:vAlign w:val="bottom"/>
          </w:tcPr>
          <w:p>
            <w:pPr>
              <w:ind w:left="220"/>
              <w:spacing w:after="0"/>
              <w:rPr>
                <w:sz w:val="20"/>
                <w:szCs w:val="20"/>
                <w:color w:val="auto"/>
              </w:rPr>
            </w:pPr>
            <w:r>
              <w:rPr>
                <w:rFonts w:ascii="Arial" w:cs="Arial" w:eastAsia="Arial" w:hAnsi="Arial"/>
                <w:sz w:val="20"/>
                <w:szCs w:val="20"/>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(45,129)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(46,306)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080" w:type="dxa"/>
            <w:vAlign w:val="bottom"/>
          </w:tcPr>
          <w:p>
            <w:pPr>
              <w:spacing w:after="0"/>
              <w:rPr>
                <w:sz w:val="20"/>
                <w:szCs w:val="20"/>
                <w:color w:val="auto"/>
              </w:rPr>
            </w:pPr>
            <w:r>
              <w:rPr>
                <w:rFonts w:ascii="Arial" w:cs="Arial" w:eastAsia="Arial" w:hAnsi="Arial"/>
                <w:sz w:val="20"/>
                <w:szCs w:val="20"/>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369</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080" w:type="dxa"/>
            <w:vAlign w:val="bottom"/>
          </w:tcPr>
          <w:p>
            <w:pPr>
              <w:spacing w:after="0"/>
              <w:rPr>
                <w:sz w:val="20"/>
                <w:szCs w:val="20"/>
                <w:color w:val="auto"/>
              </w:rPr>
            </w:pPr>
            <w:r>
              <w:rPr>
                <w:rFonts w:ascii="Arial" w:cs="Arial" w:eastAsia="Arial" w:hAnsi="Arial"/>
                <w:sz w:val="20"/>
                <w:szCs w:val="20"/>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w w:val="94"/>
              </w:rPr>
              <w:t xml:space="preserve">Depreciation and amortization of unconsolidated entities </w:t>
            </w:r>
            <w:r>
              <w:rPr>
                <w:rFonts w:ascii="Arial" w:cs="Arial" w:eastAsia="Arial" w:hAnsi="Arial"/>
                <w:sz w:val="25"/>
                <w:szCs w:val="25"/>
                <w:color w:val="auto"/>
                <w:w w:val="94"/>
                <w:vertAlign w:val="superscript"/>
              </w:rPr>
              <w:t>(3)</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w w:val="94"/>
              </w:rPr>
              <w:t xml:space="preserve">Derivative activities and inventory valuation adjustments </w:t>
            </w:r>
            <w:r>
              <w:rPr>
                <w:rFonts w:ascii="Arial" w:cs="Arial" w:eastAsia="Arial" w:hAnsi="Arial"/>
                <w:sz w:val="25"/>
                <w:szCs w:val="25"/>
                <w:color w:val="auto"/>
                <w:w w:val="94"/>
                <w:vertAlign w:val="superscript"/>
              </w:rPr>
              <w:t>(4)</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w w:val="96"/>
              </w:rPr>
              <w:t xml:space="preserve">Deficiencies under minimum volume commitments, net </w:t>
            </w:r>
            <w:r>
              <w:rPr>
                <w:rFonts w:ascii="Arial" w:cs="Arial" w:eastAsia="Arial" w:hAnsi="Arial"/>
                <w:sz w:val="25"/>
                <w:szCs w:val="25"/>
                <w:color w:val="auto"/>
                <w:w w:val="96"/>
                <w:vertAlign w:val="superscript"/>
              </w:rPr>
              <w:t>(6)</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Line 901 incident </w:t>
            </w:r>
            <w:r>
              <w:rPr>
                <w:rFonts w:ascii="Arial" w:cs="Arial" w:eastAsia="Arial" w:hAnsi="Arial"/>
                <w:sz w:val="25"/>
                <w:szCs w:val="25"/>
                <w:color w:val="auto"/>
                <w:vertAlign w:val="superscript"/>
              </w:rPr>
              <w:t>(9)</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080" w:type="dxa"/>
            <w:vAlign w:val="bottom"/>
          </w:tcPr>
          <w:p>
            <w:pPr>
              <w:ind w:left="140"/>
              <w:spacing w:after="0"/>
              <w:rPr>
                <w:sz w:val="20"/>
                <w:szCs w:val="20"/>
                <w:color w:val="auto"/>
              </w:rPr>
            </w:pPr>
            <w:r>
              <w:rPr>
                <w:rFonts w:ascii="Arial" w:cs="Arial" w:eastAsia="Arial" w:hAnsi="Arial"/>
                <w:sz w:val="20"/>
                <w:szCs w:val="20"/>
                <w:color w:val="auto"/>
              </w:rPr>
              <w:t xml:space="preserve">Transaction-related expenses </w:t>
            </w:r>
            <w:r>
              <w:rPr>
                <w:rFonts w:ascii="Arial" w:cs="Arial" w:eastAsia="Arial" w:hAnsi="Arial"/>
                <w:sz w:val="25"/>
                <w:szCs w:val="25"/>
                <w:color w:val="auto"/>
                <w:vertAlign w:val="superscript"/>
              </w:rPr>
              <w:t>(13)</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140"/>
              <w:spacing w:after="0" w:line="197" w:lineRule="exact"/>
              <w:rPr>
                <w:sz w:val="20"/>
                <w:szCs w:val="20"/>
                <w:color w:val="auto"/>
              </w:rPr>
            </w:pPr>
            <w:r>
              <w:rPr>
                <w:rFonts w:ascii="Arial" w:cs="Arial" w:eastAsia="Arial" w:hAnsi="Arial"/>
                <w:sz w:val="20"/>
                <w:szCs w:val="20"/>
                <w:color w:val="auto"/>
                <w:w w:val="94"/>
              </w:rPr>
              <w:t>Segment amounts attributable to noncontrolling interests in</w:t>
            </w:r>
          </w:p>
        </w:tc>
        <w:tc>
          <w:tcPr>
            <w:tcW w:w="2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(454)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080" w:type="dxa"/>
            <w:vAlign w:val="bottom"/>
          </w:tcPr>
          <w:p>
            <w:pPr>
              <w:ind w:left="320"/>
              <w:spacing w:after="0" w:line="258" w:lineRule="exact"/>
              <w:rPr>
                <w:sz w:val="20"/>
                <w:szCs w:val="20"/>
                <w:color w:val="auto"/>
              </w:rPr>
            </w:pPr>
            <w:r>
              <w:rPr>
                <w:rFonts w:ascii="Arial" w:cs="Arial" w:eastAsia="Arial" w:hAnsi="Arial"/>
                <w:sz w:val="20"/>
                <w:szCs w:val="20"/>
                <w:color w:val="auto"/>
              </w:rPr>
              <w:t xml:space="preserve">consolidated joint ventures </w:t>
            </w:r>
            <w:r>
              <w:rPr>
                <w:rFonts w:ascii="Arial" w:cs="Arial" w:eastAsia="Arial" w:hAnsi="Arial"/>
                <w:sz w:val="25"/>
                <w:szCs w:val="25"/>
                <w:color w:val="auto"/>
                <w:vertAlign w:val="superscript"/>
              </w:rPr>
              <w:t>(10)</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40"/>
              <w:spacing w:after="0"/>
              <w:rPr>
                <w:sz w:val="20"/>
                <w:szCs w:val="20"/>
                <w:color w:val="auto"/>
              </w:rPr>
            </w:pPr>
            <w:r>
              <w:rPr>
                <w:rFonts w:ascii="Arial" w:cs="Arial" w:eastAsia="Arial" w:hAnsi="Arial"/>
                <w:sz w:val="20"/>
                <w:szCs w:val="20"/>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(251)</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161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5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080" w:type="dxa"/>
            <w:vAlign w:val="bottom"/>
          </w:tcPr>
          <w:p>
            <w:pPr>
              <w:spacing w:after="0"/>
              <w:rPr>
                <w:sz w:val="20"/>
                <w:szCs w:val="20"/>
                <w:color w:val="auto"/>
              </w:rPr>
            </w:pPr>
            <w:r>
              <w:rPr>
                <w:rFonts w:ascii="Arial" w:cs="Arial" w:eastAsia="Arial" w:hAnsi="Arial"/>
                <w:sz w:val="20"/>
                <w:szCs w:val="20"/>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2,163</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20"/>
                <w:szCs w:val="20"/>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080" w:type="dxa"/>
            <w:vAlign w:val="bottom"/>
            <w:vMerge w:val="continue"/>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765</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830</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line="274" w:lineRule="exact"/>
              <w:rPr>
                <w:sz w:val="20"/>
                <w:szCs w:val="20"/>
                <w:color w:val="auto"/>
              </w:rPr>
            </w:pPr>
            <w:r>
              <w:rPr>
                <w:rFonts w:ascii="Arial" w:cs="Arial" w:eastAsia="Arial" w:hAnsi="Arial"/>
                <w:sz w:val="20"/>
                <w:szCs w:val="20"/>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080" w:type="dxa"/>
            <w:vAlign w:val="bottom"/>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145</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20"/>
                <w:szCs w:val="20"/>
                <w:b w:val="1"/>
                <w:bCs w:val="1"/>
                <w:color w:val="auto"/>
              </w:rPr>
              <w:t>As of December 31, 2023</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080" w:type="dxa"/>
            <w:vAlign w:val="bottom"/>
          </w:tcPr>
          <w:p>
            <w:pPr>
              <w:spacing w:after="0"/>
              <w:rPr>
                <w:sz w:val="20"/>
                <w:szCs w:val="20"/>
                <w:color w:val="auto"/>
              </w:rPr>
            </w:pPr>
            <w:r>
              <w:rPr>
                <w:rFonts w:ascii="Arial" w:cs="Arial" w:eastAsia="Arial" w:hAnsi="Arial"/>
                <w:sz w:val="20"/>
                <w:szCs w:val="20"/>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2,820</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2,820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-6266180</wp:posOffset>
            </wp:positionV>
            <wp:extent cx="6410325" cy="62731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3">
                      <a:extLst>
                        <a:ext uri="{28A0092B-C50C-407E-A947-70E740481C1C}"/>
                      </a:extLst>
                    </a:blip>
                    <a:srcRect/>
                    <a:stretch>
                      <a:fillRect/>
                    </a:stretch>
                  </pic:blipFill>
                  <pic:spPr bwMode="auto">
                    <a:xfrm>
                      <a:off x="0" y="0"/>
                      <a:ext cx="6410325" cy="6273165"/>
                    </a:xfrm>
                    <a:prstGeom prst="rect">
                      <a:avLst/>
                    </a:prstGeom>
                    <a:noFill/>
                  </pic:spPr>
                </pic:pic>
              </a:graphicData>
            </a:graphic>
          </wp:anchor>
        </w:drawing>
      </w:r>
    </w:p>
    <w:p>
      <w:pPr>
        <w:sectPr>
          <w:pgSz w:w="11880" w:h="15480" w:orient="portrait"/>
          <w:cols w:equalWidth="0" w:num="1">
            <w:col w:w="10000"/>
          </w:cols>
          <w:pgMar w:left="960" w:top="33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F-58</w:t>
      </w:r>
    </w:p>
    <w:p>
      <w:pPr>
        <w:sectPr>
          <w:pgSz w:w="11880" w:h="15480" w:orient="portrait"/>
          <w:cols w:equalWidth="0" w:num="1">
            <w:col w:w="10000"/>
          </w:cols>
          <w:pgMar w:left="960" w:top="337" w:right="920" w:bottom="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w w:val="97"/>
              </w:rPr>
              <w:t>Crude Oil</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03"/>
              <w:spacing w:after="0"/>
              <w:rPr>
                <w:sz w:val="20"/>
                <w:szCs w:val="20"/>
                <w:color w:val="auto"/>
              </w:rPr>
            </w:pPr>
            <w:r>
              <w:rPr>
                <w:rFonts w:ascii="Arial" w:cs="Arial" w:eastAsia="Arial" w:hAnsi="Arial"/>
                <w:sz w:val="16"/>
                <w:szCs w:val="16"/>
                <w:b w:val="1"/>
                <w:bCs w:val="1"/>
                <w:color w:val="auto"/>
              </w:rPr>
              <w:t>NGL</w:t>
            </w:r>
          </w:p>
        </w:tc>
        <w:tc>
          <w:tcPr>
            <w:tcW w:w="80" w:type="dxa"/>
            <w:vAlign w:val="bottom"/>
          </w:tcPr>
          <w:p>
            <w:pPr>
              <w:spacing w:after="0"/>
              <w:rPr>
                <w:sz w:val="16"/>
                <w:szCs w:val="16"/>
                <w:color w:val="auto"/>
              </w:rPr>
            </w:pPr>
          </w:p>
        </w:tc>
        <w:tc>
          <w:tcPr>
            <w:tcW w:w="118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Intersegment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ind w:right="30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w w:val="90"/>
              </w:rPr>
              <w:t>Elimination</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20" w:type="dxa"/>
            <w:vAlign w:val="bottom"/>
            <w:gridSpan w:val="2"/>
          </w:tcPr>
          <w:p>
            <w:pPr>
              <w:ind w:left="40"/>
              <w:spacing w:after="0"/>
              <w:rPr>
                <w:sz w:val="20"/>
                <w:szCs w:val="20"/>
                <w:color w:val="auto"/>
              </w:rPr>
            </w:pPr>
            <w:r>
              <w:rPr>
                <w:rFonts w:ascii="Arial" w:cs="Arial" w:eastAsia="Arial" w:hAnsi="Arial"/>
                <w:sz w:val="20"/>
                <w:szCs w:val="20"/>
                <w:b w:val="1"/>
                <w:bCs w:val="1"/>
                <w:color w:val="auto"/>
              </w:rPr>
              <w:t>Year Ended December 31, 2022</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5120" w:type="dxa"/>
            <w:vAlign w:val="bottom"/>
            <w:gridSpan w:val="2"/>
          </w:tcPr>
          <w:p>
            <w:pPr>
              <w:ind w:left="40"/>
              <w:spacing w:after="0"/>
              <w:rPr>
                <w:sz w:val="20"/>
                <w:szCs w:val="20"/>
                <w:color w:val="auto"/>
              </w:rPr>
            </w:pPr>
            <w:r>
              <w:rPr>
                <w:rFonts w:ascii="Arial" w:cs="Arial" w:eastAsia="Arial" w:hAnsi="Arial"/>
                <w:sz w:val="20"/>
                <w:szCs w:val="20"/>
                <w:color w:val="auto"/>
              </w:rPr>
              <w:t xml:space="preserve">Revenues </w:t>
            </w:r>
            <w:r>
              <w:rPr>
                <w:rFonts w:ascii="Arial" w:cs="Arial" w:eastAsia="Arial" w:hAnsi="Arial"/>
                <w:sz w:val="25"/>
                <w:szCs w:val="25"/>
                <w:color w:val="auto"/>
                <w:vertAlign w:val="superscript"/>
              </w:rPr>
              <w:t>(1)</w:t>
            </w: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Product sales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53,840</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2,575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(467)</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55,948</w:t>
            </w:r>
          </w:p>
        </w:tc>
        <w:tc>
          <w:tcPr>
            <w:tcW w:w="0" w:type="dxa"/>
            <w:vAlign w:val="bottom"/>
          </w:tcPr>
          <w:p>
            <w:pPr>
              <w:spacing w:after="0"/>
              <w:rPr>
                <w:sz w:val="1"/>
                <w:szCs w:val="1"/>
                <w:color w:val="auto"/>
              </w:rPr>
            </w:pPr>
          </w:p>
        </w:tc>
      </w:tr>
      <w:tr>
        <w:trPr>
          <w:trHeight w:val="298"/>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Services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1,394</w:t>
            </w:r>
          </w:p>
        </w:tc>
        <w:tc>
          <w:tcPr>
            <w:tcW w:w="0" w:type="dxa"/>
            <w:vAlign w:val="bottom"/>
          </w:tcPr>
          <w:p>
            <w:pPr>
              <w:spacing w:after="0"/>
              <w:rPr>
                <w:sz w:val="1"/>
                <w:szCs w:val="1"/>
                <w:color w:val="auto"/>
              </w:rPr>
            </w:pPr>
          </w:p>
        </w:tc>
      </w:tr>
      <w:tr>
        <w:trPr>
          <w:trHeight w:val="254"/>
        </w:trPr>
        <w:tc>
          <w:tcPr>
            <w:tcW w:w="5120" w:type="dxa"/>
            <w:vAlign w:val="bottom"/>
            <w:gridSpan w:val="2"/>
          </w:tcPr>
          <w:p>
            <w:pPr>
              <w:ind w:left="260"/>
              <w:spacing w:after="0"/>
              <w:rPr>
                <w:sz w:val="20"/>
                <w:szCs w:val="20"/>
                <w:color w:val="auto"/>
              </w:rPr>
            </w:pPr>
            <w:r>
              <w:rPr>
                <w:rFonts w:ascii="Arial" w:cs="Arial" w:eastAsia="Arial" w:hAnsi="Arial"/>
                <w:sz w:val="20"/>
                <w:szCs w:val="20"/>
                <w:color w:val="auto"/>
              </w:rPr>
              <w:t>Total revenues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55,080</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2,761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(499)</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57,342</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20"/>
                <w:szCs w:val="20"/>
                <w:color w:val="auto"/>
              </w:rPr>
              <w:t>Significant segment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 xml:space="preserve">Purchases and related costs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(52,088)</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(1,587)</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499</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(53,176)</w:t>
            </w:r>
          </w:p>
        </w:tc>
        <w:tc>
          <w:tcPr>
            <w:tcW w:w="0" w:type="dxa"/>
            <w:vAlign w:val="bottom"/>
          </w:tcPr>
          <w:p>
            <w:pPr>
              <w:spacing w:after="0"/>
              <w:rPr>
                <w:sz w:val="1"/>
                <w:szCs w:val="1"/>
                <w:color w:val="auto"/>
              </w:rPr>
            </w:pPr>
          </w:p>
        </w:tc>
      </w:tr>
      <w:tr>
        <w:trPr>
          <w:trHeight w:val="255"/>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Field operating costs</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(1,003)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(1,315)</w:t>
            </w:r>
          </w:p>
        </w:tc>
        <w:tc>
          <w:tcPr>
            <w:tcW w:w="0" w:type="dxa"/>
            <w:vAlign w:val="bottom"/>
          </w:tcPr>
          <w:p>
            <w:pPr>
              <w:spacing w:after="0"/>
              <w:rPr>
                <w:sz w:val="1"/>
                <w:szCs w:val="1"/>
                <w:color w:val="auto"/>
              </w:rPr>
            </w:pPr>
          </w:p>
        </w:tc>
      </w:tr>
      <w:tr>
        <w:trPr>
          <w:trHeight w:val="298"/>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Segment general and administrative expenses</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w:t>
            </w:r>
          </w:p>
        </w:tc>
        <w:tc>
          <w:tcPr>
            <w:tcW w:w="0" w:type="dxa"/>
            <w:vAlign w:val="bottom"/>
          </w:tcPr>
          <w:p>
            <w:pPr>
              <w:spacing w:after="0"/>
              <w:rPr>
                <w:sz w:val="1"/>
                <w:szCs w:val="1"/>
                <w:color w:val="auto"/>
              </w:rPr>
            </w:pPr>
          </w:p>
        </w:tc>
      </w:tr>
      <w:tr>
        <w:trPr>
          <w:trHeight w:val="254"/>
        </w:trPr>
        <w:tc>
          <w:tcPr>
            <w:tcW w:w="5120" w:type="dxa"/>
            <w:vAlign w:val="bottom"/>
            <w:gridSpan w:val="2"/>
          </w:tcPr>
          <w:p>
            <w:pPr>
              <w:ind w:left="260"/>
              <w:spacing w:after="0"/>
              <w:rPr>
                <w:sz w:val="20"/>
                <w:szCs w:val="20"/>
                <w:color w:val="auto"/>
              </w:rPr>
            </w:pPr>
            <w:r>
              <w:rPr>
                <w:rFonts w:ascii="Arial" w:cs="Arial" w:eastAsia="Arial" w:hAnsi="Arial"/>
                <w:sz w:val="20"/>
                <w:szCs w:val="20"/>
                <w:color w:val="auto"/>
              </w:rPr>
              <w:t>Total significant segment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(53,341)</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(54,816)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120" w:type="dxa"/>
            <w:vAlign w:val="bottom"/>
            <w:gridSpan w:val="2"/>
          </w:tcPr>
          <w:p>
            <w:pPr>
              <w:ind w:left="40"/>
              <w:spacing w:after="0"/>
              <w:rPr>
                <w:sz w:val="20"/>
                <w:szCs w:val="20"/>
                <w:color w:val="auto"/>
              </w:rPr>
            </w:pPr>
            <w:r>
              <w:rPr>
                <w:rFonts w:ascii="Arial" w:cs="Arial" w:eastAsia="Arial" w:hAnsi="Arial"/>
                <w:sz w:val="20"/>
                <w:szCs w:val="20"/>
                <w:color w:val="auto"/>
              </w:rPr>
              <w:t>Equity earnings in unconsolidated entities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403</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120" w:type="dxa"/>
            <w:vAlign w:val="bottom"/>
            <w:gridSpan w:val="2"/>
          </w:tcPr>
          <w:p>
            <w:pPr>
              <w:ind w:left="40"/>
              <w:spacing w:after="0"/>
              <w:rPr>
                <w:sz w:val="20"/>
                <w:szCs w:val="20"/>
                <w:color w:val="auto"/>
              </w:rPr>
            </w:pPr>
            <w:r>
              <w:rPr>
                <w:rFonts w:ascii="Arial" w:cs="Arial" w:eastAsia="Arial" w:hAnsi="Arial"/>
                <w:sz w:val="20"/>
                <w:szCs w:val="20"/>
                <w:color w:val="auto"/>
              </w:rPr>
              <w:t xml:space="preserve">Other segment items </w:t>
            </w:r>
            <w:r>
              <w:rPr>
                <w:rFonts w:ascii="Arial" w:cs="Arial" w:eastAsia="Arial" w:hAnsi="Arial"/>
                <w:sz w:val="25"/>
                <w:szCs w:val="25"/>
                <w:color w:val="auto"/>
                <w:vertAlign w:val="superscript"/>
              </w:rPr>
              <w:t>(2)</w:t>
            </w: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20" w:type="dxa"/>
            <w:vAlign w:val="bottom"/>
            <w:gridSpan w:val="2"/>
          </w:tcPr>
          <w:p>
            <w:pPr>
              <w:ind w:left="180"/>
              <w:spacing w:after="0"/>
              <w:rPr>
                <w:sz w:val="20"/>
                <w:szCs w:val="20"/>
                <w:color w:val="auto"/>
              </w:rPr>
            </w:pPr>
            <w:r>
              <w:rPr>
                <w:rFonts w:ascii="Arial" w:cs="Arial" w:eastAsia="Arial" w:hAnsi="Arial"/>
                <w:sz w:val="20"/>
                <w:szCs w:val="20"/>
                <w:color w:val="auto"/>
                <w:w w:val="94"/>
              </w:rPr>
              <w:t xml:space="preserve">Depreciation and amortization of unconsolidated entities </w:t>
            </w:r>
            <w:r>
              <w:rPr>
                <w:rFonts w:ascii="Arial" w:cs="Arial" w:eastAsia="Arial" w:hAnsi="Arial"/>
                <w:sz w:val="25"/>
                <w:szCs w:val="25"/>
                <w:color w:val="auto"/>
                <w:w w:val="94"/>
                <w:vertAlign w:val="superscript"/>
              </w:rPr>
              <w:t>(3)</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20" w:type="dxa"/>
            <w:vAlign w:val="bottom"/>
            <w:gridSpan w:val="2"/>
          </w:tcPr>
          <w:p>
            <w:pPr>
              <w:ind w:left="180"/>
              <w:spacing w:after="0"/>
              <w:rPr>
                <w:sz w:val="20"/>
                <w:szCs w:val="20"/>
                <w:color w:val="auto"/>
              </w:rPr>
            </w:pPr>
            <w:r>
              <w:rPr>
                <w:rFonts w:ascii="Arial" w:cs="Arial" w:eastAsia="Arial" w:hAnsi="Arial"/>
                <w:sz w:val="20"/>
                <w:szCs w:val="20"/>
                <w:color w:val="auto"/>
                <w:w w:val="94"/>
              </w:rPr>
              <w:t xml:space="preserve">Derivative activities and inventory valuation adjustments </w:t>
            </w:r>
            <w:r>
              <w:rPr>
                <w:rFonts w:ascii="Arial" w:cs="Arial" w:eastAsia="Arial" w:hAnsi="Arial"/>
                <w:sz w:val="25"/>
                <w:szCs w:val="25"/>
                <w:color w:val="auto"/>
                <w:w w:val="94"/>
                <w:vertAlign w:val="superscript"/>
              </w:rPr>
              <w:t>(4)</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 xml:space="preserve">Long-term inventory costing adjustments </w:t>
            </w:r>
            <w:r>
              <w:rPr>
                <w:rFonts w:ascii="Arial" w:cs="Arial" w:eastAsia="Arial" w:hAnsi="Arial"/>
                <w:sz w:val="25"/>
                <w:szCs w:val="25"/>
                <w:color w:val="auto"/>
                <w:vertAlign w:val="superscript"/>
              </w:rPr>
              <w:t>(5)</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20" w:type="dxa"/>
            <w:vAlign w:val="bottom"/>
            <w:gridSpan w:val="2"/>
          </w:tcPr>
          <w:p>
            <w:pPr>
              <w:ind w:left="180"/>
              <w:spacing w:after="0"/>
              <w:rPr>
                <w:sz w:val="20"/>
                <w:szCs w:val="20"/>
                <w:color w:val="auto"/>
              </w:rPr>
            </w:pPr>
            <w:r>
              <w:rPr>
                <w:rFonts w:ascii="Arial" w:cs="Arial" w:eastAsia="Arial" w:hAnsi="Arial"/>
                <w:sz w:val="20"/>
                <w:szCs w:val="20"/>
                <w:color w:val="auto"/>
                <w:w w:val="96"/>
              </w:rPr>
              <w:t xml:space="preserve">Deficiencies under minimum volume commitments, net </w:t>
            </w:r>
            <w:r>
              <w:rPr>
                <w:rFonts w:ascii="Arial" w:cs="Arial" w:eastAsia="Arial" w:hAnsi="Arial"/>
                <w:sz w:val="25"/>
                <w:szCs w:val="25"/>
                <w:color w:val="auto"/>
                <w:w w:val="96"/>
                <w:vertAlign w:val="superscript"/>
              </w:rPr>
              <w:t>(6)</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 xml:space="preserve">Equity-indexed compensation expense </w:t>
            </w:r>
            <w:r>
              <w:rPr>
                <w:rFonts w:ascii="Arial" w:cs="Arial" w:eastAsia="Arial" w:hAnsi="Arial"/>
                <w:sz w:val="25"/>
                <w:szCs w:val="25"/>
                <w:color w:val="auto"/>
                <w:vertAlign w:val="superscript"/>
              </w:rPr>
              <w:t>(7)</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 xml:space="preserve">Foreign currency revaluation </w:t>
            </w:r>
            <w:r>
              <w:rPr>
                <w:rFonts w:ascii="Arial" w:cs="Arial" w:eastAsia="Arial" w:hAnsi="Arial"/>
                <w:sz w:val="25"/>
                <w:szCs w:val="25"/>
                <w:color w:val="auto"/>
                <w:vertAlign w:val="superscript"/>
              </w:rPr>
              <w:t>(8)</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120" w:type="dxa"/>
            <w:vAlign w:val="bottom"/>
            <w:gridSpan w:val="2"/>
          </w:tcPr>
          <w:p>
            <w:pPr>
              <w:ind w:left="180"/>
              <w:spacing w:after="0"/>
              <w:rPr>
                <w:sz w:val="20"/>
                <w:szCs w:val="20"/>
                <w:color w:val="auto"/>
              </w:rPr>
            </w:pPr>
            <w:r>
              <w:rPr>
                <w:rFonts w:ascii="Arial" w:cs="Arial" w:eastAsia="Arial" w:hAnsi="Arial"/>
                <w:sz w:val="20"/>
                <w:szCs w:val="20"/>
                <w:color w:val="auto"/>
              </w:rPr>
              <w:t xml:space="preserve">Line 901 incident </w:t>
            </w:r>
            <w:r>
              <w:rPr>
                <w:rFonts w:ascii="Arial" w:cs="Arial" w:eastAsia="Arial" w:hAnsi="Arial"/>
                <w:sz w:val="25"/>
                <w:szCs w:val="25"/>
                <w:color w:val="auto"/>
                <w:vertAlign w:val="superscript"/>
              </w:rPr>
              <w:t>(9)</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120" w:type="dxa"/>
            <w:vAlign w:val="bottom"/>
            <w:gridSpan w:val="2"/>
          </w:tcPr>
          <w:p>
            <w:pPr>
              <w:ind w:left="180"/>
              <w:spacing w:after="0" w:line="197" w:lineRule="exact"/>
              <w:rPr>
                <w:sz w:val="20"/>
                <w:szCs w:val="20"/>
                <w:color w:val="auto"/>
              </w:rPr>
            </w:pPr>
            <w:r>
              <w:rPr>
                <w:rFonts w:ascii="Arial" w:cs="Arial" w:eastAsia="Arial" w:hAnsi="Arial"/>
                <w:sz w:val="20"/>
                <w:szCs w:val="20"/>
                <w:color w:val="auto"/>
                <w:w w:val="94"/>
              </w:rPr>
              <w:t>Segment amounts attributable to noncontrolling interests in</w:t>
            </w:r>
          </w:p>
        </w:tc>
        <w:tc>
          <w:tcPr>
            <w:tcW w:w="2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(364)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120" w:type="dxa"/>
            <w:vAlign w:val="bottom"/>
            <w:gridSpan w:val="2"/>
          </w:tcPr>
          <w:p>
            <w:pPr>
              <w:ind w:left="360"/>
              <w:spacing w:after="0" w:line="258" w:lineRule="exact"/>
              <w:rPr>
                <w:sz w:val="20"/>
                <w:szCs w:val="20"/>
                <w:color w:val="auto"/>
              </w:rPr>
            </w:pPr>
            <w:r>
              <w:rPr>
                <w:rFonts w:ascii="Arial" w:cs="Arial" w:eastAsia="Arial" w:hAnsi="Arial"/>
                <w:sz w:val="20"/>
                <w:szCs w:val="20"/>
                <w:color w:val="auto"/>
              </w:rPr>
              <w:t xml:space="preserve">consolidated joint ventures </w:t>
            </w:r>
            <w:r>
              <w:rPr>
                <w:rFonts w:ascii="Arial" w:cs="Arial" w:eastAsia="Arial" w:hAnsi="Arial"/>
                <w:sz w:val="25"/>
                <w:szCs w:val="25"/>
                <w:color w:val="auto"/>
                <w:vertAlign w:val="superscript"/>
              </w:rPr>
              <w:t>(10)</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ind w:left="280"/>
              <w:spacing w:after="0"/>
              <w:rPr>
                <w:sz w:val="20"/>
                <w:szCs w:val="20"/>
                <w:color w:val="auto"/>
              </w:rPr>
            </w:pPr>
            <w:r>
              <w:rPr>
                <w:rFonts w:ascii="Arial" w:cs="Arial" w:eastAsia="Arial" w:hAnsi="Arial"/>
                <w:sz w:val="20"/>
                <w:szCs w:val="20"/>
                <w:color w:val="auto"/>
              </w:rPr>
              <w:t>Total other segment items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(156)</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(269)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3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20" w:type="dxa"/>
            <w:vAlign w:val="bottom"/>
            <w:gridSpan w:val="2"/>
          </w:tcPr>
          <w:p>
            <w:pPr>
              <w:ind w:left="40"/>
              <w:spacing w:after="0"/>
              <w:rPr>
                <w:sz w:val="20"/>
                <w:szCs w:val="20"/>
                <w:color w:val="auto"/>
              </w:rPr>
            </w:pPr>
            <w:r>
              <w:rPr>
                <w:rFonts w:ascii="Arial" w:cs="Arial" w:eastAsia="Arial" w:hAnsi="Arial"/>
                <w:sz w:val="20"/>
                <w:szCs w:val="20"/>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1,986</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20"/>
                <w:szCs w:val="20"/>
                <w:color w:val="auto"/>
              </w:rPr>
              <w:t xml:space="preserve">Investment and acquisition capital expenditures </w:t>
            </w:r>
            <w:r>
              <w:rPr>
                <w:rFonts w:ascii="Arial" w:cs="Arial" w:eastAsia="Arial" w:hAnsi="Arial"/>
                <w:sz w:val="25"/>
                <w:szCs w:val="25"/>
                <w:color w:val="auto"/>
                <w:vertAlign w:val="superscript"/>
              </w:rPr>
              <w:t>(11) (12)</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20" w:type="dxa"/>
            <w:vAlign w:val="bottom"/>
            <w:gridSpan w:val="2"/>
            <w:vMerge w:val="continue"/>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461</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20"/>
                <w:szCs w:val="20"/>
                <w:color w:val="auto"/>
              </w:rPr>
              <w:t xml:space="preserve">Maintenance capital expenditures </w:t>
            </w:r>
            <w:r>
              <w:rPr>
                <w:rFonts w:ascii="Arial" w:cs="Arial" w:eastAsia="Arial" w:hAnsi="Arial"/>
                <w:sz w:val="25"/>
                <w:szCs w:val="25"/>
                <w:color w:val="auto"/>
                <w:vertAlign w:val="superscript"/>
              </w:rPr>
              <w:t>(12)</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gridSpan w:val="2"/>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112</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211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As of December 31, 2022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120" w:type="dxa"/>
            <w:vAlign w:val="bottom"/>
            <w:gridSpan w:val="2"/>
          </w:tcPr>
          <w:p>
            <w:pPr>
              <w:ind w:left="40"/>
              <w:spacing w:after="0"/>
              <w:rPr>
                <w:sz w:val="20"/>
                <w:szCs w:val="20"/>
                <w:color w:val="auto"/>
              </w:rPr>
            </w:pPr>
            <w:r>
              <w:rPr>
                <w:rFonts w:ascii="Arial" w:cs="Arial" w:eastAsia="Arial" w:hAnsi="Arial"/>
                <w:sz w:val="20"/>
                <w:szCs w:val="20"/>
                <w:color w:val="auto"/>
              </w:rPr>
              <w:t>Investments in unconsolidated entities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3,084</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3,084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2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-6185535</wp:posOffset>
            </wp:positionV>
            <wp:extent cx="6410325" cy="60960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4">
                      <a:extLst>
                        <a:ext uri="{28A0092B-C50C-407E-A947-70E740481C1C}"/>
                      </a:extLst>
                    </a:blip>
                    <a:srcRect/>
                    <a:stretch>
                      <a:fillRect/>
                    </a:stretch>
                  </pic:blipFill>
                  <pic:spPr bwMode="auto">
                    <a:xfrm>
                      <a:off x="0" y="0"/>
                      <a:ext cx="6410325" cy="6096000"/>
                    </a:xfrm>
                    <a:prstGeom prst="rect">
                      <a:avLst/>
                    </a:prstGeom>
                    <a:noFill/>
                  </pic:spPr>
                </pic:pic>
              </a:graphicData>
            </a:graphic>
          </wp:anchor>
        </w:drawing>
      </w:r>
    </w:p>
    <w:p>
      <w:pPr>
        <w:sectPr>
          <w:pgSz w:w="11880" w:h="15480" w:orient="portrait"/>
          <w:cols w:equalWidth="0" w:num="1">
            <w:col w:w="10040"/>
          </w:cols>
          <w:pgMar w:left="920" w:top="337" w:right="920" w:bottom="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280"/>
        <w:spacing w:after="0" w:line="325" w:lineRule="auto"/>
        <w:rPr>
          <w:sz w:val="20"/>
          <w:szCs w:val="20"/>
          <w:color w:val="auto"/>
        </w:rPr>
      </w:pPr>
      <w:r>
        <w:rPr>
          <w:rFonts w:ascii="Arial" w:cs="Arial" w:eastAsia="Arial" w:hAnsi="Arial"/>
          <w:sz w:val="17"/>
          <w:szCs w:val="17"/>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Represents adjustments utilized by our CODM in the evaluation of segment results.</w:t>
      </w:r>
    </w:p>
    <w:p>
      <w:pPr>
        <w:spacing w:after="0" w:line="123" w:lineRule="exact"/>
        <w:rPr>
          <w:sz w:val="20"/>
          <w:szCs w:val="20"/>
          <w:color w:val="auto"/>
        </w:rPr>
      </w:pPr>
    </w:p>
    <w:p>
      <w:pPr>
        <w:ind w:right="580"/>
        <w:spacing w:after="0" w:line="271" w:lineRule="auto"/>
        <w:rPr>
          <w:sz w:val="20"/>
          <w:szCs w:val="20"/>
          <w:color w:val="auto"/>
        </w:rPr>
      </w:pPr>
      <w:r>
        <w:rPr>
          <w:rFonts w:ascii="Arial" w:cs="Arial" w:eastAsia="Arial" w:hAnsi="Arial"/>
          <w:sz w:val="20"/>
          <w:szCs w:val="20"/>
          <w:color w:val="auto"/>
        </w:rPr>
        <w:t>Includes our proportionate share of the depreciation and amortization expense (including write-downs related to cancelled projects and impairments) of unconsolidated entities.</w:t>
      </w:r>
    </w:p>
    <w:p>
      <w:pPr>
        <w:spacing w:after="0" w:line="69"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w:t>
      </w:r>
    </w:p>
    <w:p>
      <w:pPr>
        <w:spacing w:after="0" w:line="200" w:lineRule="exact"/>
        <w:rPr>
          <w:sz w:val="20"/>
          <w:szCs w:val="20"/>
          <w:color w:val="auto"/>
        </w:rPr>
      </w:pPr>
    </w:p>
    <w:p>
      <w:pPr>
        <w:sectPr>
          <w:pgSz w:w="11880" w:h="15480" w:orient="portrait"/>
          <w:cols w:equalWidth="0" w:num="2">
            <w:col w:w="140" w:space="560"/>
            <w:col w:w="9340"/>
          </w:cols>
          <w:pgMar w:left="920" w:top="337" w:right="920" w:bottom="0" w:gutter="0" w:footer="0" w:header="0"/>
          <w:type w:val="continuous"/>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ectPr>
          <w:pgSz w:w="11880" w:h="15480" w:orient="portrait"/>
          <w:cols w:equalWidth="0" w:num="1">
            <w:col w:w="10040"/>
          </w:cols>
          <w:pgMar w:left="920" w:top="337" w:right="920" w:bottom="0" w:gutter="0" w:footer="0" w:header="0"/>
          <w:type w:val="continuous"/>
        </w:sectPr>
      </w:pPr>
    </w:p>
    <w:bookmarkStart w:id="165" w:name="page166"/>
    <w:bookmarkEnd w:id="165"/>
    <w:p>
      <w:pPr>
        <w:jc w:val="center"/>
        <w:ind w:right="-2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26"/>
        <w:spacing w:after="0"/>
        <w:rPr>
          <w:sz w:val="20"/>
          <w:szCs w:val="20"/>
          <w:color w:val="auto"/>
        </w:rPr>
      </w:pPr>
      <w:r>
        <w:rPr>
          <w:rFonts w:ascii="Arial" w:cs="Arial" w:eastAsia="Arial" w:hAnsi="Arial"/>
          <w:sz w:val="19"/>
          <w:szCs w:val="19"/>
          <w:b w:val="1"/>
          <w:bCs w:val="1"/>
          <w:color w:val="auto"/>
        </w:rPr>
        <w:t>NOTES TO THE CONSOLIDATED FINANCIAL STATEMENTS</w:t>
      </w:r>
    </w:p>
    <w:p>
      <w:pPr>
        <w:sectPr>
          <w:pgSz w:w="11880" w:h="15480" w:orient="portrait"/>
          <w:cols w:equalWidth="0" w:num="1">
            <w:col w:w="10027"/>
          </w:cols>
          <w:pgMar w:left="913" w:top="33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color w:val="auto"/>
        </w:rPr>
        <w:t>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42"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82"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58" w:lineRule="exact"/>
        <w:rPr>
          <w:sz w:val="20"/>
          <w:szCs w:val="20"/>
          <w:color w:val="auto"/>
        </w:rPr>
      </w:pPr>
    </w:p>
    <w:p>
      <w:pPr>
        <w:sectPr>
          <w:pgSz w:w="11880" w:h="15480" w:orient="portrait"/>
          <w:cols w:equalWidth="0" w:num="2">
            <w:col w:w="147" w:space="560"/>
            <w:col w:w="9320"/>
          </w:cols>
          <w:pgMar w:left="913" w:top="337" w:right="940" w:bottom="0" w:gutter="0" w:footer="0" w:header="0"/>
          <w:type w:val="continuous"/>
        </w:sectPr>
      </w:pPr>
    </w:p>
    <w:p>
      <w:pPr>
        <w:ind w:left="707" w:hanging="707"/>
        <w:spacing w:after="0" w:line="300" w:lineRule="auto"/>
        <w:tabs>
          <w:tab w:leader="none" w:pos="707" w:val="left"/>
        </w:tabs>
        <w:numPr>
          <w:ilvl w:val="0"/>
          <w:numId w:val="106"/>
        </w:numPr>
        <w:rPr>
          <w:rFonts w:ascii="Arial" w:cs="Arial" w:eastAsia="Arial" w:hAnsi="Arial"/>
          <w:sz w:val="12"/>
          <w:szCs w:val="12"/>
          <w:color w:val="auto"/>
        </w:rPr>
      </w:pPr>
      <w:r>
        <w:rPr>
          <w:rFonts w:ascii="Arial" w:cs="Arial" w:eastAsia="Arial" w:hAnsi="Arial"/>
          <w:sz w:val="17"/>
          <w:szCs w:val="17"/>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17 for information regarding our equity-indexed compensation plans.</w:t>
      </w:r>
    </w:p>
    <w:p>
      <w:pPr>
        <w:spacing w:after="0" w:line="53" w:lineRule="exact"/>
        <w:rPr>
          <w:rFonts w:ascii="Arial" w:cs="Arial" w:eastAsia="Arial" w:hAnsi="Arial"/>
          <w:sz w:val="12"/>
          <w:szCs w:val="12"/>
          <w:color w:val="auto"/>
        </w:rPr>
      </w:pPr>
    </w:p>
    <w:p>
      <w:pPr>
        <w:ind w:left="707" w:right="220" w:hanging="707"/>
        <w:spacing w:after="0" w:line="266" w:lineRule="auto"/>
        <w:tabs>
          <w:tab w:leader="none" w:pos="707"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77" w:lineRule="exact"/>
        <w:rPr>
          <w:rFonts w:ascii="Arial" w:cs="Arial" w:eastAsia="Arial" w:hAnsi="Arial"/>
          <w:sz w:val="23"/>
          <w:szCs w:val="23"/>
          <w:color w:val="auto"/>
          <w:vertAlign w:val="superscript"/>
        </w:rPr>
      </w:pPr>
    </w:p>
    <w:p>
      <w:pPr>
        <w:ind w:left="707" w:right="20" w:hanging="707"/>
        <w:spacing w:after="0" w:line="266" w:lineRule="auto"/>
        <w:tabs>
          <w:tab w:leader="none" w:pos="707"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(as applicable). The year ended December 31, 2024 includes the write-off of a receivable for Line 901 insurance proceeds in the fourth quarter of 2024 and the impact of settlements in the third quarter of 2024. See Note 18 for additional information regarding the Line 901 incident.</w:t>
      </w:r>
    </w:p>
    <w:p>
      <w:pPr>
        <w:spacing w:after="0" w:line="77" w:lineRule="exact"/>
        <w:rPr>
          <w:rFonts w:ascii="Arial" w:cs="Arial" w:eastAsia="Arial" w:hAnsi="Arial"/>
          <w:sz w:val="23"/>
          <w:szCs w:val="23"/>
          <w:color w:val="auto"/>
          <w:vertAlign w:val="superscript"/>
        </w:rPr>
      </w:pPr>
    </w:p>
    <w:p>
      <w:pPr>
        <w:ind w:left="707" w:right="40" w:hanging="707"/>
        <w:spacing w:after="0" w:line="227" w:lineRule="auto"/>
        <w:tabs>
          <w:tab w:leader="none" w:pos="707" w:val="left"/>
        </w:tabs>
        <w:numPr>
          <w:ilvl w:val="0"/>
          <w:numId w:val="106"/>
        </w:numPr>
        <w:rPr>
          <w:rFonts w:ascii="Arial" w:cs="Arial" w:eastAsia="Arial" w:hAnsi="Arial"/>
          <w:sz w:val="25"/>
          <w:szCs w:val="25"/>
          <w:color w:val="auto"/>
          <w:vertAlign w:val="superscript"/>
        </w:rPr>
      </w:pPr>
      <w:r>
        <w:rPr>
          <w:rFonts w:ascii="Arial" w:cs="Arial" w:eastAsia="Arial" w:hAnsi="Arial"/>
          <w:sz w:val="20"/>
          <w:szCs w:val="20"/>
          <w:color w:val="auto"/>
        </w:rPr>
        <w:t>Reflects amounts attributable to noncontrolling interests in the Permian JV, Cactus II (beginning November 2022) and Red River.</w:t>
      </w:r>
    </w:p>
    <w:p>
      <w:pPr>
        <w:sectPr>
          <w:pgSz w:w="11880" w:h="15480" w:orient="portrait"/>
          <w:cols w:equalWidth="0" w:num="1">
            <w:col w:w="10027"/>
          </w:cols>
          <w:pgMar w:left="913" w:top="337" w:right="940" w:bottom="0" w:gutter="0" w:footer="0" w:header="0"/>
          <w:type w:val="continuous"/>
        </w:sectPr>
      </w:pPr>
    </w:p>
    <w:p>
      <w:pPr>
        <w:spacing w:after="0" w:line="80" w:lineRule="exact"/>
        <w:rPr>
          <w:sz w:val="20"/>
          <w:szCs w:val="20"/>
          <w:color w:val="auto"/>
        </w:rPr>
      </w:pPr>
    </w:p>
    <w:p>
      <w:pPr>
        <w:ind w:left="7"/>
        <w:spacing w:after="0"/>
        <w:rPr>
          <w:sz w:val="20"/>
          <w:szCs w:val="20"/>
          <w:color w:val="auto"/>
        </w:rPr>
      </w:pPr>
      <w:r>
        <w:rPr>
          <w:rFonts w:ascii="Arial" w:cs="Arial" w:eastAsia="Arial" w:hAnsi="Arial"/>
          <w:sz w:val="11"/>
          <w:szCs w:val="11"/>
          <w:color w:val="auto"/>
        </w:rPr>
        <w:t>(11)</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Investment capital and acquisition capital expenditures, including investments in unconsolidated entities.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These amounts combined represent total capital expenditures.</w:t>
      </w:r>
    </w:p>
    <w:p>
      <w:pPr>
        <w:spacing w:after="0" w:line="123" w:lineRule="exact"/>
        <w:rPr>
          <w:sz w:val="20"/>
          <w:szCs w:val="20"/>
          <w:color w:val="auto"/>
        </w:rPr>
      </w:pPr>
    </w:p>
    <w:p>
      <w:pPr>
        <w:sectPr>
          <w:pgSz w:w="11880" w:h="15480" w:orient="portrait"/>
          <w:cols w:equalWidth="0" w:num="2">
            <w:col w:w="207" w:space="500"/>
            <w:col w:w="9320"/>
          </w:cols>
          <w:pgMar w:left="913" w:top="337" w:right="940" w:bottom="0" w:gutter="0" w:footer="0" w:header="0"/>
          <w:type w:val="continuous"/>
        </w:sectPr>
      </w:pPr>
    </w:p>
    <w:p>
      <w:pPr>
        <w:jc w:val="both"/>
        <w:ind w:left="707" w:right="140" w:hanging="707"/>
        <w:spacing w:after="0" w:line="235" w:lineRule="auto"/>
        <w:tabs>
          <w:tab w:leader="none" w:pos="707" w:val="left"/>
        </w:tabs>
        <w:numPr>
          <w:ilvl w:val="0"/>
          <w:numId w:val="107"/>
        </w:numPr>
        <w:rPr>
          <w:rFonts w:ascii="Arial" w:cs="Arial" w:eastAsia="Arial" w:hAnsi="Arial"/>
          <w:sz w:val="25"/>
          <w:szCs w:val="25"/>
          <w:color w:val="auto"/>
          <w:vertAlign w:val="superscript"/>
        </w:rPr>
      </w:pPr>
      <w:r>
        <w:rPr>
          <w:rFonts w:ascii="Arial" w:cs="Arial" w:eastAsia="Arial" w:hAnsi="Arial"/>
          <w:sz w:val="20"/>
          <w:szCs w:val="20"/>
          <w:color w:val="auto"/>
        </w:rPr>
        <w:t>Includes expenses associated with the Rattler Permian Transaction in 2023. See Note 7 for additional discussion. An adjustment for these non-recurring expenses is included in the calculation of Segment Adjusted EBITDA for the year ended December 31, 2023 as our CODM does not view such expenses as integral to understanding our core segment operating performance.</w:t>
      </w:r>
    </w:p>
    <w:p>
      <w:pPr>
        <w:sectPr>
          <w:pgSz w:w="11880" w:h="15480" w:orient="portrait"/>
          <w:cols w:equalWidth="0" w:num="1">
            <w:col w:w="10027"/>
          </w:cols>
          <w:pgMar w:left="913" w:top="337"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6"/>
        <w:spacing w:after="0"/>
        <w:rPr>
          <w:sz w:val="20"/>
          <w:szCs w:val="20"/>
          <w:color w:val="auto"/>
        </w:rPr>
      </w:pPr>
      <w:r>
        <w:rPr>
          <w:rFonts w:ascii="Arial" w:cs="Arial" w:eastAsia="Arial" w:hAnsi="Arial"/>
          <w:sz w:val="17"/>
          <w:szCs w:val="17"/>
          <w:color w:val="auto"/>
        </w:rPr>
        <w:t>F-60</w:t>
      </w:r>
    </w:p>
    <w:p>
      <w:pPr>
        <w:sectPr>
          <w:pgSz w:w="11880" w:h="15480" w:orient="portrait"/>
          <w:cols w:equalWidth="0" w:num="1">
            <w:col w:w="10027"/>
          </w:cols>
          <w:pgMar w:left="913" w:top="337" w:right="940" w:bottom="0" w:gutter="0" w:footer="0" w:header="0"/>
          <w:type w:val="continuous"/>
        </w:sectPr>
      </w:pPr>
    </w:p>
    <w:bookmarkStart w:id="166" w:name="page167"/>
    <w:bookmarkEnd w:id="166"/>
    <w:p>
      <w:pPr>
        <w:jc w:val="center"/>
        <w:ind w:right="-6"/>
        <w:spacing w:after="0"/>
        <w:rPr>
          <w:sz w:val="20"/>
          <w:szCs w:val="20"/>
          <w:color w:val="auto"/>
        </w:rPr>
      </w:pPr>
      <w:r>
        <w:rPr>
          <w:rFonts w:ascii="Arial" w:cs="Arial" w:eastAsia="Arial" w:hAnsi="Arial"/>
          <w:sz w:val="20"/>
          <w:szCs w:val="20"/>
          <w:b w:val="1"/>
          <w:bCs w:val="1"/>
          <w:color w:val="auto"/>
        </w:rPr>
        <w:t>PLAINS GP HOLDINGS, L.P.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Segment Adjusted EBITDA Reconciliation</w:t>
      </w:r>
    </w:p>
    <w:p>
      <w:pPr>
        <w:spacing w:after="0" w:line="248" w:lineRule="exact"/>
        <w:rPr>
          <w:sz w:val="20"/>
          <w:szCs w:val="20"/>
          <w:color w:val="auto"/>
        </w:rPr>
      </w:pPr>
    </w:p>
    <w:p>
      <w:pPr>
        <w:jc w:val="center"/>
        <w:ind w:right="73"/>
        <w:spacing w:after="0"/>
        <w:rPr>
          <w:sz w:val="20"/>
          <w:szCs w:val="20"/>
          <w:color w:val="auto"/>
        </w:rPr>
      </w:pPr>
      <w:r>
        <w:rPr>
          <w:rFonts w:ascii="Arial" w:cs="Arial" w:eastAsia="Arial" w:hAnsi="Arial"/>
          <w:sz w:val="20"/>
          <w:szCs w:val="20"/>
          <w:color w:val="auto"/>
        </w:rPr>
        <w:t>The following table reconciles Segment Adjusted EBITDA to Net income attributable to PAGP (in millions):</w:t>
      </w:r>
    </w:p>
    <w:p>
      <w:pPr>
        <w:spacing w:after="0" w:line="328"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30"/>
        </w:trPr>
        <w:tc>
          <w:tcPr>
            <w:tcW w:w="32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2022</w:t>
            </w:r>
          </w:p>
        </w:tc>
      </w:tr>
      <w:tr>
        <w:trPr>
          <w:trHeight w:val="270"/>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Segment Adjusted EBITDA</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2,756</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2,685</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2,504</w:t>
            </w:r>
          </w:p>
        </w:tc>
      </w:tr>
      <w:tr>
        <w:trPr>
          <w:trHeight w:val="302"/>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 xml:space="preserve">Total other segment items </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425</w:t>
            </w:r>
          </w:p>
        </w:tc>
      </w:tr>
      <w:tr>
        <w:trPr>
          <w:trHeight w:val="312"/>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 xml:space="preserve">Unallocated general and administrative expenses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68"/>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Depreciation and amortization</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(1,026)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(1,051)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(968)</w:t>
            </w:r>
          </w:p>
        </w:tc>
      </w:tr>
      <w:tr>
        <w:trPr>
          <w:trHeight w:val="294"/>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Gains/(losses) on asset sales, asset impairments and other, net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(269)</w:t>
            </w:r>
          </w:p>
        </w:tc>
      </w:tr>
      <w:tr>
        <w:trPr>
          <w:trHeight w:val="294"/>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Gain on investments in unconsolidated entities, net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346</w:t>
            </w:r>
          </w:p>
        </w:tc>
      </w:tr>
      <w:tr>
        <w:trPr>
          <w:trHeight w:val="294"/>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Interest expense, net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(405)</w:t>
            </w:r>
          </w:p>
        </w:tc>
      </w:tr>
      <w:tr>
        <w:trPr>
          <w:trHeight w:val="298"/>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Other income/(expense), net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w:t>
            </w:r>
          </w:p>
        </w:tc>
      </w:tr>
      <w:tr>
        <w:trPr>
          <w:trHeight w:val="270"/>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Income before tax</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1,274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1,614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1,409</w:t>
            </w:r>
          </w:p>
        </w:tc>
      </w:tr>
      <w:tr>
        <w:trPr>
          <w:trHeight w:val="298"/>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Income tax expense</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w:t>
            </w:r>
          </w:p>
        </w:tc>
      </w:tr>
      <w:tr>
        <w:trPr>
          <w:trHeight w:val="270"/>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Net income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1,070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1,425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1,163</w:t>
            </w:r>
          </w:p>
        </w:tc>
      </w:tr>
      <w:tr>
        <w:trPr>
          <w:trHeight w:val="298"/>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Net income attributable to noncontrolling interests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(995)</w:t>
            </w:r>
          </w:p>
        </w:tc>
      </w:tr>
      <w:tr>
        <w:trPr>
          <w:trHeight w:val="254"/>
        </w:trPr>
        <w:tc>
          <w:tcPr>
            <w:tcW w:w="6280" w:type="dxa"/>
            <w:vAlign w:val="bottom"/>
            <w:gridSpan w:val="2"/>
          </w:tcPr>
          <w:p>
            <w:pPr>
              <w:ind w:left="140"/>
              <w:spacing w:after="0"/>
              <w:rPr>
                <w:sz w:val="20"/>
                <w:szCs w:val="20"/>
                <w:color w:val="auto"/>
              </w:rPr>
            </w:pPr>
            <w:r>
              <w:rPr>
                <w:rFonts w:ascii="Arial" w:cs="Arial" w:eastAsia="Arial" w:hAnsi="Arial"/>
                <w:sz w:val="20"/>
                <w:szCs w:val="20"/>
                <w:color w:val="auto"/>
              </w:rPr>
              <w:t>Net income attributable to PAGP</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198</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168</w:t>
            </w:r>
          </w:p>
        </w:tc>
      </w:tr>
      <w:tr>
        <w:trPr>
          <w:trHeight w:val="20"/>
        </w:trPr>
        <w:tc>
          <w:tcPr>
            <w:tcW w:w="3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22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-2554605</wp:posOffset>
            </wp:positionV>
            <wp:extent cx="6289040" cy="2465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5">
                      <a:extLst>
                        <a:ext uri="{28A0092B-C50C-407E-A947-70E740481C1C}"/>
                      </a:extLst>
                    </a:blip>
                    <a:srcRect/>
                    <a:stretch>
                      <a:fillRect/>
                    </a:stretch>
                  </pic:blipFill>
                  <pic:spPr bwMode="auto">
                    <a:xfrm>
                      <a:off x="0" y="0"/>
                      <a:ext cx="6289040" cy="2465070"/>
                    </a:xfrm>
                    <a:prstGeom prst="rect">
                      <a:avLst/>
                    </a:prstGeom>
                    <a:noFill/>
                  </pic:spPr>
                </pic:pic>
              </a:graphicData>
            </a:graphic>
          </wp:anchor>
        </w:drawing>
      </w:r>
    </w:p>
    <w:p>
      <w:pPr>
        <w:sectPr>
          <w:pgSz w:w="11880" w:h="15480" w:orient="portrait"/>
          <w:cols w:equalWidth="0" w:num="1">
            <w:col w:w="10047"/>
          </w:cols>
          <w:pgMar w:left="913" w:top="337" w:right="920" w:bottom="0" w:gutter="0" w:footer="0" w:header="0"/>
        </w:sectPr>
      </w:pPr>
    </w:p>
    <w:p>
      <w:pPr>
        <w:spacing w:after="0" w:line="68" w:lineRule="exact"/>
        <w:rPr>
          <w:sz w:val="20"/>
          <w:szCs w:val="20"/>
          <w:color w:val="auto"/>
        </w:rPr>
      </w:pPr>
    </w:p>
    <w:p>
      <w:pPr>
        <w:ind w:left="7"/>
        <w:spacing w:after="0"/>
        <w:rPr>
          <w:sz w:val="20"/>
          <w:szCs w:val="20"/>
          <w:color w:val="auto"/>
        </w:rPr>
      </w:pPr>
      <w:r>
        <w:rPr>
          <w:rFonts w:ascii="Arial" w:cs="Arial" w:eastAsia="Arial" w:hAnsi="Arial"/>
          <w:sz w:val="11"/>
          <w:szCs w:val="11"/>
          <w:color w:val="auto"/>
        </w:rPr>
        <w:t>(1)</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See footnotes to the segment financial data tables above for a more detailed discussion of Other segment items.</w:t>
      </w:r>
    </w:p>
    <w:p>
      <w:pPr>
        <w:spacing w:after="0" w:line="99"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ectPr>
          <w:pgSz w:w="11880" w:h="15480" w:orient="portrait"/>
          <w:cols w:equalWidth="0" w:num="2">
            <w:col w:w="147" w:space="560"/>
            <w:col w:w="9340"/>
          </w:cols>
          <w:pgMar w:left="913" w:top="337" w:right="920" w:bottom="0" w:gutter="0" w:footer="0" w:header="0"/>
          <w:type w:val="continuous"/>
        </w:sectPr>
      </w:pPr>
    </w:p>
    <w:p>
      <w:pPr>
        <w:spacing w:after="0" w:line="3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Geographic Data</w:t>
      </w:r>
    </w:p>
    <w:p>
      <w:pPr>
        <w:spacing w:after="0" w:line="248" w:lineRule="exact"/>
        <w:rPr>
          <w:sz w:val="20"/>
          <w:szCs w:val="20"/>
          <w:color w:val="auto"/>
        </w:rPr>
      </w:pPr>
    </w:p>
    <w:p>
      <w:pPr>
        <w:ind w:left="7" w:right="60" w:firstLine="706"/>
        <w:spacing w:after="0" w:line="271" w:lineRule="auto"/>
        <w:rPr>
          <w:sz w:val="20"/>
          <w:szCs w:val="20"/>
          <w:color w:val="auto"/>
        </w:rPr>
      </w:pPr>
      <w:r>
        <w:rPr>
          <w:rFonts w:ascii="Arial" w:cs="Arial" w:eastAsia="Arial" w:hAnsi="Arial"/>
          <w:sz w:val="20"/>
          <w:szCs w:val="20"/>
          <w:color w:val="auto"/>
        </w:rPr>
        <w:t>We have operations in the United States and Canada. Set forth below are revenues and long-lived assets attributable to these geographic areas (in millions):</w:t>
      </w:r>
    </w:p>
    <w:p>
      <w:pPr>
        <w:spacing w:after="0" w:line="259"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5"/>
        </w:trPr>
        <w:tc>
          <w:tcPr>
            <w:tcW w:w="6000" w:type="dxa"/>
            <w:vAlign w:val="bottom"/>
            <w:tcBorders>
              <w:bottom w:val="single" w:sz="8" w:color="auto"/>
            </w:tcBorders>
            <w:gridSpan w:val="2"/>
          </w:tcPr>
          <w:p>
            <w:pPr>
              <w:ind w:left="60"/>
              <w:spacing w:after="0" w:line="215" w:lineRule="exact"/>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20"/>
                <w:szCs w:val="20"/>
                <w:b w:val="1"/>
                <w:bCs w:val="1"/>
                <w:color w:val="auto"/>
                <w:vertAlign w:val="superscript"/>
              </w:rPr>
              <w:t>(1)</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2022</w:t>
            </w:r>
          </w:p>
        </w:tc>
      </w:tr>
      <w:tr>
        <w:trPr>
          <w:trHeight w:val="257"/>
        </w:trPr>
        <w:tc>
          <w:tcPr>
            <w:tcW w:w="6040" w:type="dxa"/>
            <w:vAlign w:val="bottom"/>
            <w:gridSpan w:val="3"/>
          </w:tcPr>
          <w:p>
            <w:pPr>
              <w:ind w:left="60"/>
              <w:spacing w:after="0"/>
              <w:rPr>
                <w:sz w:val="20"/>
                <w:szCs w:val="20"/>
                <w:color w:val="auto"/>
              </w:rPr>
            </w:pPr>
            <w:r>
              <w:rPr>
                <w:rFonts w:ascii="Arial" w:cs="Arial" w:eastAsia="Arial" w:hAnsi="Arial"/>
                <w:sz w:val="20"/>
                <w:szCs w:val="20"/>
                <w:color w:val="auto"/>
              </w:rPr>
              <w:t>United States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44,138</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42,308</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46,903</w:t>
            </w:r>
          </w:p>
        </w:tc>
      </w:tr>
      <w:tr>
        <w:trPr>
          <w:trHeight w:val="281"/>
        </w:trPr>
        <w:tc>
          <w:tcPr>
            <w:tcW w:w="6040" w:type="dxa"/>
            <w:vAlign w:val="bottom"/>
            <w:gridSpan w:val="3"/>
          </w:tcPr>
          <w:p>
            <w:pPr>
              <w:ind w:left="60"/>
              <w:spacing w:after="0"/>
              <w:rPr>
                <w:sz w:val="20"/>
                <w:szCs w:val="20"/>
                <w:color w:val="auto"/>
              </w:rPr>
            </w:pPr>
            <w:r>
              <w:rPr>
                <w:rFonts w:ascii="Arial" w:cs="Arial" w:eastAsia="Arial" w:hAnsi="Arial"/>
                <w:sz w:val="20"/>
                <w:szCs w:val="20"/>
                <w:color w:val="auto"/>
              </w:rPr>
              <w:t>Canada</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6,404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10,439</w:t>
            </w:r>
          </w:p>
        </w:tc>
      </w:tr>
      <w:tr>
        <w:trPr>
          <w:trHeight w:val="240"/>
        </w:trPr>
        <w:tc>
          <w:tcPr>
            <w:tcW w:w="3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50,073</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48,712</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57,342</w:t>
            </w:r>
          </w:p>
        </w:tc>
      </w:tr>
      <w:tr>
        <w:trPr>
          <w:trHeight w:val="20"/>
        </w:trPr>
        <w:tc>
          <w:tcPr>
            <w:tcW w:w="3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220" w:type="dxa"/>
            <w:vAlign w:val="bottom"/>
            <w:tcBorders>
              <w:bottom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-659130</wp:posOffset>
            </wp:positionV>
            <wp:extent cx="6391275" cy="2025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6">
                      <a:extLst>
                        <a:ext uri="{28A0092B-C50C-407E-A947-70E740481C1C}"/>
                      </a:extLst>
                    </a:blip>
                    <a:srcRect/>
                    <a:stretch>
                      <a:fillRect/>
                    </a:stretch>
                  </pic:blipFill>
                  <pic:spPr bwMode="auto">
                    <a:xfrm>
                      <a:off x="0" y="0"/>
                      <a:ext cx="6391275" cy="2025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-304800</wp:posOffset>
            </wp:positionV>
            <wp:extent cx="6391275" cy="2152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7">
                      <a:extLst>
                        <a:ext uri="{28A0092B-C50C-407E-A947-70E740481C1C}"/>
                      </a:extLst>
                    </a:blip>
                    <a:srcRect/>
                    <a:stretch>
                      <a:fillRect/>
                    </a:stretch>
                  </pic:blipFill>
                  <pic:spPr bwMode="auto">
                    <a:xfrm>
                      <a:off x="0" y="0"/>
                      <a:ext cx="6391275" cy="215265"/>
                    </a:xfrm>
                    <a:prstGeom prst="rect">
                      <a:avLst/>
                    </a:prstGeom>
                    <a:noFill/>
                  </pic:spPr>
                </pic:pic>
              </a:graphicData>
            </a:graphic>
          </wp:anchor>
        </w:drawing>
      </w:r>
    </w:p>
    <w:p>
      <w:pPr>
        <w:spacing w:after="0" w:line="56" w:lineRule="exact"/>
        <w:rPr>
          <w:sz w:val="20"/>
          <w:szCs w:val="20"/>
          <w:color w:val="auto"/>
        </w:rPr>
      </w:pPr>
    </w:p>
    <w:p>
      <w:pPr>
        <w:ind w:left="707" w:hanging="707"/>
        <w:spacing w:after="0"/>
        <w:tabs>
          <w:tab w:leader="none" w:pos="707" w:val="left"/>
        </w:tabs>
        <w:numPr>
          <w:ilvl w:val="0"/>
          <w:numId w:val="108"/>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30"/>
        </w:trPr>
        <w:tc>
          <w:tcPr>
            <w:tcW w:w="73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w w:val="89"/>
              </w:rPr>
              <w:t>2023</w:t>
            </w:r>
          </w:p>
        </w:tc>
      </w:tr>
      <w:tr>
        <w:trPr>
          <w:trHeight w:val="270"/>
        </w:trPr>
        <w:tc>
          <w:tcPr>
            <w:tcW w:w="7400" w:type="dxa"/>
            <w:vAlign w:val="bottom"/>
            <w:gridSpan w:val="3"/>
          </w:tcPr>
          <w:p>
            <w:pPr>
              <w:ind w:left="60"/>
              <w:spacing w:after="0"/>
              <w:rPr>
                <w:sz w:val="20"/>
                <w:szCs w:val="20"/>
                <w:color w:val="auto"/>
              </w:rPr>
            </w:pPr>
            <w:r>
              <w:rPr>
                <w:rFonts w:ascii="Arial" w:cs="Arial" w:eastAsia="Arial" w:hAnsi="Arial"/>
                <w:sz w:val="20"/>
                <w:szCs w:val="20"/>
                <w:color w:val="auto"/>
              </w:rPr>
              <w:t>United States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18,071</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18,591</w:t>
            </w:r>
          </w:p>
        </w:tc>
      </w:tr>
      <w:tr>
        <w:trPr>
          <w:trHeight w:val="298"/>
        </w:trPr>
        <w:tc>
          <w:tcPr>
            <w:tcW w:w="7400" w:type="dxa"/>
            <w:vAlign w:val="bottom"/>
            <w:gridSpan w:val="3"/>
          </w:tcPr>
          <w:p>
            <w:pPr>
              <w:ind w:left="60"/>
              <w:spacing w:after="0"/>
              <w:rPr>
                <w:sz w:val="20"/>
                <w:szCs w:val="20"/>
                <w:color w:val="auto"/>
              </w:rPr>
            </w:pPr>
            <w:r>
              <w:rPr>
                <w:rFonts w:ascii="Arial" w:cs="Arial" w:eastAsia="Arial" w:hAnsi="Arial"/>
                <w:sz w:val="20"/>
                <w:szCs w:val="20"/>
                <w:color w:val="auto"/>
              </w:rPr>
              <w:t>Canada</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3,647</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3,820</w:t>
            </w:r>
          </w:p>
        </w:tc>
      </w:tr>
      <w:tr>
        <w:trPr>
          <w:trHeight w:val="254"/>
        </w:trPr>
        <w:tc>
          <w:tcPr>
            <w:tcW w:w="32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21,718</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22,411</w:t>
            </w:r>
          </w:p>
        </w:tc>
      </w:tr>
      <w:tr>
        <w:trPr>
          <w:trHeight w:val="20"/>
        </w:trPr>
        <w:tc>
          <w:tcPr>
            <w:tcW w:w="3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322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-687705</wp:posOffset>
            </wp:positionV>
            <wp:extent cx="6400800" cy="2120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8">
                      <a:extLst>
                        <a:ext uri="{28A0092B-C50C-407E-A947-70E740481C1C}"/>
                      </a:extLst>
                    </a:blip>
                    <a:srcRect/>
                    <a:stretch>
                      <a:fillRect/>
                    </a:stretch>
                  </pic:blipFill>
                  <pic:spPr bwMode="auto">
                    <a:xfrm>
                      <a:off x="0" y="0"/>
                      <a:ext cx="6400800" cy="2120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-313690</wp:posOffset>
            </wp:positionV>
            <wp:extent cx="6400800" cy="2247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9">
                      <a:extLst>
                        <a:ext uri="{28A0092B-C50C-407E-A947-70E740481C1C}"/>
                      </a:extLst>
                    </a:blip>
                    <a:srcRect/>
                    <a:stretch>
                      <a:fillRect/>
                    </a:stretch>
                  </pic:blipFill>
                  <pic:spPr bwMode="auto">
                    <a:xfrm>
                      <a:off x="0" y="0"/>
                      <a:ext cx="6400800" cy="224790"/>
                    </a:xfrm>
                    <a:prstGeom prst="rect">
                      <a:avLst/>
                    </a:prstGeom>
                    <a:noFill/>
                  </pic:spPr>
                </pic:pic>
              </a:graphicData>
            </a:graphic>
          </wp:anchor>
        </w:drawing>
      </w:r>
    </w:p>
    <w:p>
      <w:pPr>
        <w:spacing w:after="0" w:line="33" w:lineRule="exact"/>
        <w:rPr>
          <w:sz w:val="20"/>
          <w:szCs w:val="20"/>
          <w:color w:val="auto"/>
        </w:rPr>
      </w:pPr>
    </w:p>
    <w:p>
      <w:pPr>
        <w:ind w:left="707" w:hanging="707"/>
        <w:spacing w:after="0"/>
        <w:tabs>
          <w:tab w:leader="none" w:pos="707" w:val="left"/>
        </w:tabs>
        <w:numPr>
          <w:ilvl w:val="0"/>
          <w:numId w:val="109"/>
        </w:numPr>
        <w:rPr>
          <w:rFonts w:ascii="Arial" w:cs="Arial" w:eastAsia="Arial" w:hAnsi="Arial"/>
          <w:sz w:val="25"/>
          <w:szCs w:val="25"/>
          <w:color w:val="auto"/>
          <w:vertAlign w:val="superscript"/>
        </w:rPr>
      </w:pPr>
      <w:r>
        <w:rPr>
          <w:rFonts w:ascii="Arial" w:cs="Arial" w:eastAsia="Arial" w:hAnsi="Arial"/>
          <w:sz w:val="20"/>
          <w:szCs w:val="20"/>
          <w:color w:val="auto"/>
        </w:rPr>
        <w:t>Excludes long-term derivative assets and long-term deferred tax assets.</w:t>
      </w:r>
    </w:p>
    <w:p>
      <w:pPr>
        <w:sectPr>
          <w:pgSz w:w="11880" w:h="15480" w:orient="portrait"/>
          <w:cols w:equalWidth="0" w:num="1">
            <w:col w:w="10047"/>
          </w:cols>
          <w:pgMar w:left="913" w:top="33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F-61</w:t>
      </w:r>
    </w:p>
    <w:p>
      <w:pPr>
        <w:sectPr>
          <w:pgSz w:w="11880" w:h="15480" w:orient="portrait"/>
          <w:cols w:equalWidth="0" w:num="1">
            <w:col w:w="10047"/>
          </w:cols>
          <w:pgMar w:left="913" w:top="337" w:right="920" w:bottom="0" w:gutter="0" w:footer="0" w:header="0"/>
          <w:type w:val="continuous"/>
        </w:sectPr>
      </w:pPr>
    </w:p>
    <w:bookmarkStart w:id="167" w:name="page168"/>
    <w:bookmarkEnd w:id="167"/>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1)"/>
      <w:numFmt w:val="decimal"/>
      <w:start w:val="3"/>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lowerRoman"/>
      <w:start w:val="3"/>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lvl w:ilvl="1">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1."/>
      <w:numFmt w:val="decimal"/>
      <w:start w:val="7"/>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1)"/>
      <w:numFmt w:val="lowerRoman"/>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1)"/>
      <w:numFmt w:val="decimal"/>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1)"/>
      <w:numFmt w:val="lowerRoman"/>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1)"/>
      <w:numFmt w:val="decimal"/>
      <w:start w:val="4"/>
    </w:lvl>
  </w:abstractNum>
  <w:abstractNum w:abstractNumId="45">
    <w:nsid w:val="42963E5A"/>
    <w:multiLevelType w:val="hybridMultilevel"/>
    <w:lvl w:ilvl="0">
      <w:lvlJc w:val="left"/>
      <w:lvlText w:val="(%1)"/>
      <w:numFmt w:val="lowerRoman"/>
      <w:start w:val="2"/>
    </w:lvl>
  </w:abstractNum>
  <w:abstractNum w:abstractNumId="46">
    <w:nsid w:val="A0382C5"/>
    <w:multiLevelType w:val="hybridMultilevel"/>
    <w:lvl w:ilvl="0">
      <w:lvlJc w:val="left"/>
      <w:lvlText w:val="(%1)"/>
      <w:numFmt w:val="lowerRoman"/>
      <w:start w:val="5"/>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1)"/>
      <w:numFmt w:val="lowerRoman"/>
      <w:start w:val="3"/>
    </w:lvl>
  </w:abstractNum>
  <w:abstractNum w:abstractNumId="51">
    <w:nsid w:val="4962813B"/>
    <w:multiLevelType w:val="hybridMultilevel"/>
    <w:lvl w:ilvl="0">
      <w:lvlJc w:val="left"/>
      <w:lvlText w:val="(%1)"/>
      <w:numFmt w:val="decimal"/>
      <w:start w:val="1"/>
    </w:lvl>
  </w:abstractNum>
  <w:abstractNum w:abstractNumId="52">
    <w:nsid w:val="60B6DF70"/>
    <w:multiLevelType w:val="hybridMultilevel"/>
    <w:lvl w:ilvl="0">
      <w:lvlJc w:val="left"/>
      <w:lvlText w:val="(%1)"/>
      <w:numFmt w:val="lowerRoman"/>
      <w:start w:val="3"/>
    </w:lvl>
  </w:abstractNum>
  <w:abstractNum w:abstractNumId="53">
    <w:nsid w:val="6A5EE64"/>
    <w:multiLevelType w:val="hybridMultilevel"/>
    <w:lvl w:ilvl="0">
      <w:lvlJc w:val="left"/>
      <w:lvlText w:val="%1"/>
      <w:numFmt w:val="upperLetter"/>
      <w:start w:val="35"/>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1)"/>
      <w:numFmt w:val="lowerLetter"/>
      <w:start w:val="1"/>
    </w:lvl>
  </w:abstractNum>
  <w:abstractNum w:abstractNumId="58">
    <w:nsid w:val="100F59DC"/>
    <w:multiLevelType w:val="hybridMultilevel"/>
    <w:lvl w:ilvl="0">
      <w:lvlJc w:val="left"/>
      <w:lvlText w:val="(%1)"/>
      <w:numFmt w:val="decimal"/>
      <w:start w:val="2"/>
    </w:lvl>
  </w:abstractNum>
  <w:abstractNum w:abstractNumId="59">
    <w:nsid w:val="7FB7E0AA"/>
    <w:multiLevelType w:val="hybridMultilevel"/>
    <w:lvl w:ilvl="0">
      <w:lvlJc w:val="left"/>
      <w:lvlText w:val="(%1)"/>
      <w:numFmt w:val="decimal"/>
      <w:start w:val="3"/>
    </w:lvl>
  </w:abstractNum>
  <w:abstractNum w:abstractNumId="60">
    <w:nsid w:val="6EB5BD4"/>
    <w:multiLevelType w:val="hybridMultilevel"/>
    <w:lvl w:ilvl="0">
      <w:lvlJc w:val="left"/>
      <w:lvlText w:val="%1."/>
      <w:numFmt w:val="decimal"/>
      <w:start w:val="10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1."/>
      <w:numFmt w:val="decimal"/>
      <w:start w:val="1"/>
    </w:lvl>
  </w:abstractNum>
  <w:abstractNum w:abstractNumId="66">
    <w:nsid w:val="1716703B"/>
    <w:multiLevelType w:val="hybridMultilevel"/>
    <w:lvl w:ilvl="0">
      <w:lvlJc w:val="left"/>
      <w:lvlText w:val="%1"/>
      <w:numFmt w:val="decimal"/>
      <w:start w:val="268"/>
    </w:lvl>
  </w:abstractNum>
  <w:abstractNum w:abstractNumId="67">
    <w:nsid w:val="14E17E33"/>
    <w:multiLevelType w:val="hybridMultilevel"/>
    <w:lvl w:ilvl="0">
      <w:lvlJc w:val="left"/>
      <w:lvlText w:val="%1"/>
      <w:numFmt w:val="decimal"/>
      <w:start w:val="408"/>
    </w:lvl>
  </w:abstractNum>
  <w:abstractNum w:abstractNumId="68">
    <w:nsid w:val="3222E7CD"/>
    <w:multiLevelType w:val="hybridMultilevel"/>
    <w:lvl w:ilvl="0">
      <w:lvlJc w:val="left"/>
      <w:lvlText w:val="%1"/>
      <w:numFmt w:val="decimal"/>
      <w:start w:val="635"/>
    </w:lvl>
  </w:abstractNum>
  <w:abstractNum w:abstractNumId="69">
    <w:nsid w:val="74DE0EE3"/>
    <w:multiLevelType w:val="hybridMultilevel"/>
    <w:lvl w:ilvl="0">
      <w:lvlJc w:val="left"/>
      <w:lvlText w:val="%1"/>
      <w:numFmt w:val="decimal"/>
      <w:start w:val="313"/>
    </w:lvl>
  </w:abstractNum>
  <w:abstractNum w:abstractNumId="70">
    <w:nsid w:val="68EBC550"/>
    <w:multiLevelType w:val="hybridMultilevel"/>
    <w:lvl w:ilvl="0">
      <w:lvlJc w:val="left"/>
      <w:lvlText w:val="%1"/>
      <w:numFmt w:val="decimal"/>
      <w:start w:val="990"/>
    </w:lvl>
  </w:abstractNum>
  <w:abstractNum w:abstractNumId="71">
    <w:nsid w:val="2DF6D648"/>
    <w:multiLevelType w:val="hybridMultilevel"/>
    <w:lvl w:ilvl="0">
      <w:lvlJc w:val="left"/>
      <w:lvlText w:val="(%1)"/>
      <w:numFmt w:val="lowerRoman"/>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1)"/>
      <w:numFmt w:val="lowerRoman"/>
      <w:start w:val="4"/>
    </w:lvl>
  </w:abstractNum>
  <w:abstractNum w:abstractNumId="74">
    <w:nsid w:val="39EE015C"/>
    <w:multiLevelType w:val="hybridMultilevel"/>
    <w:lvl w:ilvl="0">
      <w:lvlJc w:val="left"/>
      <w:lvlText w:val="(%1)"/>
      <w:numFmt w:val="lowerRoman"/>
      <w:start w:val="3"/>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lowerRoman"/>
      <w:start w:val="6"/>
    </w:lvl>
  </w:abstractNum>
  <w:abstractNum w:abstractNumId="77">
    <w:nsid w:val="43F18422"/>
    <w:multiLevelType w:val="hybridMultilevel"/>
    <w:lvl w:ilvl="0">
      <w:lvlJc w:val="left"/>
      <w:lvlText w:val="(%1)"/>
      <w:numFmt w:val="lowerRoman"/>
      <w:start w:val="10"/>
    </w:lvl>
  </w:abstractNum>
  <w:abstractNum w:abstractNumId="78">
    <w:nsid w:val="60EF0119"/>
    <w:multiLevelType w:val="hybridMultilevel"/>
    <w:lvl w:ilvl="0">
      <w:lvlJc w:val="left"/>
      <w:lvlText w:val="(%1)"/>
      <w:numFmt w:val="decimal"/>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1)"/>
      <w:numFmt w:val="decimal"/>
      <w:start w:val="1"/>
    </w:lvl>
  </w:abstractNum>
  <w:abstractNum w:abstractNumId="82">
    <w:nsid w:val="7055A5F5"/>
    <w:multiLevelType w:val="hybridMultilevel"/>
    <w:lvl w:ilvl="0">
      <w:lvlJc w:val="left"/>
      <w:lvlText w:val="(%1)"/>
      <w:numFmt w:val="decimal"/>
      <w:start w:val="1"/>
    </w:lvl>
  </w:abstractNum>
  <w:abstractNum w:abstractNumId="83">
    <w:nsid w:val="5FB8370B"/>
    <w:multiLevelType w:val="hybridMultilevel"/>
    <w:lvl w:ilvl="0">
      <w:lvlJc w:val="left"/>
      <w:lvlText w:val="(%1)"/>
      <w:numFmt w:val="decimal"/>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1)"/>
      <w:numFmt w:val="decimal"/>
      <w:start w:val="1"/>
    </w:lvl>
  </w:abstractNum>
  <w:abstractNum w:abstractNumId="89">
    <w:nsid w:val="6FC75AF8"/>
    <w:multiLevelType w:val="hybridMultilevel"/>
    <w:lvl w:ilvl="0">
      <w:lvlJc w:val="left"/>
      <w:lvlText w:val="(%1)"/>
      <w:numFmt w:val="decimal"/>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1)"/>
      <w:numFmt w:val="decimal"/>
      <w:start w:val="1"/>
    </w:lvl>
  </w:abstractNum>
  <w:abstractNum w:abstractNumId="92">
    <w:nsid w:val="5F3534A4"/>
    <w:multiLevelType w:val="hybridMultilevel"/>
    <w:lvl w:ilvl="0">
      <w:lvlJc w:val="left"/>
      <w:lvlText w:val="(%1)"/>
      <w:numFmt w:val="lowerRoman"/>
      <w:start w:val="2"/>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1)"/>
      <w:numFmt w:val="decimal"/>
      <w:start w:val="1"/>
    </w:lvl>
  </w:abstractNum>
  <w:abstractNum w:abstractNumId="95">
    <w:nsid w:val="555C55B5"/>
    <w:multiLevelType w:val="hybridMultilevel"/>
    <w:lvl w:ilvl="0">
      <w:lvlJc w:val="left"/>
      <w:lvlText w:val="(%1)"/>
      <w:numFmt w:val="decimal"/>
      <w:start w:val="1"/>
    </w:lvl>
  </w:abstractNum>
  <w:abstractNum w:abstractNumId="96">
    <w:nsid w:val="3FA62ACA"/>
    <w:multiLevelType w:val="hybridMultilevel"/>
    <w:lvl w:ilvl="0">
      <w:lvlJc w:val="left"/>
      <w:lvlText w:val="(%1)"/>
      <w:numFmt w:val="decimal"/>
      <w:start w:val="1"/>
    </w:lvl>
  </w:abstractNum>
  <w:abstractNum w:abstractNumId="97">
    <w:nsid w:val="14FCE74E"/>
    <w:multiLevelType w:val="hybridMultilevel"/>
    <w:lvl w:ilvl="0">
      <w:lvlJc w:val="left"/>
      <w:lvlText w:val="(%1)"/>
      <w:numFmt w:val="decimal"/>
      <w:start w:val="1"/>
    </w:lvl>
  </w:abstractNum>
  <w:abstractNum w:abstractNumId="98">
    <w:nsid w:val="6A3DD3E8"/>
    <w:multiLevelType w:val="hybridMultilevel"/>
    <w:lvl w:ilvl="0">
      <w:lvlJc w:val="left"/>
      <w:lvlText w:val="(%1)"/>
      <w:numFmt w:val="decimal"/>
      <w:start w:val="1"/>
    </w:lvl>
  </w:abstractNum>
  <w:abstractNum w:abstractNumId="99">
    <w:nsid w:val="71C91298"/>
    <w:multiLevelType w:val="hybridMultilevel"/>
    <w:lvl w:ilvl="0">
      <w:lvlJc w:val="left"/>
      <w:lvlText w:val="(%1)"/>
      <w:numFmt w:val="decimal"/>
      <w:start w:val="1"/>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1)"/>
      <w:numFmt w:val="decimal"/>
      <w:start w:val="1"/>
    </w:lvl>
  </w:abstractNum>
  <w:abstractNum w:abstractNumId="102">
    <w:nsid w:val="1FBFE8E0"/>
    <w:multiLevelType w:val="hybridMultilevel"/>
    <w:lvl w:ilvl="0">
      <w:lvlJc w:val="left"/>
      <w:lvlText w:val="(%1)"/>
      <w:numFmt w:val="decimal"/>
      <w:start w:val="1"/>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7"/>
    </w:lvl>
  </w:abstractNum>
  <w:abstractNum w:abstractNumId="106">
    <w:nsid w:val="288F1A34"/>
    <w:multiLevelType w:val="hybridMultilevel"/>
    <w:lvl w:ilvl="0">
      <w:lvlJc w:val="left"/>
      <w:lvlText w:val="(%1)"/>
      <w:numFmt w:val="decimal"/>
      <w:start w:val="13"/>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2025-04-11T05:20:26Z</dcterms:created>
  <dcterms:modified xsi:type="dcterms:W3CDTF">2025-04-11T05:20:26Z</dcterms:modified>
</cp:coreProperties>
</file>